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7815" w14:textId="77777777" w:rsidR="00BD3A5F" w:rsidRDefault="006206B1" w:rsidP="00BD3A5F">
      <w:pPr>
        <w:pStyle w:val="Boxedtext"/>
        <w:rPr>
          <w:b w:val="0"/>
          <w:bCs w:val="0"/>
        </w:rPr>
      </w:pPr>
      <w:bookmarkStart w:id="0" w:name="_Hlk136872925"/>
      <w:r w:rsidRPr="00792B37">
        <w:t xml:space="preserve">DISCLAIMER: </w:t>
      </w:r>
      <w:r w:rsidRPr="00792B37">
        <w:rPr>
          <w:b w:val="0"/>
          <w:bCs w:val="0"/>
        </w:rPr>
        <w:t>This document is intended solely as a template accessory dwelling unit and junior accessory dwelling unit ordinance. It is not legal advice regarding any jurisdiction's specific policies or any proposed housing development project. Local staff should consult with their city attorney or county counsel when determining the applicability and form of these provisions.</w:t>
      </w:r>
    </w:p>
    <w:p w14:paraId="71BE2AD0" w14:textId="77777777" w:rsidR="00773B29" w:rsidRDefault="00764432" w:rsidP="00BD3A5F">
      <w:pPr>
        <w:pStyle w:val="Boxedtext"/>
        <w:rPr>
          <w:b w:val="0"/>
          <w:bCs w:val="0"/>
        </w:rPr>
      </w:pPr>
      <w:r w:rsidRPr="00764432">
        <w:rPr>
          <w:b w:val="0"/>
          <w:bCs w:val="0"/>
        </w:rPr>
        <w:t>The Department of Housing and Community Development (HCD) plans to publish an official Accessory Dwelling Unit model ordinance to assist jurisdictions statewide. HCD's model ordinance may conflict with provisions in this template. Jurisdictions that adopt this ordinance may need to repeal or amend it accordingly</w:t>
      </w:r>
      <w:r w:rsidR="00D510BD" w:rsidRPr="00D510BD">
        <w:rPr>
          <w:b w:val="0"/>
          <w:bCs w:val="0"/>
        </w:rPr>
        <w:t>.</w:t>
      </w:r>
      <w:r w:rsidR="00646F77">
        <w:rPr>
          <w:b w:val="0"/>
          <w:bCs w:val="0"/>
        </w:rPr>
        <w:t xml:space="preserve"> </w:t>
      </w:r>
    </w:p>
    <w:p w14:paraId="1A976B16" w14:textId="35358E01" w:rsidR="002D1D2C" w:rsidRPr="00D510BD" w:rsidRDefault="00B54DBA" w:rsidP="00BD3A5F">
      <w:pPr>
        <w:pStyle w:val="Boxedtext"/>
        <w:rPr>
          <w:b w:val="0"/>
          <w:bCs w:val="0"/>
        </w:rPr>
      </w:pPr>
      <w:r>
        <w:rPr>
          <w:b w:val="0"/>
          <w:bCs w:val="0"/>
        </w:rPr>
        <w:t xml:space="preserve">This document was published on </w:t>
      </w:r>
      <w:r w:rsidR="00B80C67">
        <w:rPr>
          <w:b w:val="0"/>
          <w:bCs w:val="0"/>
        </w:rPr>
        <w:t>June 17, 2026</w:t>
      </w:r>
      <w:r>
        <w:rPr>
          <w:b w:val="0"/>
          <w:bCs w:val="0"/>
        </w:rPr>
        <w:t>.</w:t>
      </w:r>
    </w:p>
    <w:p w14:paraId="7A6D8FF9" w14:textId="072FD621" w:rsidR="00BD3A5F" w:rsidRPr="008A2B31" w:rsidRDefault="7B514FBB" w:rsidP="00BD3A5F">
      <w:pPr>
        <w:pStyle w:val="Heading1"/>
        <w:rPr>
          <w:sz w:val="24"/>
          <w:szCs w:val="24"/>
        </w:rPr>
      </w:pPr>
      <w:r w:rsidRPr="7B514FBB">
        <w:rPr>
          <w:sz w:val="24"/>
          <w:szCs w:val="24"/>
        </w:rPr>
        <w:t>Template Ordinance – Accessory Dwelling Units and Junior Accessory Dwelling Unit</w:t>
      </w:r>
      <w:commentRangeStart w:id="1"/>
      <w:r w:rsidRPr="7B514FBB">
        <w:rPr>
          <w:sz w:val="24"/>
          <w:szCs w:val="24"/>
        </w:rPr>
        <w:t>s</w:t>
      </w:r>
      <w:commentRangeEnd w:id="1"/>
      <w:r w:rsidR="0064489D" w:rsidRPr="008A2B31">
        <w:rPr>
          <w:rStyle w:val="CommentReference"/>
          <w:sz w:val="24"/>
          <w:szCs w:val="24"/>
        </w:rPr>
        <w:commentReference w:id="1"/>
      </w:r>
    </w:p>
    <w:p w14:paraId="58393532" w14:textId="77777777" w:rsidR="00BD3A5F" w:rsidRPr="00792B37" w:rsidRDefault="006206B1" w:rsidP="00BD3A5F">
      <w:pPr>
        <w:pStyle w:val="Heading2"/>
      </w:pPr>
      <w:r w:rsidRPr="00792B37">
        <w:t xml:space="preserve">Section </w:t>
      </w:r>
      <w:r w:rsidRPr="00792B37">
        <w:rPr>
          <w:highlight w:val="yellow"/>
        </w:rPr>
        <w:t>______</w:t>
      </w:r>
      <w:r w:rsidRPr="00792B37">
        <w:t>: Accessory dwelling units and junior accessory dwelling units.</w:t>
      </w:r>
    </w:p>
    <w:p w14:paraId="1DD6C394" w14:textId="51E2FA6D" w:rsidR="0094034C" w:rsidRPr="00792B37" w:rsidRDefault="006206B1" w:rsidP="00BD3A5F">
      <w:pPr>
        <w:pStyle w:val="ListParagraph"/>
      </w:pPr>
      <w:r w:rsidRPr="008A2B31">
        <w:rPr>
          <w:b/>
          <w:bCs/>
        </w:rPr>
        <w:t>Definitions</w:t>
      </w:r>
      <w:r w:rsidRPr="00792B37">
        <w:t>.</w:t>
      </w:r>
    </w:p>
    <w:p w14:paraId="6A9E978E" w14:textId="241EA604" w:rsidR="0094034C" w:rsidRPr="008A2B31" w:rsidRDefault="7B514FBB" w:rsidP="003A4C4D">
      <w:pPr>
        <w:pStyle w:val="1ListParagraph"/>
      </w:pPr>
      <w:r w:rsidRPr="003A4C4D">
        <w:rPr>
          <w:u w:val="single"/>
        </w:rPr>
        <w:t>Accessory Dwelling Unit</w:t>
      </w:r>
      <w:r>
        <w:t>. An accessory dwelling unit is an attached or a detached residential dwelling unit that provides complete independent living facilities for one or more persons and is located on a lot with a proposed or existing primary residence. It shall include permanent provisions for living, sleeping, eating, cooking, and sanitation on the same parcel as the single-family or multi</w:t>
      </w:r>
      <w:r w:rsidR="0005581A">
        <w:t>-</w:t>
      </w:r>
      <w:r>
        <w:t xml:space="preserve">family dwelling is or will be situated. The definition of an accessory dwelling unit also includes an efficiency unit, as defined in Health and Safety Code Section 17958.1 and a manufactured home, as defined in Health and Safety Code Section 18007. </w:t>
      </w:r>
    </w:p>
    <w:p w14:paraId="612912D4" w14:textId="5EF573B8" w:rsidR="0094034C" w:rsidRPr="008A2B31" w:rsidRDefault="006206B1" w:rsidP="00E57A06">
      <w:pPr>
        <w:pStyle w:val="1ListParagraph"/>
      </w:pPr>
      <w:r w:rsidRPr="00D96791">
        <w:rPr>
          <w:u w:val="single"/>
        </w:rPr>
        <w:t>Junior Accessory Dwelling Unit</w:t>
      </w:r>
      <w:r w:rsidRPr="008A2B31">
        <w:t xml:space="preserve">. A junior accessory dwelling unit is a residential dwelling unit that is no more than 500 square feet of interior livable space in size and contained entirely within a single-family </w:t>
      </w:r>
      <w:r w:rsidR="00792B37" w:rsidRPr="00792B37">
        <w:t>dwelling</w:t>
      </w:r>
      <w:r w:rsidRPr="008A2B31">
        <w:t>.</w:t>
      </w:r>
      <w:r w:rsidR="005D0057">
        <w:t xml:space="preserve"> </w:t>
      </w:r>
      <w:r w:rsidR="002529D7" w:rsidRPr="008A2B31">
        <w:t xml:space="preserve">A garage attached to the single-family residence is considered part of the single-family </w:t>
      </w:r>
      <w:r w:rsidR="00792B37" w:rsidRPr="00792B37">
        <w:t xml:space="preserve">dwelling </w:t>
      </w:r>
      <w:r w:rsidR="002529D7" w:rsidRPr="008A2B31">
        <w:t>for purposes of determining whether the junior accessory dwelling unit is contained entirely with</w:t>
      </w:r>
      <w:r w:rsidR="00374D4D">
        <w:t>in</w:t>
      </w:r>
      <w:r w:rsidR="002529D7" w:rsidRPr="008A2B31">
        <w:t xml:space="preserve"> the single-family </w:t>
      </w:r>
      <w:r w:rsidR="00792B37" w:rsidRPr="00792B37">
        <w:t>dwelling</w:t>
      </w:r>
      <w:r w:rsidR="002529D7" w:rsidRPr="008A2B31">
        <w:t>.</w:t>
      </w:r>
      <w:r w:rsidR="005D0057">
        <w:t xml:space="preserve"> </w:t>
      </w:r>
      <w:r w:rsidRPr="008A2B31">
        <w:t xml:space="preserve">A junior accessory dwelling unit may include separate sanitation </w:t>
      </w:r>
      <w:r w:rsidR="00DD3D27" w:rsidRPr="008A2B31">
        <w:t>facilities or</w:t>
      </w:r>
      <w:r w:rsidRPr="008A2B31">
        <w:t xml:space="preserve"> may share sanitation facilities with the existing structure.</w:t>
      </w:r>
      <w:r w:rsidR="005D0057">
        <w:t xml:space="preserve"> </w:t>
      </w:r>
      <w:r w:rsidR="002529D7" w:rsidRPr="00792B37">
        <w:t xml:space="preserve"> </w:t>
      </w:r>
    </w:p>
    <w:p w14:paraId="4B203E3A" w14:textId="78D228F3" w:rsidR="0094034C" w:rsidRPr="008A2B31" w:rsidRDefault="006206B1" w:rsidP="00E57A06">
      <w:pPr>
        <w:pStyle w:val="1ListParagraph"/>
      </w:pPr>
      <w:r w:rsidRPr="00D96791">
        <w:rPr>
          <w:u w:val="single"/>
        </w:rPr>
        <w:t>Livable Space</w:t>
      </w:r>
      <w:r w:rsidRPr="008A2B31">
        <w:t>. Interior livable space means space in a dwelling intended for human habitation, including living, sleeping, eating, cooking, or sanitation.</w:t>
      </w:r>
      <w:r w:rsidR="005D0057">
        <w:t xml:space="preserve"> </w:t>
      </w:r>
      <w:r w:rsidRPr="008A2B31">
        <w:t xml:space="preserve">Livable space includes bedrooms, bathrooms, kitchens, laundry rooms, closets, and interior stairs. </w:t>
      </w:r>
    </w:p>
    <w:p w14:paraId="6C0BE9B7" w14:textId="3BD9DF78" w:rsidR="002529D7" w:rsidRPr="00792B37" w:rsidRDefault="57C86B35" w:rsidP="00E57A06">
      <w:pPr>
        <w:pStyle w:val="1ListParagraph"/>
      </w:pPr>
      <w:r w:rsidRPr="57C86B35">
        <w:rPr>
          <w:i/>
          <w:iCs/>
        </w:rPr>
        <w:t>[</w:t>
      </w:r>
      <w:r w:rsidRPr="57C86B35">
        <w:rPr>
          <w:b/>
          <w:bCs/>
          <w:i/>
          <w:iCs/>
          <w:highlight w:val="yellow"/>
        </w:rPr>
        <w:t>Optional Provision:</w:t>
      </w:r>
      <w:r w:rsidRPr="57C86B35">
        <w:rPr>
          <w:i/>
          <w:iCs/>
          <w:highlight w:val="yellow"/>
        </w:rPr>
        <w:t xml:space="preserve"> Can include the following definition of multi-family dwelling if the jurisdiction generally uses a different definition for multi-family dwelling. Note, </w:t>
      </w:r>
      <w:r w:rsidRPr="57C86B35">
        <w:rPr>
          <w:i/>
          <w:iCs/>
          <w:highlight w:val="yellow"/>
        </w:rPr>
        <w:lastRenderedPageBreak/>
        <w:t xml:space="preserve">this definition of “multi-family dwelling” is from the California Department of Housing and Community Development </w:t>
      </w:r>
      <w:hyperlink r:id="rId14" w:history="1">
        <w:r w:rsidRPr="00C77E4B">
          <w:rPr>
            <w:rStyle w:val="Hyperlink"/>
            <w:i/>
            <w:iCs/>
            <w:sz w:val="24"/>
            <w:highlight w:val="yellow"/>
          </w:rPr>
          <w:t>Accessory Dwelling Unit Handbook</w:t>
        </w:r>
      </w:hyperlink>
      <w:r w:rsidRPr="57C86B35">
        <w:rPr>
          <w:i/>
          <w:iCs/>
          <w:highlight w:val="yellow"/>
        </w:rPr>
        <w:t xml:space="preserve"> published in March 2026 (“2026 HCD ADU Handbook” or “Handbook”) and not from the statute. See page 8 of the Handbook.</w:t>
      </w:r>
      <w:r w:rsidRPr="57C86B35">
        <w:rPr>
          <w:i/>
          <w:iCs/>
        </w:rPr>
        <w:t>]</w:t>
      </w:r>
      <w:r>
        <w:t xml:space="preserve"> </w:t>
      </w:r>
      <w:r w:rsidRPr="57C86B35">
        <w:rPr>
          <w:u w:val="single"/>
        </w:rPr>
        <w:t>Multi-family Dwelling</w:t>
      </w:r>
      <w:r>
        <w:t>. For purposes of this Section, multi-family dwelling is a residential structure with two or more attached dwelling units on a single legal lot.</w:t>
      </w:r>
    </w:p>
    <w:p w14:paraId="25BAB52E" w14:textId="39201557" w:rsidR="00BD3A5F" w:rsidRPr="00792B37" w:rsidRDefault="006206B1" w:rsidP="00BD3A5F">
      <w:pPr>
        <w:pStyle w:val="ListParagraph"/>
      </w:pPr>
      <w:r w:rsidRPr="008A2B31">
        <w:rPr>
          <w:b/>
          <w:bCs/>
        </w:rPr>
        <w:t>General</w:t>
      </w:r>
      <w:r w:rsidR="001F5CC9" w:rsidRPr="008A2B31">
        <w:rPr>
          <w:b/>
          <w:bCs/>
        </w:rPr>
        <w:t xml:space="preserve"> </w:t>
      </w:r>
      <w:r w:rsidRPr="008A2B31">
        <w:rPr>
          <w:b/>
          <w:bCs/>
        </w:rPr>
        <w:t>Provisions</w:t>
      </w:r>
      <w:r w:rsidRPr="00792B37">
        <w:t xml:space="preserve">. </w:t>
      </w:r>
      <w:r w:rsidR="00420151" w:rsidRPr="00792B37">
        <w:t xml:space="preserve">Pursuant to the provisions of Government Code Sections 66310 et seq., the following requirements apply to accessory dwelling units and junior accessory dwelling units, as specified: </w:t>
      </w:r>
    </w:p>
    <w:p w14:paraId="5766DAD1" w14:textId="0BE11E46" w:rsidR="00792B37" w:rsidRPr="00773B29" w:rsidRDefault="006206B1" w:rsidP="00773B29">
      <w:pPr>
        <w:pStyle w:val="1ListParagraph"/>
      </w:pPr>
      <w:r w:rsidRPr="00773B29">
        <w:rPr>
          <w:u w:val="single"/>
        </w:rPr>
        <w:t>Accessory Dwelling Units Permitted</w:t>
      </w:r>
      <w:r w:rsidRPr="00773B29">
        <w:t>. Accessory dwelling units are allowed on a legal lot zoned to allow single-family or multi-family dwelling</w:t>
      </w:r>
      <w:r w:rsidR="006B7C1D" w:rsidRPr="00773B29">
        <w:t>s</w:t>
      </w:r>
      <w:r w:rsidRPr="00773B29">
        <w:t xml:space="preserve"> and that contains an existing or proposed single-family dwelling or an existing or proposed multi-family dwelling. [</w:t>
      </w:r>
      <w:r w:rsidRPr="00773B29">
        <w:rPr>
          <w:b/>
          <w:bCs/>
          <w:i/>
          <w:iCs/>
          <w:highlight w:val="yellow"/>
        </w:rPr>
        <w:t>NOTE:</w:t>
      </w:r>
      <w:r w:rsidRPr="00773B29">
        <w:rPr>
          <w:i/>
          <w:iCs/>
          <w:highlight w:val="yellow"/>
        </w:rPr>
        <w:t xml:space="preserve"> Jurisdictions can list the applicable zones here.</w:t>
      </w:r>
      <w:r w:rsidRPr="00773B29">
        <w:t xml:space="preserve">] </w:t>
      </w:r>
    </w:p>
    <w:p w14:paraId="5A43CCDC" w14:textId="565324B1" w:rsidR="00BD3A5F" w:rsidRPr="00792B37" w:rsidRDefault="006206B1" w:rsidP="00E57A06">
      <w:pPr>
        <w:pStyle w:val="1ListParagraph"/>
      </w:pPr>
      <w:r w:rsidRPr="00D96791">
        <w:rPr>
          <w:u w:val="single"/>
        </w:rPr>
        <w:t>Junior Accessory Dwelling Units</w:t>
      </w:r>
      <w:r w:rsidR="00602732" w:rsidRPr="00D96791">
        <w:rPr>
          <w:u w:val="single"/>
        </w:rPr>
        <w:t xml:space="preserve"> Permitted</w:t>
      </w:r>
      <w:r w:rsidRPr="00882FA2">
        <w:t>.</w:t>
      </w:r>
      <w:r w:rsidRPr="00792B37">
        <w:t xml:space="preserve"> Only one junior accessory dwelling unit </w:t>
      </w:r>
      <w:r w:rsidR="00602732" w:rsidRPr="00792B37">
        <w:t>is allowed</w:t>
      </w:r>
      <w:r w:rsidRPr="00792B37">
        <w:t xml:space="preserve"> on a legal lot that is zoned for single-family residential use, and that contains an existing or proposed single-family dwelling. [</w:t>
      </w:r>
      <w:r w:rsidRPr="00792B37">
        <w:rPr>
          <w:b/>
          <w:bCs/>
          <w:i/>
          <w:iCs/>
          <w:highlight w:val="yellow"/>
        </w:rPr>
        <w:t>NOTE</w:t>
      </w:r>
      <w:r w:rsidRPr="00792B37">
        <w:rPr>
          <w:i/>
          <w:iCs/>
          <w:highlight w:val="yellow"/>
        </w:rPr>
        <w:t>: Jurisdictions can list the applicable zones here.</w:t>
      </w:r>
      <w:r w:rsidRPr="00792B37">
        <w:rPr>
          <w:i/>
          <w:iCs/>
        </w:rPr>
        <w:t>]</w:t>
      </w:r>
      <w:r w:rsidR="00065E71">
        <w:rPr>
          <w:i/>
          <w:iCs/>
        </w:rPr>
        <w:t xml:space="preserve"> </w:t>
      </w:r>
      <w:r w:rsidR="002529D7" w:rsidRPr="008A2B31">
        <w:t xml:space="preserve">If there are multiple detached single-family dwelling units on one legal lot, there can only be one junior accessory dwelling unit. </w:t>
      </w:r>
    </w:p>
    <w:p w14:paraId="7616F241" w14:textId="56AEECE9" w:rsidR="00BD3A5F" w:rsidRPr="00792B37" w:rsidRDefault="006206B1" w:rsidP="00E57A06">
      <w:pPr>
        <w:pStyle w:val="1ListParagraph"/>
      </w:pPr>
      <w:r w:rsidRPr="00792B37">
        <w:t>[</w:t>
      </w:r>
      <w:r w:rsidRPr="00792B37">
        <w:rPr>
          <w:b/>
          <w:bCs/>
          <w:i/>
          <w:iCs/>
          <w:highlight w:val="yellow"/>
        </w:rPr>
        <w:t>Optional Provision</w:t>
      </w:r>
      <w:r w:rsidRPr="00792B37">
        <w:rPr>
          <w:i/>
          <w:iCs/>
          <w:highlight w:val="yellow"/>
        </w:rPr>
        <w:t>: Can include an Urban Lot Split provision if the jurisdiction opts not to allow more than two units on a parcel created as an Urban Lot Split; See Government Code Section 66411.7(j</w:t>
      </w:r>
      <w:r w:rsidRPr="001E0FE1">
        <w:rPr>
          <w:i/>
          <w:iCs/>
          <w:highlight w:val="yellow"/>
        </w:rPr>
        <w:t>).</w:t>
      </w:r>
      <w:r w:rsidRPr="001E0FE1">
        <w:rPr>
          <w:i/>
          <w:iCs/>
        </w:rPr>
        <w:t>]</w:t>
      </w:r>
      <w:r w:rsidR="00EF2374">
        <w:t xml:space="preserve"> </w:t>
      </w:r>
      <w:r w:rsidRPr="00D96791">
        <w:rPr>
          <w:u w:val="single"/>
        </w:rPr>
        <w:t>Urban Lot Splits</w:t>
      </w:r>
      <w:r w:rsidRPr="00792B37">
        <w:t xml:space="preserve">. No accessory dwelling unit or junior accessory dwelling unit shall be permitted if the legal lot was created by an urban lot split pursuant to California Government Code Section 66411.7 and if the approval of the accessory dwelling unit or junior accessory dwelling unit would result in more than two dwelling units on the lot. </w:t>
      </w:r>
    </w:p>
    <w:p w14:paraId="075C0393" w14:textId="3543B0DB" w:rsidR="00BD3A5F" w:rsidRPr="00792B37" w:rsidRDefault="006206B1" w:rsidP="00E57A06">
      <w:pPr>
        <w:pStyle w:val="1ListParagraph"/>
      </w:pPr>
      <w:r w:rsidRPr="00D96791">
        <w:rPr>
          <w:u w:val="single"/>
        </w:rPr>
        <w:t>Types of Accessory Dwelling Units</w:t>
      </w:r>
      <w:r w:rsidRPr="00D96791">
        <w:t>.</w:t>
      </w:r>
      <w:r w:rsidRPr="00792B37">
        <w:t xml:space="preserve"> Accessory dwelling units may be attached to an existing or proposed primary structure or accessory structure (attached accessory dwelling unit), detached from an existing or proposed primary structure (detached accessory dwelling unit), or located within a proposed or existing primary structure or existing accessory building (interior accessory dwelling unit). [</w:t>
      </w:r>
      <w:r w:rsidRPr="00792B37">
        <w:rPr>
          <w:b/>
          <w:bCs/>
          <w:i/>
          <w:iCs/>
          <w:highlight w:val="yellow"/>
        </w:rPr>
        <w:t xml:space="preserve">NOTE: </w:t>
      </w:r>
      <w:r w:rsidRPr="00792B37">
        <w:rPr>
          <w:i/>
          <w:iCs/>
          <w:highlight w:val="yellow"/>
        </w:rPr>
        <w:t xml:space="preserve">The statute defines “accessory dwelling unit” to mean an attached or detached residential unit that provides complete independent living facilities for one or more persons and is located on a lot with a proposed or existing primary residence. Some jurisdictions opt to describe accessory dwelling units as “attached” or “detached,” excluding the term </w:t>
      </w:r>
      <w:r w:rsidRPr="00792B37">
        <w:rPr>
          <w:i/>
          <w:iCs/>
          <w:highlight w:val="yellow"/>
        </w:rPr>
        <w:lastRenderedPageBreak/>
        <w:t>for “conversion” or “interior” accessory dwelling units. Regardless, the jurisdiction must allow accessory dwelling units to be converted from space within the primary dwelling or an accessory structure as required under Government Code Sections 66323(a)(1) and 66323(a)(3).</w:t>
      </w:r>
      <w:r w:rsidRPr="00792B37">
        <w:t xml:space="preserve">] </w:t>
      </w:r>
    </w:p>
    <w:p w14:paraId="3003A528" w14:textId="685CF7F4" w:rsidR="00FC597E" w:rsidRPr="008A2B31" w:rsidRDefault="006206B1" w:rsidP="00E57A06">
      <w:pPr>
        <w:pStyle w:val="1ListParagraph"/>
      </w:pPr>
      <w:r w:rsidRPr="00D96791">
        <w:rPr>
          <w:u w:val="single"/>
        </w:rPr>
        <w:t>Density</w:t>
      </w:r>
      <w:r w:rsidRPr="00D96791">
        <w:t>.</w:t>
      </w:r>
      <w:r w:rsidRPr="00D31504">
        <w:rPr>
          <w:b/>
          <w:bCs/>
        </w:rPr>
        <w:t xml:space="preserve"> </w:t>
      </w:r>
      <w:r w:rsidRPr="00792B37">
        <w:t xml:space="preserve">Accessory dwelling units and junior accessory dwelling units approved in compliance with this Section shall be considered a residential use that is consistent with the requirements of the General Plan and zoning ordinance </w:t>
      </w:r>
      <w:r w:rsidR="001F5CC9" w:rsidRPr="00792B37">
        <w:t xml:space="preserve">and </w:t>
      </w:r>
      <w:r w:rsidRPr="00792B37">
        <w:t xml:space="preserve">shall not count toward the allowed density for the lot upon which the unit is located. </w:t>
      </w:r>
    </w:p>
    <w:p w14:paraId="7001C450" w14:textId="0102137B" w:rsidR="00BD3A5F" w:rsidRPr="00792B37" w:rsidRDefault="006206B1" w:rsidP="008A2B31">
      <w:pPr>
        <w:pStyle w:val="ListParagraph"/>
      </w:pPr>
      <w:r w:rsidRPr="00792B37">
        <w:rPr>
          <w:b/>
          <w:bCs/>
        </w:rPr>
        <w:t>Exempt Accessory Dwelling Units.</w:t>
      </w:r>
      <w:r w:rsidRPr="00792B37">
        <w:t xml:space="preserve"> </w:t>
      </w:r>
      <w:r w:rsidR="00244BE4" w:rsidRPr="00244BE4">
        <w:t xml:space="preserve">The accessory dwelling units described in subsections C.1 through C.4 are referred to as </w:t>
      </w:r>
      <w:r w:rsidR="00244BE4">
        <w:t>“</w:t>
      </w:r>
      <w:r w:rsidR="00244BE4" w:rsidRPr="00244BE4">
        <w:t>exempt accessory dwelling units.</w:t>
      </w:r>
      <w:r w:rsidR="00244BE4">
        <w:t>”</w:t>
      </w:r>
      <w:r w:rsidR="00244BE4" w:rsidRPr="00244BE4">
        <w:t xml:space="preserve"> These units must comply with the requirements of this Section</w:t>
      </w:r>
      <w:r w:rsidR="003A26FE">
        <w:t xml:space="preserve">, </w:t>
      </w:r>
      <w:r w:rsidR="00910783">
        <w:t>unless otherwise provided,</w:t>
      </w:r>
      <w:r w:rsidR="009777C9">
        <w:t xml:space="preserve"> </w:t>
      </w:r>
      <w:r w:rsidR="00910783">
        <w:t>and</w:t>
      </w:r>
      <w:r w:rsidR="00244BE4" w:rsidRPr="00244BE4">
        <w:t xml:space="preserve"> are exempt from the development and design standards in subsections </w:t>
      </w:r>
      <w:r w:rsidR="00570A1C">
        <w:t>D</w:t>
      </w:r>
      <w:r w:rsidR="00244BE4" w:rsidRPr="00244BE4">
        <w:t xml:space="preserve"> and </w:t>
      </w:r>
      <w:r w:rsidR="00570A1C">
        <w:t>E</w:t>
      </w:r>
      <w:r w:rsidR="00244BE4" w:rsidRPr="00244BE4">
        <w:t>.</w:t>
      </w:r>
      <w:r w:rsidR="00244BE4">
        <w:t xml:space="preserve"> </w:t>
      </w:r>
      <w:r w:rsidR="001F5CC9" w:rsidRPr="00792B37">
        <w:t xml:space="preserve">Any combination of the exempt accessory dwelling units is </w:t>
      </w:r>
      <w:r w:rsidR="00320E1B">
        <w:t>allowed on one lot</w:t>
      </w:r>
      <w:r w:rsidRPr="00792B37">
        <w:t>.</w:t>
      </w:r>
      <w:r w:rsidR="00EF2374">
        <w:t xml:space="preserve"> </w:t>
      </w:r>
      <w:r w:rsidR="009C3815" w:rsidRPr="00792B37">
        <w:t>[</w:t>
      </w:r>
      <w:r w:rsidR="009C3815" w:rsidRPr="00792B37">
        <w:rPr>
          <w:b/>
          <w:bCs/>
          <w:i/>
          <w:iCs/>
          <w:highlight w:val="yellow"/>
        </w:rPr>
        <w:t xml:space="preserve">Optional provision: </w:t>
      </w:r>
      <w:r w:rsidR="001F5CC9" w:rsidRPr="008A2B31">
        <w:rPr>
          <w:i/>
          <w:iCs/>
          <w:highlight w:val="yellow"/>
        </w:rPr>
        <w:t>The requirement that jurisdictions allow non-exempt and exempt ADUs to be permitted on the same lot is from the 2026 HCD ADU Handbook, page 22</w:t>
      </w:r>
      <w:r w:rsidR="009C3815" w:rsidRPr="008A2B31">
        <w:rPr>
          <w:highlight w:val="yellow"/>
        </w:rPr>
        <w:t>.</w:t>
      </w:r>
      <w:r w:rsidR="009C3815" w:rsidRPr="00792B37">
        <w:t>]</w:t>
      </w:r>
      <w:r w:rsidR="00EF2374">
        <w:t xml:space="preserve"> </w:t>
      </w:r>
      <w:r w:rsidR="00320E1B">
        <w:t>In addition to</w:t>
      </w:r>
      <w:r w:rsidR="00C27711" w:rsidRPr="00792B37">
        <w:t xml:space="preserve"> t</w:t>
      </w:r>
      <w:r w:rsidR="003D51AB" w:rsidRPr="00792B37">
        <w:t>he exempt accessory dwelling units</w:t>
      </w:r>
      <w:r w:rsidR="00320E1B">
        <w:t>, one</w:t>
      </w:r>
      <w:r w:rsidR="001F5CC9" w:rsidRPr="00792B37">
        <w:t xml:space="preserve"> non-exempt accessory dwelling unit</w:t>
      </w:r>
      <w:r w:rsidR="00320E1B">
        <w:t xml:space="preserve"> that complies with the requirements of subsections </w:t>
      </w:r>
      <w:r w:rsidR="00570A1C">
        <w:t xml:space="preserve">D </w:t>
      </w:r>
      <w:r w:rsidR="00320E1B">
        <w:t xml:space="preserve">and </w:t>
      </w:r>
      <w:r w:rsidR="00570A1C">
        <w:t xml:space="preserve">E </w:t>
      </w:r>
      <w:r w:rsidR="00320E1B">
        <w:t>is allowed</w:t>
      </w:r>
      <w:r w:rsidR="001F5CC9" w:rsidRPr="00792B37">
        <w:t xml:space="preserve"> </w:t>
      </w:r>
      <w:r w:rsidR="003D51AB" w:rsidRPr="00792B37">
        <w:t>on the same legal lot</w:t>
      </w:r>
      <w:r w:rsidR="00C27711" w:rsidRPr="00792B37">
        <w:t>.</w:t>
      </w:r>
    </w:p>
    <w:p w14:paraId="0ED52DD2" w14:textId="77777777" w:rsidR="00BD3A5F" w:rsidRPr="00036F5D" w:rsidRDefault="006206B1" w:rsidP="00036F5D">
      <w:pPr>
        <w:pStyle w:val="1ListParagraph"/>
      </w:pPr>
      <w:r w:rsidRPr="00036F5D">
        <w:t xml:space="preserve">One accessory dwelling unit on a legal lot with up to one junior accessory dwelling unit and a proposed or existing single-family dwelling if the accessory dwelling unit and junior accessory dwelling unit comply with the following: </w:t>
      </w:r>
    </w:p>
    <w:p w14:paraId="234B9567" w14:textId="77777777" w:rsidR="00BD3A5F" w:rsidRPr="00792B37" w:rsidRDefault="006206B1" w:rsidP="00D179AA">
      <w:pPr>
        <w:pStyle w:val="aListParagraph"/>
      </w:pPr>
      <w:r w:rsidRPr="00792B37">
        <w:t xml:space="preserve">The accessory dwelling unit is within the proposed or existing space of a single-family dwelling or existing space of an accessory structure and may include an expansion of not more than 150 square feet beyond the same physical dimensions as the existing accessory structure. An expansion beyond the physical dimensions of the existing accessory structure shall be limited to accommodating ingress and egress. </w:t>
      </w:r>
    </w:p>
    <w:p w14:paraId="25AF482B" w14:textId="77777777" w:rsidR="00BD3A5F" w:rsidRPr="00792B37" w:rsidRDefault="006206B1" w:rsidP="00D179AA">
      <w:pPr>
        <w:pStyle w:val="aListParagraph"/>
      </w:pPr>
      <w:r w:rsidRPr="00792B37">
        <w:t xml:space="preserve">The accessory dwelling unit has separate exterior access from the proposed or existing single-family dwelling. </w:t>
      </w:r>
    </w:p>
    <w:p w14:paraId="5070527E" w14:textId="77777777" w:rsidR="00BD3A5F" w:rsidRPr="00792B37" w:rsidRDefault="006206B1" w:rsidP="00D179AA">
      <w:pPr>
        <w:pStyle w:val="aListParagraph"/>
      </w:pPr>
      <w:r w:rsidRPr="00792B37">
        <w:t xml:space="preserve">The side and rear setbacks are sufficient for fire and safety. </w:t>
      </w:r>
    </w:p>
    <w:p w14:paraId="00198072" w14:textId="145578BA" w:rsidR="00BD3A5F" w:rsidRPr="00792B37" w:rsidRDefault="006206B1" w:rsidP="00D179AA">
      <w:pPr>
        <w:pStyle w:val="aListParagraph"/>
      </w:pPr>
      <w:r w:rsidRPr="00792B37">
        <w:t xml:space="preserve">The junior accessory dwelling unit complies with the requirements of this subsection </w:t>
      </w:r>
      <w:r w:rsidR="001E0FE1">
        <w:t>C</w:t>
      </w:r>
      <w:r w:rsidR="00792B37" w:rsidRPr="00792B37">
        <w:t xml:space="preserve"> </w:t>
      </w:r>
      <w:r w:rsidRPr="00792B37">
        <w:t xml:space="preserve">and subsection </w:t>
      </w:r>
      <w:r w:rsidR="00570A1C">
        <w:t>F</w:t>
      </w:r>
      <w:r w:rsidR="00570A1C" w:rsidRPr="00792B37">
        <w:t xml:space="preserve"> </w:t>
      </w:r>
      <w:r w:rsidRPr="00792B37">
        <w:t xml:space="preserve">below. </w:t>
      </w:r>
    </w:p>
    <w:p w14:paraId="6D6152A1" w14:textId="643B27DF" w:rsidR="00BD3A5F" w:rsidRPr="00D179AA" w:rsidRDefault="006206B1" w:rsidP="00D179AA">
      <w:pPr>
        <w:pStyle w:val="1ListParagraph"/>
      </w:pPr>
      <w:r w:rsidRPr="00D179AA">
        <w:lastRenderedPageBreak/>
        <w:t xml:space="preserve">One detached, new construction accessory dwelling unit on a legal lot with a proposed or existing single-family dwelling if the accessory dwelling unit provides four-foot side and rear yard setbacks, does not exceed 800 square feet of interior livable space in floor area, and does not exceed the </w:t>
      </w:r>
      <w:r w:rsidR="006B7C1D" w:rsidRPr="00D179AA">
        <w:t xml:space="preserve">following </w:t>
      </w:r>
      <w:r w:rsidRPr="00D179AA">
        <w:t>height</w:t>
      </w:r>
      <w:r w:rsidR="006B7C1D" w:rsidRPr="00D179AA">
        <w:t>s</w:t>
      </w:r>
      <w:r w:rsidRPr="00D179AA">
        <w:t xml:space="preserve">, as applicable. </w:t>
      </w:r>
    </w:p>
    <w:p w14:paraId="49ABD3B0" w14:textId="77777777" w:rsidR="00BD3A5F" w:rsidRPr="00D179AA" w:rsidRDefault="006206B1" w:rsidP="00D179AA">
      <w:pPr>
        <w:pStyle w:val="aListParagraph"/>
      </w:pPr>
      <w:r w:rsidRPr="00D179AA">
        <w:t xml:space="preserve">Eighteen feet on a legal lot with an existing or proposed single-family dwelling if the lot is within one-half mile walking distance of a major transit stop or a high-quality transit corridor, as those terms are defined in Public Resources Code Section 21155. An additional two feet in height may be permitted to accommodate a roof pitch on the accessory dwelling unit that is aligned with the roof pitch of the single-family dwelling. </w:t>
      </w:r>
    </w:p>
    <w:p w14:paraId="5FE4EF76" w14:textId="77777777" w:rsidR="00BD3A5F" w:rsidRPr="00D179AA" w:rsidRDefault="006206B1" w:rsidP="00D179AA">
      <w:pPr>
        <w:pStyle w:val="aListParagraph"/>
      </w:pPr>
      <w:r w:rsidRPr="00D179AA">
        <w:t xml:space="preserve">Sixteen feet on all other legal lots with an existing or proposed single-family dwelling unit. </w:t>
      </w:r>
    </w:p>
    <w:p w14:paraId="6CC36A9D" w14:textId="32DA8D6E" w:rsidR="00BD3A5F" w:rsidRPr="00792B37" w:rsidRDefault="7B514FBB" w:rsidP="00D179AA">
      <w:pPr>
        <w:pStyle w:val="1ListParagraph"/>
      </w:pPr>
      <w:r>
        <w:t xml:space="preserve">Up to two detached accessory dwelling units on a legal lot with a proposed multi-family dwelling. On a legal lot with an existing multi-family dwelling, </w:t>
      </w:r>
      <w:r w:rsidR="00CF1048">
        <w:t xml:space="preserve">the number of </w:t>
      </w:r>
      <w:r w:rsidR="00C230CC">
        <w:t>permitted</w:t>
      </w:r>
      <w:r>
        <w:t xml:space="preserve"> detached accessory dwelling units </w:t>
      </w:r>
      <w:r w:rsidR="00074682">
        <w:t>equals</w:t>
      </w:r>
      <w:r>
        <w:t xml:space="preserve"> the number of existing primary dwelling units on the lot, </w:t>
      </w:r>
      <w:r w:rsidR="00074682">
        <w:t>up to</w:t>
      </w:r>
      <w:r>
        <w:t xml:space="preserve"> a maximum of eight. The accessory dwelling units shall have at least four-foot side and rear yard setbacks. If the existing multi-family dwelling has a rear or side setback of less than four feet, no modification of the existing multi-family dwelling shall be required as a condition of approving the application to construct an accessory dwelling unit that satisfies the requirements of this subsection. The height of the accessory dwelling units shall not exceed the following: </w:t>
      </w:r>
    </w:p>
    <w:p w14:paraId="1FDE06B1" w14:textId="77777777" w:rsidR="00BD3A5F" w:rsidRPr="00D179AA" w:rsidRDefault="006206B1" w:rsidP="00D179AA">
      <w:pPr>
        <w:pStyle w:val="aListParagraph"/>
      </w:pPr>
      <w:r w:rsidRPr="00D179AA">
        <w:t>Eighteen feet on a legal lot with an existing or proposed multi-family dwelling if the lot is within one-half mile walking distance of a major transit stop or a high-quality transit corridor, as those terms are defined in Public Resources Code Section 21155. An additional two feet in height may be permitted to accommodate a roof pitch on the accessory dwelling unit that is aligned with the roof pitch of the multi-family dwelling.</w:t>
      </w:r>
    </w:p>
    <w:p w14:paraId="23B37F4E" w14:textId="77777777" w:rsidR="00BD3A5F" w:rsidRPr="00D179AA" w:rsidRDefault="006206B1" w:rsidP="00D179AA">
      <w:pPr>
        <w:pStyle w:val="aListParagraph"/>
      </w:pPr>
      <w:r w:rsidRPr="00D179AA">
        <w:t xml:space="preserve">Eighteen feet on a legal lot with an existing or proposed multistory multi-family dwelling. </w:t>
      </w:r>
    </w:p>
    <w:p w14:paraId="3827A65B" w14:textId="77777777" w:rsidR="00BD3A5F" w:rsidRPr="00D179AA" w:rsidRDefault="006206B1" w:rsidP="00D179AA">
      <w:pPr>
        <w:pStyle w:val="aListParagraph"/>
      </w:pPr>
      <w:r w:rsidRPr="00D179AA">
        <w:t xml:space="preserve">Sixteen feet on all other legal lots with an existing or proposed multi-family dwelling. </w:t>
      </w:r>
    </w:p>
    <w:p w14:paraId="6425D4C9" w14:textId="2F847CEF" w:rsidR="00BD3A5F" w:rsidRPr="00792B37" w:rsidRDefault="7B514FBB" w:rsidP="00D179AA">
      <w:pPr>
        <w:pStyle w:val="1ListParagraph"/>
      </w:pPr>
      <w:r>
        <w:lastRenderedPageBreak/>
        <w:t xml:space="preserve">A legal lot with an existing multi-family dwelling may contain accessory dwelling units converted from portions of the building that are not used as livable space, if each accessory dwelling unit complies with state building standards for dwellings. The number of accessory dwelling units permitted is equivalent to up to 25 percent of the number of existing, legally permitted units in the multi-family dwelling, or one unit, whichever is greater. </w:t>
      </w:r>
    </w:p>
    <w:p w14:paraId="5818F511" w14:textId="14A7C433" w:rsidR="00BD3A5F" w:rsidRPr="00792B37" w:rsidRDefault="006206B1" w:rsidP="00BD3A5F">
      <w:pPr>
        <w:pStyle w:val="ListParagraph"/>
      </w:pPr>
      <w:r w:rsidRPr="00792B37">
        <w:rPr>
          <w:b/>
          <w:bCs/>
        </w:rPr>
        <w:t>Development Standards - Non-Exempt Accessory Dwelling Units</w:t>
      </w:r>
      <w:r w:rsidRPr="00792B37">
        <w:t xml:space="preserve">. The following development standards apply to all accessory dwelling units except exempt accessory dwelling units: </w:t>
      </w:r>
    </w:p>
    <w:p w14:paraId="56E18AF3" w14:textId="3A961140" w:rsidR="001E0FE1" w:rsidRPr="00D179AA" w:rsidRDefault="006206B1" w:rsidP="00D179AA">
      <w:pPr>
        <w:pStyle w:val="1ListParagraph"/>
      </w:pPr>
      <w:r w:rsidRPr="00D179AA">
        <w:t>[</w:t>
      </w:r>
      <w:r w:rsidRPr="00B22C97">
        <w:rPr>
          <w:b/>
          <w:bCs/>
          <w:i/>
          <w:iCs/>
          <w:highlight w:val="yellow"/>
        </w:rPr>
        <w:t>Optional Provision:</w:t>
      </w:r>
      <w:r w:rsidRPr="00B22C97">
        <w:rPr>
          <w:i/>
          <w:iCs/>
          <w:highlight w:val="yellow"/>
        </w:rPr>
        <w:t xml:space="preserve"> The statute does not clearly provide a maximum on the number of accessory dwelling units allowed on a lot. It is unclear whether the statute should be interpreted to require jurisdictions to allow nonexempt accessory dwelling units and exempt accessory dwelling units to be permitted together on the same lot. Jurisdictions are clearly required to permit multiple exempt accessory dwelling units on the same lot.</w:t>
      </w:r>
      <w:r w:rsidR="00EF2374" w:rsidRPr="00B22C97">
        <w:rPr>
          <w:i/>
          <w:iCs/>
          <w:highlight w:val="yellow"/>
        </w:rPr>
        <w:t xml:space="preserve"> </w:t>
      </w:r>
      <w:r w:rsidRPr="00B22C97">
        <w:rPr>
          <w:i/>
          <w:iCs/>
          <w:highlight w:val="yellow"/>
        </w:rPr>
        <w:t>Pursuant to HCD's interpretation, the maximum number of accessory dwelling units is one non</w:t>
      </w:r>
      <w:r w:rsidR="00813891" w:rsidRPr="00B22C97">
        <w:rPr>
          <w:i/>
          <w:iCs/>
          <w:highlight w:val="yellow"/>
        </w:rPr>
        <w:t>-</w:t>
      </w:r>
      <w:r w:rsidRPr="00B22C97">
        <w:rPr>
          <w:i/>
          <w:iCs/>
          <w:highlight w:val="yellow"/>
        </w:rPr>
        <w:t>exempt accessory dwelling unit plus the permissible combination of exempt accessory dwelling units.</w:t>
      </w:r>
      <w:r w:rsidRPr="00D179AA">
        <w:t xml:space="preserve">] </w:t>
      </w:r>
      <w:r w:rsidR="00812B4A" w:rsidRPr="00B22C97">
        <w:rPr>
          <w:u w:val="single"/>
        </w:rPr>
        <w:t xml:space="preserve">Maximum </w:t>
      </w:r>
      <w:r w:rsidR="008470AA" w:rsidRPr="00B22C97">
        <w:rPr>
          <w:u w:val="single"/>
        </w:rPr>
        <w:t>Number</w:t>
      </w:r>
      <w:r w:rsidR="008470AA" w:rsidRPr="00D179AA">
        <w:t xml:space="preserve">. </w:t>
      </w:r>
      <w:r w:rsidR="00610E4B" w:rsidRPr="00D179AA">
        <w:t>O</w:t>
      </w:r>
      <w:r w:rsidRPr="00D179AA">
        <w:t xml:space="preserve">nly one accessory dwelling unit may be permitted </w:t>
      </w:r>
      <w:r w:rsidR="00610E4B" w:rsidRPr="00D179AA">
        <w:t xml:space="preserve">pursuant to this subsection </w:t>
      </w:r>
      <w:r w:rsidR="00570A1C" w:rsidRPr="00D179AA">
        <w:t xml:space="preserve">D </w:t>
      </w:r>
      <w:r w:rsidRPr="00D179AA">
        <w:t>on</w:t>
      </w:r>
      <w:r w:rsidR="00610E4B" w:rsidRPr="00D179AA">
        <w:t xml:space="preserve"> a</w:t>
      </w:r>
      <w:r w:rsidRPr="00D179AA">
        <w:t xml:space="preserve"> legal lot with </w:t>
      </w:r>
      <w:r w:rsidR="00610E4B" w:rsidRPr="00D179AA">
        <w:t xml:space="preserve">a </w:t>
      </w:r>
      <w:r w:rsidRPr="00D179AA">
        <w:t xml:space="preserve">proposed or existing single-family or multi-family dwelling. </w:t>
      </w:r>
    </w:p>
    <w:p w14:paraId="507E7E64" w14:textId="00D2535A" w:rsidR="00BD3A5F" w:rsidRPr="00D179AA" w:rsidRDefault="006206B1" w:rsidP="00D179AA">
      <w:pPr>
        <w:pStyle w:val="1ListParagraph"/>
      </w:pPr>
      <w:r w:rsidRPr="00B22C97">
        <w:rPr>
          <w:u w:val="single"/>
        </w:rPr>
        <w:t>Applicable Development Standards</w:t>
      </w:r>
      <w:r w:rsidRPr="00D179AA">
        <w:t xml:space="preserve">. </w:t>
      </w:r>
      <w:r w:rsidR="006F7A2A" w:rsidRPr="00D179AA">
        <w:t>A</w:t>
      </w:r>
      <w:r w:rsidRPr="00D179AA">
        <w:t>n accessory dwelling unit shall comply with the requirements of this Section, [</w:t>
      </w:r>
      <w:r w:rsidRPr="00447061">
        <w:rPr>
          <w:b/>
          <w:bCs/>
          <w:i/>
          <w:iCs/>
          <w:highlight w:val="yellow"/>
        </w:rPr>
        <w:t>Optional Provision:</w:t>
      </w:r>
      <w:r w:rsidRPr="00447061">
        <w:rPr>
          <w:i/>
          <w:iCs/>
          <w:highlight w:val="yellow"/>
        </w:rPr>
        <w:t xml:space="preserve"> The jurisdiction can include a requirement that the accessory dwelling unit comply with the requirements of the underlying zoning district.</w:t>
      </w:r>
      <w:r w:rsidRPr="00D179AA">
        <w:t>] the objective development standards of the underlying zoning district, and other provisions of the [</w:t>
      </w:r>
      <w:r w:rsidRPr="00D179AA">
        <w:rPr>
          <w:highlight w:val="yellow"/>
        </w:rPr>
        <w:t>City Municipal Code/County Code</w:t>
      </w:r>
      <w:r w:rsidRPr="00D179AA">
        <w:t xml:space="preserve">] except: </w:t>
      </w:r>
    </w:p>
    <w:p w14:paraId="1FC3ADC7" w14:textId="77777777" w:rsidR="00BD3A5F" w:rsidRPr="00792B37" w:rsidRDefault="006206B1" w:rsidP="00D179AA">
      <w:pPr>
        <w:pStyle w:val="aListParagraph"/>
      </w:pPr>
      <w:r w:rsidRPr="00792B37">
        <w:t>If the requirements of the underlying zoning district or other provisions of the [</w:t>
      </w:r>
      <w:r w:rsidRPr="00792B37">
        <w:rPr>
          <w:highlight w:val="yellow"/>
        </w:rPr>
        <w:t>City Municipal Code/County Code</w:t>
      </w:r>
      <w:r w:rsidRPr="00792B37">
        <w:t xml:space="preserve">] are inconsistent with the provisions of this Section, the standards of this Section shall apply. </w:t>
      </w:r>
    </w:p>
    <w:p w14:paraId="30EE70E7" w14:textId="77777777" w:rsidR="00BD3A5F" w:rsidRPr="00792B37" w:rsidRDefault="006206B1" w:rsidP="00D179AA">
      <w:pPr>
        <w:pStyle w:val="aListParagraph"/>
      </w:pPr>
      <w:r w:rsidRPr="00792B37">
        <w:t xml:space="preserve">Limits on lot coverage, front yard setback, floor area ratio, open space, and size must permit or shall be waived to allow a detached or attached accessory dwelling unit up to 800 square feet of interior livable space with four-foot side and rear yard setbacks, if the proposed accessory dwelling unit is in compliance with all other applicable development standards. </w:t>
      </w:r>
    </w:p>
    <w:p w14:paraId="466E1DF1" w14:textId="77777777" w:rsidR="00BD3A5F" w:rsidRPr="00792B37" w:rsidRDefault="006206B1" w:rsidP="00D179AA">
      <w:pPr>
        <w:pStyle w:val="aListParagraph"/>
      </w:pPr>
      <w:r w:rsidRPr="00792B37">
        <w:lastRenderedPageBreak/>
        <w:t>The [</w:t>
      </w:r>
      <w:r w:rsidRPr="00792B37">
        <w:rPr>
          <w:highlight w:val="yellow"/>
        </w:rPr>
        <w:t>City/County</w:t>
      </w:r>
      <w:r w:rsidRPr="00792B37">
        <w:t xml:space="preserve">] may not require as a condition of approval the correction of nonconforming zoning conditions. </w:t>
      </w:r>
    </w:p>
    <w:p w14:paraId="7B61CE84" w14:textId="77777777" w:rsidR="00BD3A5F" w:rsidRPr="00792B37" w:rsidRDefault="006206B1" w:rsidP="00D179AA">
      <w:pPr>
        <w:pStyle w:val="aListParagraph"/>
      </w:pPr>
      <w:r w:rsidRPr="00792B37">
        <w:t xml:space="preserve">No setback is required for a new structure constructed in the same location and to the same dimensions as an existing structure. </w:t>
      </w:r>
    </w:p>
    <w:p w14:paraId="723C87D3" w14:textId="77777777" w:rsidR="00BD3A5F" w:rsidRPr="00792B37" w:rsidRDefault="006206B1" w:rsidP="004F298D">
      <w:pPr>
        <w:pStyle w:val="1ListParagraph"/>
      </w:pPr>
      <w:r w:rsidRPr="00792B37">
        <w:rPr>
          <w:b/>
          <w:bCs/>
        </w:rPr>
        <w:t>[</w:t>
      </w:r>
      <w:r w:rsidRPr="00792B37">
        <w:rPr>
          <w:b/>
          <w:bCs/>
          <w:i/>
          <w:iCs/>
          <w:highlight w:val="yellow"/>
        </w:rPr>
        <w:t>Optional Provision</w:t>
      </w:r>
      <w:r w:rsidRPr="00792B37">
        <w:rPr>
          <w:b/>
          <w:bCs/>
        </w:rPr>
        <w:t xml:space="preserve">] </w:t>
      </w:r>
      <w:r w:rsidRPr="00D96791">
        <w:rPr>
          <w:u w:val="single"/>
        </w:rPr>
        <w:t>Exterior Access</w:t>
      </w:r>
      <w:r w:rsidRPr="00D96791">
        <w:t>.</w:t>
      </w:r>
      <w:r w:rsidRPr="00792B37">
        <w:t xml:space="preserve"> An accessory dwelling unit shall have a separate exterior access from the primary dwelling unit. </w:t>
      </w:r>
    </w:p>
    <w:p w14:paraId="17339CD2" w14:textId="77777777" w:rsidR="00BD3A5F" w:rsidRPr="0024643F" w:rsidRDefault="006206B1" w:rsidP="004F298D">
      <w:pPr>
        <w:pStyle w:val="1ListParagraph"/>
      </w:pPr>
      <w:r w:rsidRPr="00D96791">
        <w:rPr>
          <w:u w:val="single"/>
        </w:rPr>
        <w:t>Detached Accessory Dwelling Units</w:t>
      </w:r>
      <w:r w:rsidRPr="00D96791">
        <w:t>:</w:t>
      </w:r>
      <w:r w:rsidRPr="0024643F">
        <w:t xml:space="preserve"> </w:t>
      </w:r>
    </w:p>
    <w:p w14:paraId="3213DECF" w14:textId="77777777" w:rsidR="00BD3A5F" w:rsidRPr="00792B37" w:rsidRDefault="006206B1" w:rsidP="004F298D">
      <w:pPr>
        <w:pStyle w:val="aListParagraph"/>
      </w:pPr>
      <w:r w:rsidRPr="00792B37">
        <w:t>[</w:t>
      </w:r>
      <w:r w:rsidRPr="00291677">
        <w:rPr>
          <w:b/>
          <w:bCs/>
          <w:i/>
          <w:iCs/>
          <w:highlight w:val="yellow"/>
        </w:rPr>
        <w:t xml:space="preserve">Optional Provision: </w:t>
      </w:r>
      <w:r w:rsidRPr="00291677">
        <w:rPr>
          <w:i/>
          <w:iCs/>
          <w:highlight w:val="yellow"/>
        </w:rPr>
        <w:t>The jurisdiction may impose height limitations. If the jurisdiction opts to include a height limitation, the jurisdiction must at least allow the accessory dwelling units to be as tall as the heights referenced in this sample provision. See Government Code Section 66321(b)(4). The jurisdiction may opt to allow taller accessory dwelling units.</w:t>
      </w:r>
      <w:r w:rsidRPr="00792B37">
        <w:t xml:space="preserve">]. </w:t>
      </w:r>
      <w:r w:rsidRPr="00792B37">
        <w:br/>
      </w:r>
      <w:r w:rsidRPr="00F43BF2">
        <w:rPr>
          <w:i/>
          <w:iCs/>
        </w:rPr>
        <w:t>Maximum Height</w:t>
      </w:r>
      <w:r w:rsidRPr="00792B37">
        <w:t>. The height of a detached accessory dwelling unit shall not exceed:</w:t>
      </w:r>
    </w:p>
    <w:p w14:paraId="3F577FB8" w14:textId="77777777" w:rsidR="00BD3A5F" w:rsidRPr="00792B37" w:rsidRDefault="006206B1" w:rsidP="000161FC">
      <w:pPr>
        <w:pStyle w:val="iListParagraph"/>
      </w:pPr>
      <w:r w:rsidRPr="00792B37">
        <w:t xml:space="preserve">Eighteen feet on a legal lot with an existing or proposed single-family dwelling or an existing or proposed multi-family dwelling if the lot is within one-half mile walking distance of a major transit stop or a high-quality transit corridor, as those terms are defined in Public Resources Code Section 21155. An additional two feet in height may be permitted to accommodate a roof pitch on the accessory dwelling unit that is aligned with the roof pitch of the multi-family dwelling; </w:t>
      </w:r>
    </w:p>
    <w:p w14:paraId="1ACB8B7D" w14:textId="77777777" w:rsidR="00BD3A5F" w:rsidRPr="00792B37" w:rsidRDefault="006206B1" w:rsidP="000161FC">
      <w:pPr>
        <w:pStyle w:val="iListParagraph"/>
      </w:pPr>
      <w:r w:rsidRPr="00792B37">
        <w:t xml:space="preserve">Eighteen feet on a legal lot with an existing or proposed multistory multi-family dwelling; </w:t>
      </w:r>
    </w:p>
    <w:p w14:paraId="0DB3057E" w14:textId="77777777" w:rsidR="00BD3A5F" w:rsidRPr="00792B37" w:rsidRDefault="006206B1" w:rsidP="000161FC">
      <w:pPr>
        <w:pStyle w:val="iListParagraph"/>
      </w:pPr>
      <w:r w:rsidRPr="00792B37">
        <w:t xml:space="preserve">Sixteen feet on all other legal lots with an existing or proposed single-family dwelling or an existing or proposed multi-family dwelling. </w:t>
      </w:r>
    </w:p>
    <w:p w14:paraId="27E66667" w14:textId="77777777" w:rsidR="00BD3A5F" w:rsidRPr="00792B37" w:rsidRDefault="006206B1" w:rsidP="000161FC">
      <w:pPr>
        <w:pStyle w:val="aListParagraph"/>
      </w:pPr>
      <w:r w:rsidRPr="00792B37">
        <w:t>[</w:t>
      </w:r>
      <w:r w:rsidRPr="00CA388D">
        <w:rPr>
          <w:b/>
          <w:bCs/>
          <w:i/>
          <w:iCs/>
          <w:highlight w:val="yellow"/>
        </w:rPr>
        <w:t xml:space="preserve">Optional Provision. </w:t>
      </w:r>
      <w:r w:rsidRPr="00CA388D">
        <w:rPr>
          <w:i/>
          <w:iCs/>
          <w:highlight w:val="yellow"/>
        </w:rPr>
        <w:t>The jurisdiction may impose size maximums. If the jurisdiction opts to include a maximum, the jurisdiction must at least allow 850 square feet of interior livable space if the accessory dwelling unit includes one or fewer bedrooms and 1,000 square feet of interior livable space if the accessory dwelling unit includes more than one bedroom. See Government Code Section 66321(b)(2). The jurisdiction may opt to allow larger accessory dwelling units.</w:t>
      </w:r>
      <w:r w:rsidRPr="00792B37">
        <w:t xml:space="preserve">]. </w:t>
      </w:r>
      <w:r w:rsidRPr="00792B37">
        <w:br/>
      </w:r>
      <w:r w:rsidRPr="000161FC">
        <w:rPr>
          <w:i/>
          <w:iCs/>
        </w:rPr>
        <w:lastRenderedPageBreak/>
        <w:t>Maximum Size.</w:t>
      </w:r>
      <w:r w:rsidRPr="00792B37">
        <w:t xml:space="preserve"> The total floor space of a detached accessory dwelling unit shall not exceed 850 square feet of interior livable space if the accessory dwelling unit includes one or fewer bedrooms and shall not exceed 1,000 square feet of interior livable space if the accessory dwelling unit includes more than one bedroom. </w:t>
      </w:r>
    </w:p>
    <w:p w14:paraId="4CF336AA" w14:textId="77777777" w:rsidR="00BD3A5F" w:rsidRPr="00792B37" w:rsidRDefault="006206B1" w:rsidP="000161FC">
      <w:pPr>
        <w:pStyle w:val="aListParagraph"/>
      </w:pPr>
      <w:r w:rsidRPr="000161FC">
        <w:rPr>
          <w:i/>
          <w:iCs/>
        </w:rPr>
        <w:t>Setbacks.</w:t>
      </w:r>
      <w:r w:rsidRPr="00792B37">
        <w:t xml:space="preserve"> At least a four-foot setback is required from the rear and side property lines. [</w:t>
      </w:r>
      <w:r w:rsidRPr="002A3A7C">
        <w:rPr>
          <w:b/>
          <w:bCs/>
          <w:i/>
          <w:iCs/>
          <w:highlight w:val="yellow"/>
        </w:rPr>
        <w:t xml:space="preserve">Note: </w:t>
      </w:r>
      <w:r w:rsidRPr="002A3A7C">
        <w:rPr>
          <w:i/>
          <w:iCs/>
          <w:highlight w:val="yellow"/>
        </w:rPr>
        <w:t>The jurisdiction may adopt more permissive setback standards, including zero-foot setbacks.</w:t>
      </w:r>
      <w:r w:rsidRPr="00792B37">
        <w:rPr>
          <w:highlight w:val="yellow"/>
        </w:rPr>
        <w:t>]</w:t>
      </w:r>
    </w:p>
    <w:p w14:paraId="2984E8E8" w14:textId="331A3496" w:rsidR="00BD3A5F" w:rsidRPr="000903E5" w:rsidRDefault="006206B1" w:rsidP="000903E5">
      <w:pPr>
        <w:pStyle w:val="1ListParagraph"/>
        <w:rPr>
          <w:u w:val="single"/>
        </w:rPr>
      </w:pPr>
      <w:r w:rsidRPr="000903E5">
        <w:rPr>
          <w:u w:val="single"/>
        </w:rPr>
        <w:t>Attached Accessory Dwelling</w:t>
      </w:r>
      <w:r w:rsidR="000D2171">
        <w:rPr>
          <w:u w:val="single"/>
        </w:rPr>
        <w:t xml:space="preserve"> Units</w:t>
      </w:r>
      <w:r w:rsidRPr="000903E5">
        <w:t>:</w:t>
      </w:r>
      <w:r w:rsidRPr="000903E5">
        <w:rPr>
          <w:u w:val="single"/>
        </w:rPr>
        <w:t xml:space="preserve"> </w:t>
      </w:r>
    </w:p>
    <w:p w14:paraId="6AE7DB41" w14:textId="77777777" w:rsidR="00BD3A5F" w:rsidRPr="00792B37" w:rsidRDefault="006206B1" w:rsidP="000903E5">
      <w:pPr>
        <w:pStyle w:val="aListParagraph"/>
      </w:pPr>
      <w:r w:rsidRPr="00792B37">
        <w:t>[</w:t>
      </w:r>
      <w:r w:rsidRPr="002A3A7C">
        <w:rPr>
          <w:b/>
          <w:bCs/>
          <w:i/>
          <w:iCs/>
          <w:highlight w:val="yellow"/>
        </w:rPr>
        <w:t xml:space="preserve">Optional Provision: </w:t>
      </w:r>
      <w:r w:rsidRPr="002A3A7C">
        <w:rPr>
          <w:i/>
          <w:iCs/>
          <w:highlight w:val="yellow"/>
        </w:rPr>
        <w:t>The jurisdiction may impose height limitations. If the jurisdiction opts to include a height limitation, the jurisdiction must at least allow a height of 25 feet or the height limitation in the local zoning ordinance that applies to the primary dwelling, whichever is lower. See Government Code Section 66321(b)(4)(D). The jurisdiction may opt to allow taller accessory dwelling units. The jurisdiction is not required to allow the accessory dwelling unit to exceed two stories, though it may choose to.</w:t>
      </w:r>
      <w:r w:rsidRPr="00792B37">
        <w:t xml:space="preserve">] </w:t>
      </w:r>
      <w:r w:rsidRPr="00792B37">
        <w:br/>
      </w:r>
      <w:r w:rsidRPr="00652AF8">
        <w:rPr>
          <w:i/>
          <w:iCs/>
        </w:rPr>
        <w:t>Maximum Height</w:t>
      </w:r>
      <w:r w:rsidRPr="00792B37">
        <w:t xml:space="preserve">. The height of an attached accessory dwelling unit shall not exceed the lower of 25 feet or the height limitation in the local zoning ordinance that applies to the single-family dwelling or multi-family dwelling, as applicable, for an accessory dwelling unit that is attached to a single-family dwelling or multi-family dwelling. However, the accessory dwelling unit may not exceed two stories. </w:t>
      </w:r>
    </w:p>
    <w:p w14:paraId="5BD337AF" w14:textId="7A4D2249" w:rsidR="00BD3A5F" w:rsidRPr="00792B37" w:rsidRDefault="006206B1" w:rsidP="000903E5">
      <w:pPr>
        <w:pStyle w:val="aListParagraph"/>
      </w:pPr>
      <w:r w:rsidRPr="00792B37">
        <w:t>[</w:t>
      </w:r>
      <w:r w:rsidRPr="004C6BEA">
        <w:rPr>
          <w:b/>
          <w:bCs/>
          <w:i/>
          <w:iCs/>
          <w:highlight w:val="yellow"/>
        </w:rPr>
        <w:t>Optional Provision:</w:t>
      </w:r>
      <w:r w:rsidRPr="004C6BEA">
        <w:rPr>
          <w:i/>
          <w:iCs/>
          <w:highlight w:val="yellow"/>
        </w:rPr>
        <w:t xml:space="preserve"> The jurisdiction may impose size maximums. If the jurisdiction opts to include a maximum, the jurisdiction must at least allow 850 square feet of interior livable space if the accessory dwelling unit includes one or fewer bedrooms and 1,000 square feet of interior livable space if the accessory dwelling unit includes more than one bedroom. See Government Code Section 66321(b)(2).</w:t>
      </w:r>
      <w:r w:rsidR="00EF2374" w:rsidRPr="004C6BEA">
        <w:rPr>
          <w:i/>
          <w:iCs/>
          <w:highlight w:val="yellow"/>
        </w:rPr>
        <w:t xml:space="preserve"> </w:t>
      </w:r>
      <w:r w:rsidRPr="004C6BEA">
        <w:rPr>
          <w:i/>
          <w:iCs/>
          <w:highlight w:val="yellow"/>
        </w:rPr>
        <w:t>If there is an existing main structure, jurisdictions may cap the maximum size allowed at the greater of (1) a percentage of the existing primary dwelling or (2) 850 square feet of interior livable space for studio or one-bedroom and 1,000 square feet of interior livable space for a 2+ bedroom ADU.</w:t>
      </w:r>
      <w:r w:rsidR="00EF2374" w:rsidRPr="004C6BEA">
        <w:rPr>
          <w:i/>
          <w:iCs/>
          <w:highlight w:val="yellow"/>
        </w:rPr>
        <w:t xml:space="preserve"> </w:t>
      </w:r>
      <w:r w:rsidRPr="004C6BEA">
        <w:rPr>
          <w:i/>
          <w:iCs/>
          <w:highlight w:val="yellow"/>
        </w:rPr>
        <w:t>See Handbook, page 40.</w:t>
      </w:r>
      <w:r w:rsidR="005D0057" w:rsidRPr="004C6BEA">
        <w:rPr>
          <w:i/>
          <w:iCs/>
          <w:highlight w:val="yellow"/>
        </w:rPr>
        <w:t xml:space="preserve"> </w:t>
      </w:r>
      <w:r w:rsidRPr="004C6BEA">
        <w:rPr>
          <w:i/>
          <w:iCs/>
          <w:highlight w:val="yellow"/>
        </w:rPr>
        <w:t>The jurisdiction may opt to allow larger accessory dwelling units.</w:t>
      </w:r>
      <w:r w:rsidRPr="00792B37">
        <w:t xml:space="preserve">]. </w:t>
      </w:r>
      <w:r w:rsidRPr="00792B37">
        <w:br/>
      </w:r>
      <w:r w:rsidRPr="00652AF8">
        <w:rPr>
          <w:i/>
          <w:iCs/>
        </w:rPr>
        <w:t>Maximum Size</w:t>
      </w:r>
      <w:r w:rsidRPr="00792B37">
        <w:t xml:space="preserve">. The total floor space of an attached accessory dwelling unit shall not exceed 850 square feet of interior livable space if the accessory </w:t>
      </w:r>
      <w:r w:rsidRPr="00792B37">
        <w:lastRenderedPageBreak/>
        <w:t xml:space="preserve">dwelling unit includes one or fewer bedrooms and shall not exceed 1,000 square feet of interior livable space if the accessory dwelling unit includes more than one bedroom. </w:t>
      </w:r>
    </w:p>
    <w:p w14:paraId="510C2424" w14:textId="77777777" w:rsidR="00BD3A5F" w:rsidRDefault="006206B1" w:rsidP="000903E5">
      <w:pPr>
        <w:pStyle w:val="aListParagraph"/>
      </w:pPr>
      <w:r w:rsidRPr="00D96791">
        <w:rPr>
          <w:i/>
          <w:iCs/>
        </w:rPr>
        <w:t>Setbacks</w:t>
      </w:r>
      <w:r w:rsidRPr="008528DE">
        <w:t>.</w:t>
      </w:r>
      <w:r w:rsidRPr="00792B37">
        <w:t xml:space="preserve"> At least a four-foot setback is required from the rear and side property lines. [</w:t>
      </w:r>
      <w:r w:rsidRPr="00792B37">
        <w:rPr>
          <w:b/>
          <w:bCs/>
          <w:i/>
          <w:iCs/>
          <w:highlight w:val="yellow"/>
        </w:rPr>
        <w:t xml:space="preserve">Note: </w:t>
      </w:r>
      <w:r w:rsidRPr="00792B37">
        <w:rPr>
          <w:highlight w:val="yellow"/>
        </w:rPr>
        <w:t>The jurisdiction may adopt more permissive setback standards, including zero-foot setbacks.</w:t>
      </w:r>
      <w:r w:rsidRPr="00BF33B7">
        <w:t>]</w:t>
      </w:r>
    </w:p>
    <w:p w14:paraId="59D364AD" w14:textId="7CB7E222" w:rsidR="00BD3A5F" w:rsidRPr="00792B37" w:rsidRDefault="006206B1" w:rsidP="00BD3A5F">
      <w:pPr>
        <w:pStyle w:val="ListParagraph"/>
      </w:pPr>
      <w:r w:rsidRPr="003F48D9">
        <w:rPr>
          <w:b/>
          <w:bCs/>
        </w:rPr>
        <w:t>Design Standards - Non-Exempt Accessory Dwelling Units</w:t>
      </w:r>
      <w:r w:rsidRPr="00D96791">
        <w:t>.</w:t>
      </w:r>
      <w:r w:rsidRPr="00792B37">
        <w:t xml:space="preserve"> The following design standards shall apply to all accessory dwelling units except exempt accessory dwelling units: </w:t>
      </w:r>
    </w:p>
    <w:p w14:paraId="1DCA1465" w14:textId="77777777" w:rsidR="00BD3A5F" w:rsidRPr="00792B37" w:rsidRDefault="006206B1" w:rsidP="00530F72">
      <w:pPr>
        <w:pStyle w:val="1ListParagraph"/>
      </w:pPr>
      <w:r w:rsidRPr="00792B37">
        <w:t>[</w:t>
      </w:r>
      <w:r w:rsidRPr="00530F72">
        <w:rPr>
          <w:b/>
          <w:bCs/>
          <w:i/>
          <w:iCs/>
          <w:highlight w:val="yellow"/>
        </w:rPr>
        <w:t xml:space="preserve">Optional: </w:t>
      </w:r>
      <w:r w:rsidRPr="00530F72">
        <w:rPr>
          <w:i/>
          <w:iCs/>
          <w:highlight w:val="yellow"/>
        </w:rPr>
        <w:t>Add local objective design standards, if any</w:t>
      </w:r>
      <w:r w:rsidRPr="00792B37">
        <w:rPr>
          <w:highlight w:val="yellow"/>
        </w:rPr>
        <w:t>.</w:t>
      </w:r>
      <w:r w:rsidRPr="00792B37">
        <w:t>]</w:t>
      </w:r>
    </w:p>
    <w:p w14:paraId="6C7D2E78" w14:textId="77777777" w:rsidR="00BD3A5F" w:rsidRPr="00792B37" w:rsidRDefault="006206B1" w:rsidP="00BD3A5F">
      <w:pPr>
        <w:pStyle w:val="ListParagraph"/>
      </w:pPr>
      <w:r w:rsidRPr="00792B37">
        <w:rPr>
          <w:b/>
          <w:bCs/>
        </w:rPr>
        <w:t>Design and Development Standards - Junior Accessory Dwelling Units.</w:t>
      </w:r>
      <w:r w:rsidRPr="00792B37">
        <w:t xml:space="preserve"> Pursuant to the provisions of Government Code Sections 66310 et seq., the following requirements apply to all junior accessory dwelling units: </w:t>
      </w:r>
    </w:p>
    <w:p w14:paraId="196CB240" w14:textId="77777777" w:rsidR="00BD3A5F" w:rsidRPr="00792B37" w:rsidRDefault="006206B1" w:rsidP="00530F72">
      <w:pPr>
        <w:pStyle w:val="1ListParagraph"/>
      </w:pPr>
      <w:r w:rsidRPr="00D96791">
        <w:rPr>
          <w:u w:val="single"/>
        </w:rPr>
        <w:t>Size</w:t>
      </w:r>
      <w:r w:rsidRPr="00D96791">
        <w:t>.</w:t>
      </w:r>
      <w:r w:rsidRPr="00792B37">
        <w:t xml:space="preserve"> The total floor space of a junior accessory dwelling unit shall not exceed 500 square feet of interior livable space. </w:t>
      </w:r>
    </w:p>
    <w:p w14:paraId="79FEF014" w14:textId="77777777" w:rsidR="00BD3A5F" w:rsidRPr="00792B37" w:rsidRDefault="006206B1" w:rsidP="00530F72">
      <w:pPr>
        <w:pStyle w:val="1ListParagraph"/>
      </w:pPr>
      <w:r w:rsidRPr="00D96791">
        <w:rPr>
          <w:u w:val="single"/>
        </w:rPr>
        <w:t>Entrance</w:t>
      </w:r>
      <w:r w:rsidRPr="00D96791">
        <w:t>.</w:t>
      </w:r>
      <w:r w:rsidRPr="00792B37">
        <w:t xml:space="preserve"> An exterior entry separate from the exterior entry for the single-family dwelling unit shall be provided to serve a junior accessory dwelling unit. If the junior accessory dwelling unit shares sanitation facilities with the single-family dwelling unit, there must also be an interior entry to the main living area of the single-family dwelling unit. </w:t>
      </w:r>
    </w:p>
    <w:p w14:paraId="444D1D43" w14:textId="77777777" w:rsidR="00BD3A5F" w:rsidRPr="00792B37" w:rsidRDefault="006206B1" w:rsidP="00530F72">
      <w:pPr>
        <w:pStyle w:val="1ListParagraph"/>
      </w:pPr>
      <w:r w:rsidRPr="00D96791">
        <w:rPr>
          <w:u w:val="single"/>
        </w:rPr>
        <w:t>Kitchen</w:t>
      </w:r>
      <w:r w:rsidRPr="00D96791">
        <w:t>.</w:t>
      </w:r>
      <w:r w:rsidRPr="00792B37">
        <w:t xml:space="preserve"> The junior accessory dwelling unit shall include at least an efficiency kitchen which includes cooking appliances, a food preparation counter, and storage cabinets that are of reasonable size in relation to the size of the junior accessory dwelling unit. </w:t>
      </w:r>
    </w:p>
    <w:p w14:paraId="5D685FB1" w14:textId="4A6CB568" w:rsidR="00BD3A5F" w:rsidRDefault="7B514FBB" w:rsidP="00530F72">
      <w:pPr>
        <w:pStyle w:val="1ListParagraph"/>
      </w:pPr>
      <w:r w:rsidRPr="7B514FBB">
        <w:rPr>
          <w:u w:val="single"/>
        </w:rPr>
        <w:t>Parking</w:t>
      </w:r>
      <w:r>
        <w:t xml:space="preserve">. Parking is not required for a junior accessory dwelling unit. </w:t>
      </w:r>
      <w:r w:rsidRPr="7B514FBB">
        <w:rPr>
          <w:highlight w:val="yellow"/>
        </w:rPr>
        <w:t>[</w:t>
      </w:r>
      <w:r w:rsidRPr="7B514FBB">
        <w:rPr>
          <w:b/>
          <w:bCs/>
          <w:i/>
          <w:iCs/>
          <w:highlight w:val="yellow"/>
        </w:rPr>
        <w:t xml:space="preserve">NOTE: </w:t>
      </w:r>
      <w:r w:rsidRPr="7B514FBB">
        <w:rPr>
          <w:i/>
          <w:iCs/>
          <w:highlight w:val="yellow"/>
        </w:rPr>
        <w:t>the 2026 HCD ADU Handbook provides that local agencies cannot require parking as a condition to permitting the JADU, even when the JADU is converted from an attached garage. See page 28.</w:t>
      </w:r>
      <w:r w:rsidRPr="00070D09">
        <w:t>]</w:t>
      </w:r>
      <w:r w:rsidRPr="7B514FBB">
        <w:rPr>
          <w:highlight w:val="yellow"/>
        </w:rPr>
        <w:t xml:space="preserve"> </w:t>
      </w:r>
    </w:p>
    <w:p w14:paraId="41C2BB27" w14:textId="77777777" w:rsidR="00E83167" w:rsidRPr="00D90BDF" w:rsidRDefault="006206B1" w:rsidP="00E83167">
      <w:pPr>
        <w:pStyle w:val="ListParagraph"/>
      </w:pPr>
      <w:r w:rsidRPr="00023960">
        <w:rPr>
          <w:b/>
          <w:bCs/>
        </w:rPr>
        <w:t>Parking</w:t>
      </w:r>
      <w:r>
        <w:rPr>
          <w:b/>
          <w:bCs/>
        </w:rPr>
        <w:t>:</w:t>
      </w:r>
    </w:p>
    <w:p w14:paraId="66928CC6" w14:textId="77777777" w:rsidR="00E83167" w:rsidRPr="00792B37" w:rsidRDefault="006206B1" w:rsidP="00530F72">
      <w:pPr>
        <w:pStyle w:val="1ListParagraph"/>
      </w:pPr>
      <w:r w:rsidRPr="00792B37">
        <w:lastRenderedPageBreak/>
        <w:t>[</w:t>
      </w:r>
      <w:r w:rsidRPr="00CD2C51">
        <w:rPr>
          <w:b/>
          <w:bCs/>
          <w:i/>
          <w:iCs/>
          <w:highlight w:val="yellow"/>
        </w:rPr>
        <w:t xml:space="preserve">Optional Provision: </w:t>
      </w:r>
      <w:r w:rsidRPr="00CD2C51">
        <w:rPr>
          <w:i/>
          <w:iCs/>
          <w:highlight w:val="yellow"/>
        </w:rPr>
        <w:t>Requiring parking is optional. However, if the jurisdiction imposes parking, the parking requirement shall not exceed one parking space per accessory dwelling unit or per bedroom, whichever is less. These spaces may be provided as tandem parking on a driveway. See Government Code Section 66314(d)(10).</w:t>
      </w:r>
      <w:r w:rsidRPr="00792B37">
        <w:t xml:space="preserve">] </w:t>
      </w:r>
      <w:r w:rsidRPr="00D90BDF">
        <w:rPr>
          <w:u w:val="single"/>
        </w:rPr>
        <w:t>Required Parking</w:t>
      </w:r>
      <w:r>
        <w:t xml:space="preserve">. </w:t>
      </w:r>
      <w:r w:rsidRPr="00792B37">
        <w:t xml:space="preserve">Accessory dwelling units shall have one parking space per unit, except that studio units shall not require a parking space. These spaces may be provided as tandem parking on an existing driveway. Off-street parking is permitted in setback areas or through tandem parking, unless specific findings are made that parking in setback areas or tandem parking is not feasible based upon fire and life safety conditions. </w:t>
      </w:r>
      <w:r>
        <w:t>“</w:t>
      </w:r>
      <w:r w:rsidRPr="00792B37">
        <w:t>Tandem parking</w:t>
      </w:r>
      <w:r>
        <w:t>”</w:t>
      </w:r>
      <w:r w:rsidRPr="00792B37">
        <w:t xml:space="preserve"> means that two or more automobiles are parked on a driveway or in any other location on a lot, lined up one behind another. [</w:t>
      </w:r>
      <w:r w:rsidRPr="00CD2C51">
        <w:rPr>
          <w:b/>
          <w:bCs/>
          <w:i/>
          <w:iCs/>
          <w:highlight w:val="yellow"/>
        </w:rPr>
        <w:t xml:space="preserve">NOTE: </w:t>
      </w:r>
      <w:r w:rsidRPr="00CD2C51">
        <w:rPr>
          <w:i/>
          <w:iCs/>
          <w:highlight w:val="yellow"/>
        </w:rPr>
        <w:t>If parking is required, the jurisdiction must include the following regarding when the jurisdiction cannot require parking. See Government Code Section 66322.</w:t>
      </w:r>
      <w:r w:rsidRPr="00CD2C51">
        <w:rPr>
          <w:i/>
          <w:iCs/>
        </w:rPr>
        <w:t>]</w:t>
      </w:r>
      <w:r w:rsidRPr="00792B37">
        <w:t xml:space="preserve"> Notwithstanding the foregoing, no parking shall be required in any of the following instances: </w:t>
      </w:r>
    </w:p>
    <w:p w14:paraId="1F2F7E52" w14:textId="77777777" w:rsidR="00E83167" w:rsidRPr="00792B37" w:rsidRDefault="006206B1" w:rsidP="00CD2C51">
      <w:pPr>
        <w:pStyle w:val="aListParagraph"/>
      </w:pPr>
      <w:r w:rsidRPr="00792B37">
        <w:t xml:space="preserve">The accessory dwelling unit is located within one-half mile walking distance of a public transit stop including, but not limited to, a bus stop or train station, where the public may access buses, trains, subways, and other forms of transportation that charge set fares, run on fixed routes, and are available to the public; </w:t>
      </w:r>
    </w:p>
    <w:p w14:paraId="7C0DC2F6" w14:textId="77777777" w:rsidR="00E83167" w:rsidRPr="00792B37" w:rsidRDefault="006206B1" w:rsidP="00CD2C51">
      <w:pPr>
        <w:pStyle w:val="aListParagraph"/>
      </w:pPr>
      <w:r w:rsidRPr="00792B37">
        <w:t xml:space="preserve">The accessory dwelling unit is located within an architecturally and historically significant district; </w:t>
      </w:r>
    </w:p>
    <w:p w14:paraId="36FD59E5" w14:textId="77777777" w:rsidR="00E83167" w:rsidRPr="00792B37" w:rsidRDefault="006206B1" w:rsidP="00CD2C51">
      <w:pPr>
        <w:pStyle w:val="aListParagraph"/>
      </w:pPr>
      <w:r w:rsidRPr="00792B37">
        <w:t xml:space="preserve">The accessory dwelling unit or junior accessory dwelling unit is an exempt unit, as defined in subsection </w:t>
      </w:r>
      <w:r>
        <w:t>C</w:t>
      </w:r>
      <w:r w:rsidRPr="00792B37">
        <w:t xml:space="preserve"> above; </w:t>
      </w:r>
    </w:p>
    <w:p w14:paraId="306E69DA" w14:textId="77777777" w:rsidR="00E83167" w:rsidRPr="00792B37" w:rsidRDefault="006206B1" w:rsidP="00CD2C51">
      <w:pPr>
        <w:pStyle w:val="aListParagraph"/>
      </w:pPr>
      <w:r w:rsidRPr="00792B37">
        <w:t xml:space="preserve">On-street parking permits are required but not offered to the occupant of the accessory dwelling unit; </w:t>
      </w:r>
    </w:p>
    <w:p w14:paraId="16DFAADD" w14:textId="77777777" w:rsidR="00E83167" w:rsidRPr="00792B37" w:rsidRDefault="006206B1" w:rsidP="00CD2C51">
      <w:pPr>
        <w:pStyle w:val="aListParagraph"/>
      </w:pPr>
      <w:r w:rsidRPr="00792B37">
        <w:t>There is a car share vehicle pick-up location within one block of the accessory dwelling unit; or</w:t>
      </w:r>
    </w:p>
    <w:p w14:paraId="1DAA8B85" w14:textId="77777777" w:rsidR="00E83167" w:rsidRPr="00792B37" w:rsidRDefault="006206B1" w:rsidP="00CD2C51">
      <w:pPr>
        <w:pStyle w:val="aListParagraph"/>
      </w:pPr>
      <w:r w:rsidRPr="00792B37">
        <w:t xml:space="preserve">When a permit application for an accessory dwelling unit is submitted with a permit application to create a new single-family or multi-family dwelling on the same lot, provided that the accessory dwelling unit or the lot satisfies any other criteria listed in this subsection. </w:t>
      </w:r>
    </w:p>
    <w:p w14:paraId="0F0A9EA4" w14:textId="6CFF5EEC" w:rsidR="00E83167" w:rsidRDefault="006206B1" w:rsidP="00AF3DA7">
      <w:pPr>
        <w:pStyle w:val="1ListParagraph"/>
      </w:pPr>
      <w:r w:rsidRPr="00D90BDF">
        <w:rPr>
          <w:u w:val="single"/>
        </w:rPr>
        <w:lastRenderedPageBreak/>
        <w:t>Demolition of Parking</w:t>
      </w:r>
      <w:r w:rsidRPr="00D90BDF">
        <w:t>.</w:t>
      </w:r>
      <w:r w:rsidRPr="00792B37">
        <w:rPr>
          <w:b/>
          <w:bCs/>
        </w:rPr>
        <w:t xml:space="preserve"> </w:t>
      </w:r>
      <w:r w:rsidRPr="00792B37">
        <w:t>If the construction of an accessory dwelling unit or junior accessory dwelling unit replaces an existing garage, carport, or covered parking structure, no replacement parking spaces need be provided. [</w:t>
      </w:r>
      <w:r w:rsidRPr="00792B37">
        <w:rPr>
          <w:b/>
          <w:bCs/>
          <w:i/>
          <w:iCs/>
          <w:highlight w:val="yellow"/>
        </w:rPr>
        <w:t xml:space="preserve">NOTE: </w:t>
      </w:r>
      <w:r w:rsidRPr="00792B37">
        <w:rPr>
          <w:i/>
          <w:iCs/>
          <w:highlight w:val="yellow"/>
        </w:rPr>
        <w:t>The following sentence is only necessary if the jurisdiction requires demolition permits for detached garages</w:t>
      </w:r>
      <w:r w:rsidRPr="00792B37">
        <w:rPr>
          <w:highlight w:val="yellow"/>
        </w:rPr>
        <w:t>.</w:t>
      </w:r>
      <w:r w:rsidRPr="00792B37">
        <w:t xml:space="preserve">] If the applicant applies for a demolition permit to demolish a detached garage and a building permit to construct a detached accessory dwelling unit, the demolition permit and building permit for the accessory dwelling unit shall be issued at the same time. </w:t>
      </w:r>
    </w:p>
    <w:p w14:paraId="4DF9E7A6" w14:textId="7C698E9B" w:rsidR="009E4BD6" w:rsidRPr="00D96791" w:rsidRDefault="006206B1" w:rsidP="00AF3DA7">
      <w:pPr>
        <w:pStyle w:val="1ListParagraph"/>
      </w:pPr>
      <w:r w:rsidRPr="00D96791">
        <w:rPr>
          <w:u w:val="single"/>
        </w:rPr>
        <w:t>Parking Standards</w:t>
      </w:r>
      <w:r w:rsidRPr="00D96791">
        <w:t xml:space="preserve">. </w:t>
      </w:r>
      <w:r w:rsidRPr="00813891">
        <w:t xml:space="preserve">Except for any provisions that are inconsistent with the provisions of this </w:t>
      </w:r>
      <w:r w:rsidR="009C728E" w:rsidRPr="00D96791">
        <w:t>subs</w:t>
      </w:r>
      <w:r w:rsidRPr="00813891">
        <w:t>ection</w:t>
      </w:r>
      <w:r w:rsidR="009C728E" w:rsidRPr="00D96791">
        <w:t xml:space="preserve"> G</w:t>
      </w:r>
      <w:r w:rsidRPr="00813891">
        <w:t>, the parking provided for an accessory dwelling unit or junior accessory dwelling unit must satisfy the requirements of Section [</w:t>
      </w:r>
      <w:r w:rsidRPr="00D96791">
        <w:rPr>
          <w:highlight w:val="yellow"/>
        </w:rPr>
        <w:t>___</w:t>
      </w:r>
      <w:r w:rsidRPr="00813891">
        <w:t>] of the [</w:t>
      </w:r>
      <w:r w:rsidRPr="006C5FAF">
        <w:rPr>
          <w:highlight w:val="yellow"/>
        </w:rPr>
        <w:t>City Municipal Code/County Code</w:t>
      </w:r>
      <w:r w:rsidRPr="00813891">
        <w:t>]</w:t>
      </w:r>
      <w:r w:rsidR="00813891">
        <w:t>.</w:t>
      </w:r>
      <w:r w:rsidRPr="00813891">
        <w:t xml:space="preserve"> </w:t>
      </w:r>
    </w:p>
    <w:p w14:paraId="7A76DB53" w14:textId="77777777" w:rsidR="00570A1C" w:rsidRPr="00792B37" w:rsidRDefault="006206B1" w:rsidP="00570A1C">
      <w:pPr>
        <w:pStyle w:val="ListParagraph"/>
      </w:pPr>
      <w:r w:rsidRPr="001E0FE1">
        <w:rPr>
          <w:b/>
          <w:bCs/>
        </w:rPr>
        <w:t>Building Code</w:t>
      </w:r>
      <w:r w:rsidRPr="00792B37">
        <w:t xml:space="preserve">. Junior accessory dwelling units and accessory dwelling units shall comply with all applicable building code requirements, except as follows: </w:t>
      </w:r>
    </w:p>
    <w:p w14:paraId="3CC8E74E" w14:textId="463DD589" w:rsidR="00570A1C" w:rsidRPr="00792B37" w:rsidRDefault="006206B1" w:rsidP="00AF3DA7">
      <w:pPr>
        <w:pStyle w:val="1ListParagraph"/>
      </w:pPr>
      <w:r w:rsidRPr="00792B37">
        <w:t>Fire sprinklers shall not be required for an accessory dwelling unit or junior accessory dwelling unit if they are not required for the primary dwelling. Fire sprinklers shall not be required for an existing primary dwelling unit as a condition of the approval of an accessory dwelling unit</w:t>
      </w:r>
      <w:r>
        <w:t xml:space="preserve"> or junior accessory dwelling unit</w:t>
      </w:r>
      <w:r w:rsidRPr="00792B37">
        <w:t>.</w:t>
      </w:r>
      <w:r>
        <w:t xml:space="preserve"> </w:t>
      </w:r>
      <w:r w:rsidRPr="00792B37">
        <w:t>[</w:t>
      </w:r>
      <w:r w:rsidRPr="00792B37">
        <w:rPr>
          <w:b/>
          <w:bCs/>
          <w:i/>
          <w:iCs/>
          <w:highlight w:val="yellow"/>
        </w:rPr>
        <w:t xml:space="preserve">NOTE: </w:t>
      </w:r>
      <w:r w:rsidR="006C5FAF">
        <w:rPr>
          <w:i/>
          <w:iCs/>
          <w:highlight w:val="yellow"/>
        </w:rPr>
        <w:t>T</w:t>
      </w:r>
      <w:r w:rsidRPr="00792B37">
        <w:rPr>
          <w:i/>
          <w:iCs/>
          <w:highlight w:val="yellow"/>
        </w:rPr>
        <w:t>he</w:t>
      </w:r>
      <w:r w:rsidRPr="00792B37">
        <w:rPr>
          <w:b/>
          <w:bCs/>
          <w:i/>
          <w:iCs/>
          <w:highlight w:val="yellow"/>
        </w:rPr>
        <w:t xml:space="preserve"> </w:t>
      </w:r>
      <w:r w:rsidRPr="00792B37">
        <w:rPr>
          <w:i/>
          <w:iCs/>
          <w:highlight w:val="yellow"/>
        </w:rPr>
        <w:t>statute provides: 1) “The construction of an accessory dwelling unit shall not trigger a requirement for fire sprinklers to be installed in the existing primary dwelling” (Government Code Section 66314(d)(12)); and 2) “The construction of an accessory dwelling unit or a junior accessory dwelling unit shall not trigger a requirement for fire sprinklers to be installed in the existing multifamily dwelling” (Government Code Section 66323(d)). There may have been an intent to prohibit requiring fire sprinklers to be installed in single family dwelling as a condition of JADU construction, but that is not how the statute currently reads</w:t>
      </w:r>
      <w:r w:rsidRPr="00C52865">
        <w:rPr>
          <w:i/>
          <w:iCs/>
          <w:highlight w:val="yellow"/>
        </w:rPr>
        <w:t>.</w:t>
      </w:r>
      <w:r>
        <w:rPr>
          <w:i/>
          <w:iCs/>
          <w:highlight w:val="yellow"/>
        </w:rPr>
        <w:t xml:space="preserve"> </w:t>
      </w:r>
      <w:r w:rsidRPr="008A2B31">
        <w:rPr>
          <w:i/>
          <w:iCs/>
          <w:highlight w:val="yellow"/>
        </w:rPr>
        <w:t xml:space="preserve">However, the 2026 HCD ADU </w:t>
      </w:r>
      <w:r>
        <w:rPr>
          <w:i/>
          <w:iCs/>
          <w:highlight w:val="yellow"/>
        </w:rPr>
        <w:t>Handbook</w:t>
      </w:r>
      <w:r w:rsidRPr="008A2B31">
        <w:rPr>
          <w:i/>
          <w:iCs/>
          <w:highlight w:val="yellow"/>
        </w:rPr>
        <w:t xml:space="preserve"> state</w:t>
      </w:r>
      <w:r w:rsidR="006C5FAF">
        <w:rPr>
          <w:i/>
          <w:iCs/>
          <w:highlight w:val="yellow"/>
        </w:rPr>
        <w:t>s</w:t>
      </w:r>
      <w:r w:rsidRPr="008A2B31">
        <w:rPr>
          <w:i/>
          <w:iCs/>
          <w:highlight w:val="yellow"/>
        </w:rPr>
        <w:t xml:space="preserve"> that "the construction of any ADUs or JADUs shall not trigger a requirement for fire sprinklers for the </w:t>
      </w:r>
      <w:r w:rsidRPr="00DA5804">
        <w:rPr>
          <w:i/>
          <w:iCs/>
          <w:highlight w:val="yellow"/>
          <w:u w:val="single"/>
        </w:rPr>
        <w:t>primary residence</w:t>
      </w:r>
      <w:r w:rsidRPr="008A2B31">
        <w:rPr>
          <w:i/>
          <w:iCs/>
          <w:highlight w:val="yellow"/>
        </w:rPr>
        <w:t>."</w:t>
      </w:r>
      <w:r>
        <w:rPr>
          <w:i/>
          <w:iCs/>
          <w:highlight w:val="yellow"/>
        </w:rPr>
        <w:t xml:space="preserve"> </w:t>
      </w:r>
      <w:r w:rsidRPr="008A2B31">
        <w:rPr>
          <w:i/>
          <w:iCs/>
          <w:highlight w:val="yellow"/>
        </w:rPr>
        <w:t xml:space="preserve">See page 26-27 of the 2026 HCD ADU </w:t>
      </w:r>
      <w:r>
        <w:rPr>
          <w:i/>
          <w:iCs/>
          <w:highlight w:val="yellow"/>
        </w:rPr>
        <w:t>Handbook</w:t>
      </w:r>
      <w:r>
        <w:rPr>
          <w:i/>
          <w:iCs/>
        </w:rPr>
        <w:t>.</w:t>
      </w:r>
      <w:r w:rsidRPr="00792B37">
        <w:t xml:space="preserve">] </w:t>
      </w:r>
    </w:p>
    <w:p w14:paraId="025E6166" w14:textId="77777777" w:rsidR="00570A1C" w:rsidRDefault="006206B1" w:rsidP="00AF3DA7">
      <w:pPr>
        <w:pStyle w:val="1ListParagraph"/>
      </w:pPr>
      <w:r w:rsidRPr="00792B37">
        <w:t xml:space="preserve">The new construction of an accessory dwelling unit shall not constitute a Group R occupancy change under the local building code, as described in Section 310 of the California Building Code (Title 24 of the California Code of Regulations), unless the building official or enforcement agency makes a written finding based on substantial evidence in the record that the construction of the accessory dwelling unit could </w:t>
      </w:r>
      <w:r w:rsidRPr="00792B37">
        <w:lastRenderedPageBreak/>
        <w:t xml:space="preserve">have a specific, adverse impact on public health and safety or the accessory dwelling unit is converted from unhabitable or nonresidential space. </w:t>
      </w:r>
    </w:p>
    <w:p w14:paraId="79CB3329" w14:textId="0FB09923" w:rsidR="00570A1C" w:rsidRPr="00792B37" w:rsidRDefault="7B514FBB" w:rsidP="00AF3DA7">
      <w:pPr>
        <w:pStyle w:val="1ListParagraph"/>
      </w:pPr>
      <w:r>
        <w:t>If the application is to legalize an unpermitted accessory dwelling unit or unpermitted junior accessory dwelling unit that was constructed before January 1, 2020, the [</w:t>
      </w:r>
      <w:r w:rsidRPr="00704665">
        <w:rPr>
          <w:highlight w:val="yellow"/>
        </w:rPr>
        <w:t>City/County</w:t>
      </w:r>
      <w:r w:rsidRPr="7B514FBB">
        <w:rPr>
          <w:highlight w:val="yellow"/>
        </w:rPr>
        <w:t>]</w:t>
      </w:r>
      <w:r>
        <w:t xml:space="preserve"> will not deny an application to legalize the unpermitted accessory dwelling unit or unpermitted junior accessory dwelling unit on the basis that the unpermitted accessory dwelling unit or unpermitted junior accessory dwelling unit does not conform with this Section or building standards pursuant to Health &amp; Safety Code Section 17960 </w:t>
      </w:r>
      <w:r w:rsidRPr="7B514FBB">
        <w:rPr>
          <w:i/>
          <w:iCs/>
        </w:rPr>
        <w:t>et seq</w:t>
      </w:r>
      <w:r>
        <w:t>. However, the [</w:t>
      </w:r>
      <w:r w:rsidRPr="00704665">
        <w:rPr>
          <w:highlight w:val="yellow"/>
        </w:rPr>
        <w:t>City/County</w:t>
      </w:r>
      <w:r>
        <w:t xml:space="preserve">] may deny the application for an unpermitted accessory dwelling unit or unpermitted junior accessory dwelling unit constructed before January 1, 2020, if the building official makes a finding that correcting a violation is necessary to comply with the standards specified in Health &amp; Safety Code Section 17920.3. </w:t>
      </w:r>
    </w:p>
    <w:p w14:paraId="03769314" w14:textId="77777777" w:rsidR="00570A1C" w:rsidRPr="00792B37" w:rsidRDefault="006206B1" w:rsidP="00570A1C">
      <w:pPr>
        <w:pStyle w:val="ListParagraph"/>
      </w:pPr>
      <w:r w:rsidRPr="008A2B31">
        <w:rPr>
          <w:b/>
          <w:bCs/>
        </w:rPr>
        <w:t>Owner Occupancy</w:t>
      </w:r>
      <w:r w:rsidRPr="00792B37">
        <w:t xml:space="preserve">. </w:t>
      </w:r>
    </w:p>
    <w:p w14:paraId="76F50EF3" w14:textId="77777777" w:rsidR="00570A1C" w:rsidRPr="00792B37" w:rsidRDefault="006206B1" w:rsidP="00AF3DA7">
      <w:pPr>
        <w:pStyle w:val="1ListParagraph"/>
      </w:pPr>
      <w:r w:rsidRPr="00792B37">
        <w:rPr>
          <w:u w:val="single"/>
        </w:rPr>
        <w:t>Accessory Dwelling Unit</w:t>
      </w:r>
      <w:r w:rsidRPr="00792B37">
        <w:t>. Owner occupancy is not required for any accessory dwelling unit.</w:t>
      </w:r>
    </w:p>
    <w:p w14:paraId="324B7252" w14:textId="77777777" w:rsidR="00570A1C" w:rsidRPr="00792B37" w:rsidRDefault="006206B1" w:rsidP="00AF3DA7">
      <w:pPr>
        <w:pStyle w:val="1ListParagraph"/>
      </w:pPr>
      <w:r w:rsidRPr="00792B37">
        <w:rPr>
          <w:u w:val="single"/>
        </w:rPr>
        <w:t>Junior Accessory Dwelling Unit</w:t>
      </w:r>
      <w:r w:rsidRPr="00792B37">
        <w:t xml:space="preserve">. </w:t>
      </w:r>
      <w:r>
        <w:rPr>
          <w:rFonts w:eastAsia="Calibri" w:cs="Calibri"/>
        </w:rPr>
        <w:t>O</w:t>
      </w:r>
      <w:r w:rsidRPr="00792B37">
        <w:rPr>
          <w:rFonts w:eastAsia="Calibri" w:cs="Calibri"/>
        </w:rPr>
        <w:t xml:space="preserve">wner occupancy is required </w:t>
      </w:r>
      <w:r>
        <w:rPr>
          <w:rFonts w:eastAsia="Calibri" w:cs="Calibri"/>
        </w:rPr>
        <w:t>for a junior accessory dwelling unit unless</w:t>
      </w:r>
      <w:r w:rsidRPr="00792B37">
        <w:rPr>
          <w:rFonts w:eastAsia="Calibri" w:cs="Calibri"/>
        </w:rPr>
        <w:t xml:space="preserve"> the junior accessory dwelling unit has separate sanitation facilities from the single-family dwelling unit or the owner is a governmental agency, land trust, or housing organization</w:t>
      </w:r>
      <w:r w:rsidRPr="00792B37">
        <w:rPr>
          <w:rFonts w:eastAsia="Calibri" w:cs="Calibri"/>
          <w:i/>
          <w:iCs/>
        </w:rPr>
        <w:t>.</w:t>
      </w:r>
      <w:r>
        <w:rPr>
          <w:rFonts w:eastAsia="Calibri" w:cs="Calibri"/>
        </w:rPr>
        <w:t xml:space="preserve"> </w:t>
      </w:r>
    </w:p>
    <w:p w14:paraId="136D78F3" w14:textId="77777777" w:rsidR="00570A1C" w:rsidRPr="00792B37" w:rsidRDefault="006206B1" w:rsidP="00570A1C">
      <w:pPr>
        <w:pStyle w:val="ListParagraph"/>
      </w:pPr>
      <w:r w:rsidRPr="00792B37">
        <w:rPr>
          <w:b/>
          <w:bCs/>
        </w:rPr>
        <w:t>Separate Sale.</w:t>
      </w:r>
      <w:r w:rsidRPr="00792B37">
        <w:t xml:space="preserve"> [</w:t>
      </w:r>
      <w:r w:rsidRPr="00D96791">
        <w:rPr>
          <w:b/>
          <w:bCs/>
          <w:i/>
          <w:highlight w:val="yellow"/>
        </w:rPr>
        <w:t xml:space="preserve">NOTE: </w:t>
      </w:r>
      <w:r w:rsidRPr="00D96791">
        <w:rPr>
          <w:i/>
          <w:highlight w:val="yellow"/>
        </w:rPr>
        <w:t>Whether the jurisdiction proceeds with the prohibition or permission of the separate sale of accessory dwelling units from the single-family or multi-family dwelling is optional. The jurisdiction can opt to adopt an ordinance allowing for the separate conveyance of the primary dwelling unit and accessory dwelling unit as condominiums under Government Code Section 66342.</w:t>
      </w:r>
      <w:r w:rsidRPr="00792B37">
        <w:t>]</w:t>
      </w:r>
    </w:p>
    <w:p w14:paraId="69C5CEDA" w14:textId="77777777" w:rsidR="00570A1C" w:rsidRPr="00792B37" w:rsidRDefault="006206B1" w:rsidP="00AF3DA7">
      <w:pPr>
        <w:pStyle w:val="1ListParagraph"/>
      </w:pPr>
      <w:r w:rsidRPr="00792B37">
        <w:rPr>
          <w:u w:val="single"/>
        </w:rPr>
        <w:t>Tenancy in Common</w:t>
      </w:r>
      <w:r w:rsidRPr="00792B37">
        <w:t>. [</w:t>
      </w:r>
      <w:r w:rsidRPr="00AF3DA7">
        <w:rPr>
          <w:b/>
          <w:bCs/>
          <w:i/>
          <w:iCs/>
          <w:highlight w:val="yellow"/>
        </w:rPr>
        <w:t xml:space="preserve">Optional Provision: </w:t>
      </w:r>
      <w:r w:rsidRPr="00AF3DA7">
        <w:rPr>
          <w:i/>
          <w:iCs/>
          <w:highlight w:val="yellow"/>
        </w:rPr>
        <w:t xml:space="preserve">Include this language if </w:t>
      </w:r>
      <w:r w:rsidRPr="00AF3DA7">
        <w:rPr>
          <w:i/>
          <w:iCs/>
          <w:highlight w:val="yellow"/>
          <w:u w:val="single"/>
        </w:rPr>
        <w:t>not</w:t>
      </w:r>
      <w:r w:rsidRPr="00AF3DA7">
        <w:rPr>
          <w:i/>
          <w:iCs/>
          <w:highlight w:val="yellow"/>
        </w:rPr>
        <w:t xml:space="preserve"> adopting language to allow for the separate conveyance of the primary dwelling unit and accessory dwelling unit as condominiums.</w:t>
      </w:r>
      <w:r w:rsidRPr="00792B37">
        <w:t>] An accessory dwelling unit may not be sold separately from the single-family or multi-family dwelling. [</w:t>
      </w:r>
      <w:r w:rsidRPr="00AF3DA7">
        <w:rPr>
          <w:b/>
          <w:bCs/>
          <w:i/>
          <w:iCs/>
          <w:highlight w:val="yellow"/>
        </w:rPr>
        <w:t xml:space="preserve">NOTE: </w:t>
      </w:r>
      <w:r w:rsidRPr="00AF3DA7">
        <w:rPr>
          <w:i/>
          <w:iCs/>
          <w:highlight w:val="yellow"/>
        </w:rPr>
        <w:t>The jurisdiction must allow for the following type of conveyance. Include the following language.</w:t>
      </w:r>
      <w:r w:rsidRPr="00792B37">
        <w:t xml:space="preserve">] The accessory dwelling unit and primary dwelling unit may be owned by multiple owners as tenants in common if the primary dwelling unit and accessory dwelling unit were developed by a qualified nonprofit, as that term is defined in </w:t>
      </w:r>
      <w:r w:rsidRPr="00792B37">
        <w:lastRenderedPageBreak/>
        <w:t xml:space="preserve">Government Code Section 66340, and if all of the provisions of Government Code Section 66341 are met. </w:t>
      </w:r>
    </w:p>
    <w:p w14:paraId="649D7376" w14:textId="77777777" w:rsidR="00570A1C" w:rsidRPr="00792B37" w:rsidRDefault="006206B1" w:rsidP="00AF3DA7">
      <w:pPr>
        <w:pStyle w:val="1ListParagraph"/>
      </w:pPr>
      <w:r w:rsidRPr="00792B37">
        <w:t>[</w:t>
      </w:r>
      <w:r w:rsidRPr="00AF3DA7">
        <w:rPr>
          <w:b/>
          <w:bCs/>
          <w:i/>
          <w:iCs/>
          <w:highlight w:val="yellow"/>
        </w:rPr>
        <w:t xml:space="preserve">Optional Provision: </w:t>
      </w:r>
      <w:r w:rsidRPr="00AF3DA7">
        <w:rPr>
          <w:i/>
          <w:iCs/>
          <w:highlight w:val="yellow"/>
        </w:rPr>
        <w:t>Include this language if opting to allow for the separate conveyance of the primary dwelling units and accessory dwelling unit as condominiums. The jurisdiction may want to add parameters to what projects may be subdivided as a condominium project. For example, how many accessory dwelling units on a site can be converted to condominiums; how many total dwelling units can be on a site that would qualify for accessory dwelling unit conversion (i.e. total size of condominium project); whether there is a threshold permitting/certificate of occupancy date for an accessory dwelling unit to qualify or if this is applicable to all new and existing accessory dwelling units; and whether this applies to attached, detached, and/or interior accessory dwelling units.</w:t>
      </w:r>
      <w:r w:rsidRPr="00792B37">
        <w:t xml:space="preserve">] </w:t>
      </w:r>
      <w:r w:rsidRPr="00792B37">
        <w:br/>
      </w:r>
      <w:r w:rsidRPr="00792B37">
        <w:rPr>
          <w:u w:val="single"/>
        </w:rPr>
        <w:t>Condominium Conversions</w:t>
      </w:r>
      <w:r w:rsidRPr="00792B37">
        <w:t>. The [</w:t>
      </w:r>
      <w:r w:rsidRPr="00792B37">
        <w:rPr>
          <w:highlight w:val="yellow"/>
        </w:rPr>
        <w:t>City/County</w:t>
      </w:r>
      <w:r w:rsidRPr="00792B37">
        <w:t>] will approve an application for a condominium or condominium conversion of a project consisting of primary dwelling units and accessory dwelling units if all of the following requirements are satisfied:</w:t>
      </w:r>
    </w:p>
    <w:p w14:paraId="07634FC9" w14:textId="77777777" w:rsidR="00570A1C" w:rsidRPr="000C66B6" w:rsidRDefault="006206B1" w:rsidP="000C66B6">
      <w:pPr>
        <w:pStyle w:val="aListParagraph"/>
      </w:pPr>
      <w:r w:rsidRPr="000C66B6">
        <w:t>The condominium project is created in compliance with the Davis-Stirling Common Interest Development Act (California Civil Code Sections 4000 et seq.).</w:t>
      </w:r>
    </w:p>
    <w:p w14:paraId="07F8844D" w14:textId="77777777" w:rsidR="00570A1C" w:rsidRPr="000C66B6" w:rsidRDefault="006206B1" w:rsidP="000C66B6">
      <w:pPr>
        <w:pStyle w:val="aListParagraph"/>
      </w:pPr>
      <w:r w:rsidRPr="000C66B6">
        <w:t>The condominium project conforms with all applicable objective requirements under the Subdivision Map Act (Government Code Sections 66410 et seq.) and all objective requirements of the local subdivision ordinance [</w:t>
      </w:r>
      <w:r w:rsidRPr="000C66B6">
        <w:rPr>
          <w:b/>
          <w:bCs/>
          <w:i/>
          <w:iCs/>
          <w:highlight w:val="yellow"/>
        </w:rPr>
        <w:t>NOTE:</w:t>
      </w:r>
      <w:r w:rsidRPr="000C66B6">
        <w:rPr>
          <w:i/>
          <w:iCs/>
          <w:highlight w:val="yellow"/>
        </w:rPr>
        <w:t xml:space="preserve"> Add citation for applicable local subdivision ordinance. Also note, depending on the number of units in the condominium project, the project may also have to comply with the Subdivided Lands Act prior to the sale of any units.</w:t>
      </w:r>
      <w:r w:rsidRPr="000C66B6">
        <w:t>].</w:t>
      </w:r>
    </w:p>
    <w:p w14:paraId="63F82CE0" w14:textId="77777777" w:rsidR="00570A1C" w:rsidRPr="000C66B6" w:rsidRDefault="006206B1" w:rsidP="000C66B6">
      <w:pPr>
        <w:pStyle w:val="aListParagraph"/>
      </w:pPr>
      <w:r w:rsidRPr="000C66B6">
        <w:t>Prior to the recordation of the condominium plan with the county recorder, a safety inspection of the accessory dwelling unit was conducted as evidenced either through a certificate of occupancy from the [</w:t>
      </w:r>
      <w:r w:rsidRPr="000C66B6">
        <w:rPr>
          <w:highlight w:val="yellow"/>
        </w:rPr>
        <w:t>City/County</w:t>
      </w:r>
      <w:r w:rsidRPr="000C66B6">
        <w:t>] or the issuance of a housing quality standards report from a United States Department of Housing and Urban Development certified building inspector.</w:t>
      </w:r>
    </w:p>
    <w:p w14:paraId="0D41EE7B" w14:textId="7DBEF814" w:rsidR="00570A1C" w:rsidRPr="00792B37" w:rsidRDefault="006206B1" w:rsidP="000C66B6">
      <w:pPr>
        <w:pStyle w:val="aListParagraph"/>
      </w:pPr>
      <w:r w:rsidRPr="000C66B6">
        <w:t xml:space="preserve">Prior to the recordation of the condominium plan or subdivision map in the office of the county recorder, the applicant must provide to the county recorder written evidence that all parties with liens against the property consent to the recordation of the condominium plan and provide a signed </w:t>
      </w:r>
      <w:r w:rsidRPr="000C66B6">
        <w:lastRenderedPageBreak/>
        <w:t>statement from each lienholder that states the following:</w:t>
      </w:r>
      <w:r w:rsidR="000C66B6">
        <w:br/>
      </w:r>
      <w:r w:rsidR="000C66B6">
        <w:br/>
      </w:r>
      <w:r w:rsidRPr="00792B37">
        <w:t>“(Name of lienholder) hereby consents to the recording of this condominium plan in their sole and absolute discretion and the borrower has or will satisfy any additional terms and conditions the lienholder may have.”</w:t>
      </w:r>
      <w:r w:rsidR="000C66B6">
        <w:br/>
      </w:r>
      <w:r w:rsidR="000C66B6">
        <w:br/>
      </w:r>
      <w:r w:rsidRPr="00792B37">
        <w:t>The lienholder may consent, refuse to provide consent, or consent provided that any terms and conditions required by the lienholder are satisfied. If the lienholder provides consent to the recordation of the condominium plan, lienholder’s consent shall include the following information and be included on the condominium plan or a separate form attached to the condominium plan and recorded in the office of the county recorder: the lienholder’s signature; the name of the record owner or ground lessee of the real property; the legal description of the real property; the identities of all parties with an interest in the real property as reflected in the real property records; and notice of the requirement that the lienholder’s consent must be recorded in the office of the county recorder of the county in which the real property is located.</w:t>
      </w:r>
    </w:p>
    <w:p w14:paraId="3566A127" w14:textId="77777777" w:rsidR="00570A1C" w:rsidRPr="00792B37" w:rsidRDefault="006206B1" w:rsidP="000C66B6">
      <w:pPr>
        <w:pStyle w:val="aListParagraph"/>
      </w:pPr>
      <w:r w:rsidRPr="00792B37">
        <w:t>The applicant provided a signed written acknowledgement that it will notify utility providers, including water, sewer, gas, and electricity, of the condominium creation and separate conveyance of the accessory dwelling units from the single-family or multi-family dwelling units. [</w:t>
      </w:r>
      <w:r w:rsidRPr="00792B37">
        <w:rPr>
          <w:b/>
          <w:bCs/>
          <w:i/>
          <w:iCs/>
          <w:highlight w:val="yellow"/>
        </w:rPr>
        <w:t xml:space="preserve">NOTE: </w:t>
      </w:r>
      <w:r w:rsidRPr="00792B37">
        <w:rPr>
          <w:i/>
          <w:iCs/>
          <w:highlight w:val="yellow"/>
        </w:rPr>
        <w:t>The statute provides that the local jurisdiction shall require the homeowner to notify providers of utilities, including water, sewer, gas, and electricity, of the condominium creation and separate conveyance if an accessory dwelling unit is established as a condominium. It does not explicitly require any acknowledgement of this requirement from the applicant prior to the recordation of the condominium plan.</w:t>
      </w:r>
      <w:r w:rsidRPr="00792B37">
        <w:t>]</w:t>
      </w:r>
    </w:p>
    <w:p w14:paraId="3D411F0C" w14:textId="77777777" w:rsidR="00570A1C" w:rsidRPr="00792B37" w:rsidRDefault="006206B1" w:rsidP="000C66B6">
      <w:pPr>
        <w:pStyle w:val="aListParagraph"/>
      </w:pPr>
      <w:r w:rsidRPr="00792B37">
        <w:t>If the accessory dwelling unit is within an existing planned development that has an association created for the purpose of managing the existing planned development, prior to the recordation of a new condominium plan, the applicant must provide to the [</w:t>
      </w:r>
      <w:r w:rsidRPr="00792B37">
        <w:rPr>
          <w:highlight w:val="yellow"/>
        </w:rPr>
        <w:t>City/County</w:t>
      </w:r>
      <w:r w:rsidRPr="00792B37">
        <w:t>] a copy of the written approval authorizing the recordation of the condominium plan granted at a duly noticed board meeting of the association and, if necessary pursuant to the existing association’s governing documents, membership approval.</w:t>
      </w:r>
    </w:p>
    <w:p w14:paraId="699ED4BB" w14:textId="6495181F" w:rsidR="00570A1C" w:rsidRPr="00792B37" w:rsidRDefault="006206B1" w:rsidP="00D505C1">
      <w:pPr>
        <w:pStyle w:val="1ListParagraph"/>
      </w:pPr>
      <w:r w:rsidRPr="00792B37">
        <w:lastRenderedPageBreak/>
        <w:t>[</w:t>
      </w:r>
      <w:r w:rsidRPr="005B4EB0">
        <w:rPr>
          <w:b/>
          <w:bCs/>
          <w:i/>
          <w:iCs/>
          <w:highlight w:val="yellow"/>
        </w:rPr>
        <w:t>Optional Provision:</w:t>
      </w:r>
      <w:r w:rsidRPr="005B4EB0">
        <w:rPr>
          <w:i/>
          <w:iCs/>
          <w:highlight w:val="yellow"/>
        </w:rPr>
        <w:t xml:space="preserve"> Include if allowing separate conveyance of the primary dwelling unit and accessory dwelling unit as condominiums</w:t>
      </w:r>
      <w:r w:rsidRPr="00D80891">
        <w:rPr>
          <w:i/>
          <w:iCs/>
          <w:highlight w:val="yellow"/>
        </w:rPr>
        <w:t>.</w:t>
      </w:r>
      <w:r w:rsidR="00F713CC" w:rsidRPr="00D80891">
        <w:rPr>
          <w:i/>
          <w:iCs/>
          <w:highlight w:val="yellow"/>
        </w:rPr>
        <w:t xml:space="preserve"> See Attachment A </w:t>
      </w:r>
      <w:r w:rsidR="00D80891" w:rsidRPr="00D80891">
        <w:rPr>
          <w:i/>
          <w:iCs/>
          <w:highlight w:val="yellow"/>
        </w:rPr>
        <w:t>for</w:t>
      </w:r>
      <w:r w:rsidR="00B26013">
        <w:rPr>
          <w:i/>
          <w:iCs/>
          <w:highlight w:val="yellow"/>
        </w:rPr>
        <w:t xml:space="preserve"> the</w:t>
      </w:r>
      <w:r w:rsidR="00D80891" w:rsidRPr="00D80891">
        <w:rPr>
          <w:i/>
          <w:iCs/>
          <w:highlight w:val="yellow"/>
        </w:rPr>
        <w:t xml:space="preserve"> language to include in the notice.</w:t>
      </w:r>
      <w:r w:rsidRPr="008B5A47">
        <w:t>]</w:t>
      </w:r>
      <w:r w:rsidRPr="00D505C1">
        <w:rPr>
          <w:highlight w:val="yellow"/>
        </w:rPr>
        <w:t xml:space="preserve"> </w:t>
      </w:r>
      <w:r w:rsidR="00D505C1">
        <w:br/>
      </w:r>
      <w:r w:rsidRPr="00D505C1">
        <w:rPr>
          <w:u w:val="single"/>
        </w:rPr>
        <w:t>Application Checklist</w:t>
      </w:r>
      <w:r w:rsidRPr="00792B37">
        <w:t>. The [</w:t>
      </w:r>
      <w:r w:rsidRPr="00D505C1">
        <w:rPr>
          <w:highlight w:val="yellow"/>
        </w:rPr>
        <w:t>City/County</w:t>
      </w:r>
      <w:r w:rsidRPr="00792B37">
        <w:t>] shall include a notice in the form provided in Government Code Section 66342(e) to consumers on any accessory dwelling unit or junior accessory dwelling unit submittal checklist or public information issued describing requirements and permitting for accessory dwelling units, including as a standard condition of any accessory dwelling unit building permit or condominium plan approval.</w:t>
      </w:r>
    </w:p>
    <w:p w14:paraId="0D53FB74" w14:textId="77777777" w:rsidR="00570A1C" w:rsidRPr="00792B37" w:rsidRDefault="006206B1" w:rsidP="00D505C1">
      <w:pPr>
        <w:pStyle w:val="1ListParagraph"/>
      </w:pPr>
      <w:r w:rsidRPr="00792B37">
        <w:rPr>
          <w:u w:val="single"/>
        </w:rPr>
        <w:t>Junior Accessory Dwelling Unit</w:t>
      </w:r>
      <w:r w:rsidRPr="00792B37">
        <w:t xml:space="preserve">. A junior accessory dwelling unit may not be sold separately from the </w:t>
      </w:r>
      <w:r>
        <w:t>single-family</w:t>
      </w:r>
      <w:r w:rsidRPr="00792B37">
        <w:t xml:space="preserve"> dwelling unit. </w:t>
      </w:r>
    </w:p>
    <w:p w14:paraId="69E24BBB" w14:textId="77777777" w:rsidR="00570A1C" w:rsidRPr="00792B37" w:rsidRDefault="006206B1" w:rsidP="00570A1C">
      <w:pPr>
        <w:pStyle w:val="ListParagraph"/>
      </w:pPr>
      <w:r w:rsidRPr="008A2B31">
        <w:rPr>
          <w:b/>
          <w:bCs/>
        </w:rPr>
        <w:t>Conditions</w:t>
      </w:r>
      <w:r w:rsidRPr="00792B37">
        <w:t xml:space="preserve">. </w:t>
      </w:r>
    </w:p>
    <w:p w14:paraId="298046C9" w14:textId="77777777" w:rsidR="00570A1C" w:rsidRPr="00792B37" w:rsidRDefault="006206B1" w:rsidP="005B4EB0">
      <w:pPr>
        <w:pStyle w:val="1ListParagraph"/>
      </w:pPr>
      <w:r w:rsidRPr="005B4EB0">
        <w:rPr>
          <w:u w:val="single"/>
        </w:rPr>
        <w:t>Acknowledgements</w:t>
      </w:r>
      <w:r w:rsidRPr="00792B37">
        <w:t>:</w:t>
      </w:r>
    </w:p>
    <w:p w14:paraId="39285E8B" w14:textId="14ACC51E" w:rsidR="00570A1C" w:rsidRPr="00792B37" w:rsidRDefault="006206B1" w:rsidP="005B4EB0">
      <w:pPr>
        <w:pStyle w:val="aListParagraph"/>
      </w:pPr>
      <w:r w:rsidRPr="00792B37">
        <w:rPr>
          <w:i/>
          <w:iCs/>
        </w:rPr>
        <w:t>Accessory Dwelling Units</w:t>
      </w:r>
      <w:r w:rsidRPr="00792B37">
        <w:t>. At the time of application for an accessory dwelling unit, the property owner shall acknowledge in writing that the accessory dwelling unit cannot be used for short-term residential rentals of 30 days</w:t>
      </w:r>
      <w:r w:rsidR="00CC3955">
        <w:t xml:space="preserve"> or less</w:t>
      </w:r>
      <w:r>
        <w:t>.</w:t>
      </w:r>
      <w:r w:rsidRPr="00792B37">
        <w:t xml:space="preserve"> </w:t>
      </w:r>
    </w:p>
    <w:p w14:paraId="5CBFC5F3" w14:textId="2220CA94" w:rsidR="00570A1C" w:rsidRPr="00792B37" w:rsidRDefault="3B99A38E" w:rsidP="005B4EB0">
      <w:pPr>
        <w:pStyle w:val="aListParagraph"/>
      </w:pPr>
      <w:r w:rsidRPr="3B99A38E">
        <w:rPr>
          <w:i/>
          <w:iCs/>
        </w:rPr>
        <w:t>Junior Accessory Dwelling Units</w:t>
      </w:r>
      <w:r>
        <w:t xml:space="preserve">. At the time of application for a junior accessory dwelling unit, the property owner shall acknowledge in writing that the junior accessory dwelling unit cannot be used for short-term residential rentals of 30 days or less. Further, if the junior accessory dwelling unit has shared sanitation facilities with the single-family dwelling unit, the property owner shall acknowledge in writing that either the single-family dwelling or the junior accessory dwelling unit shall be the owner's bona fide principal residence. Owner occupancy is not required if the junior accessory dwelling unit has separate sanitation facilities from the single-family dwelling unit or if the owner is a governmental agency, land trust, or housing organization. </w:t>
      </w:r>
    </w:p>
    <w:p w14:paraId="4419D1BF" w14:textId="77777777" w:rsidR="00570A1C" w:rsidRPr="00792B37" w:rsidRDefault="006206B1" w:rsidP="00993D44">
      <w:pPr>
        <w:pStyle w:val="1ListParagraph"/>
      </w:pPr>
      <w:r w:rsidRPr="00792B37">
        <w:rPr>
          <w:u w:val="single"/>
        </w:rPr>
        <w:t>Covenants for Junior Accessory Dwelling Units</w:t>
      </w:r>
      <w:r w:rsidRPr="00792B37">
        <w:t>. Prior to issuance of a certificate of occupancy for a junior accessory dwelling unit, the owner shall record a covenant in a form prescribed by [</w:t>
      </w:r>
      <w:r w:rsidRPr="00792B37">
        <w:rPr>
          <w:highlight w:val="yellow"/>
        </w:rPr>
        <w:t>City Attorney/County Counsel</w:t>
      </w:r>
      <w:r w:rsidRPr="00792B37">
        <w:t xml:space="preserve">], which shall run with the land and provide for the following: </w:t>
      </w:r>
    </w:p>
    <w:p w14:paraId="2D905764" w14:textId="77777777" w:rsidR="00570A1C" w:rsidRPr="00792B37" w:rsidRDefault="006206B1" w:rsidP="00993D44">
      <w:pPr>
        <w:pStyle w:val="aListParagraph"/>
      </w:pPr>
      <w:r w:rsidRPr="00792B37">
        <w:lastRenderedPageBreak/>
        <w:t xml:space="preserve">A prohibition on the sale of the junior accessory dwelling unit separate from the sale of the single-family principal dwelling; </w:t>
      </w:r>
    </w:p>
    <w:p w14:paraId="15756A5A" w14:textId="02D24F3F" w:rsidR="00570A1C" w:rsidRPr="00792B37" w:rsidRDefault="006206B1" w:rsidP="00993D44">
      <w:pPr>
        <w:pStyle w:val="aListParagraph"/>
      </w:pPr>
      <w:r w:rsidRPr="00792B37">
        <w:t xml:space="preserve">A restriction on the size and attributes of the junior accessory dwelling unit consistent with subsection </w:t>
      </w:r>
      <w:r>
        <w:t>F</w:t>
      </w:r>
      <w:r w:rsidRPr="00792B37">
        <w:t>.</w:t>
      </w:r>
    </w:p>
    <w:p w14:paraId="082BE6AA" w14:textId="5BB6CE06" w:rsidR="00BD3A5F" w:rsidRPr="00792B37" w:rsidRDefault="006206B1" w:rsidP="00BD3A5F">
      <w:pPr>
        <w:pStyle w:val="ListParagraph"/>
      </w:pPr>
      <w:r w:rsidRPr="00792B37">
        <w:rPr>
          <w:b/>
          <w:bCs/>
        </w:rPr>
        <w:t xml:space="preserve">Application Processing and Appeals. </w:t>
      </w:r>
    </w:p>
    <w:p w14:paraId="173CC7AD" w14:textId="77777777" w:rsidR="00BD3A5F" w:rsidRPr="00792B37" w:rsidRDefault="006206B1" w:rsidP="00993D44">
      <w:pPr>
        <w:pStyle w:val="1ListParagraph"/>
      </w:pPr>
      <w:r w:rsidRPr="00792B37">
        <w:t xml:space="preserve">All reviews of accessory dwelling unit and junior accessory dwelling unit permit applications shall be ministerial. </w:t>
      </w:r>
    </w:p>
    <w:p w14:paraId="11C4E901" w14:textId="2024A71E" w:rsidR="00BD3A5F" w:rsidRPr="00792B37" w:rsidRDefault="006206B1" w:rsidP="00993D44">
      <w:pPr>
        <w:pStyle w:val="1ListParagraph"/>
      </w:pPr>
      <w:r w:rsidRPr="00792B37">
        <w:t>The [</w:t>
      </w:r>
      <w:r w:rsidRPr="00792B37">
        <w:rPr>
          <w:highlight w:val="yellow"/>
        </w:rPr>
        <w:t>City/County]</w:t>
      </w:r>
      <w:r w:rsidRPr="00792B37">
        <w:t xml:space="preserve"> shall determine whether an accessory dwelling unit or junior accessory dwelling unit permit application is complete and provide written notice to the applicant within 15 business days of receiving the application. If the permit application is incomplete, the written notice to the applicant must include a comprehensive list of incomplete items and a description of how the permit application can be made complete. The applicant may address the items that are deemed to be incomplete by the [</w:t>
      </w:r>
      <w:r w:rsidRPr="00792B37">
        <w:rPr>
          <w:highlight w:val="yellow"/>
        </w:rPr>
        <w:t>City/County]</w:t>
      </w:r>
      <w:r w:rsidRPr="00792B37">
        <w:t xml:space="preserve"> and resubmit the application; the resubmitted application will be subject to the 15 business day review period.</w:t>
      </w:r>
      <w:r w:rsidR="005D0057">
        <w:t xml:space="preserve"> </w:t>
      </w:r>
      <w:r w:rsidRPr="00792B37">
        <w:t>Upon review of the resubmitted application,</w:t>
      </w:r>
      <w:r w:rsidR="008D40C0">
        <w:t xml:space="preserve"> </w:t>
      </w:r>
      <w:r w:rsidR="008D40C0" w:rsidRPr="008D40C0">
        <w:t>if an item was not included in both the original application and resubmitted application</w:t>
      </w:r>
      <w:r w:rsidR="008D40C0">
        <w:t>,</w:t>
      </w:r>
      <w:r w:rsidRPr="00792B37">
        <w:t xml:space="preserve"> the [</w:t>
      </w:r>
      <w:r w:rsidRPr="00792B37">
        <w:rPr>
          <w:highlight w:val="yellow"/>
        </w:rPr>
        <w:t>City/County]</w:t>
      </w:r>
      <w:r w:rsidRPr="00792B37">
        <w:t xml:space="preserve"> shall not require the application to include </w:t>
      </w:r>
      <w:r w:rsidR="008D40C0">
        <w:t>that</w:t>
      </w:r>
      <w:r w:rsidR="008D40C0" w:rsidRPr="00792B37">
        <w:t xml:space="preserve"> </w:t>
      </w:r>
      <w:r w:rsidRPr="00792B37">
        <w:t xml:space="preserve">item </w:t>
      </w:r>
      <w:r w:rsidR="008D40C0">
        <w:t>if i</w:t>
      </w:r>
      <w:r w:rsidRPr="00792B37">
        <w:t>t was not included in the list of incomplete items.</w:t>
      </w:r>
      <w:r w:rsidR="005D0057">
        <w:t xml:space="preserve"> </w:t>
      </w:r>
      <w:r w:rsidRPr="00792B37">
        <w:t>If the [</w:t>
      </w:r>
      <w:r w:rsidRPr="00792B37">
        <w:rPr>
          <w:highlight w:val="yellow"/>
        </w:rPr>
        <w:t>City/County]</w:t>
      </w:r>
      <w:r w:rsidRPr="00792B37">
        <w:t xml:space="preserve"> does not make a timely determination as required by this paragraph, the application or resubmitted application shall be deemed to be complete.</w:t>
      </w:r>
    </w:p>
    <w:p w14:paraId="4A2B84D5" w14:textId="392BE5FE" w:rsidR="00BD3A5F" w:rsidRPr="00792B37" w:rsidRDefault="006206B1" w:rsidP="00993D44">
      <w:pPr>
        <w:pStyle w:val="1ListParagraph"/>
      </w:pPr>
      <w:r w:rsidRPr="00792B37">
        <w:t>The [</w:t>
      </w:r>
      <w:r w:rsidRPr="00792B37">
        <w:rPr>
          <w:highlight w:val="yellow"/>
        </w:rPr>
        <w:t>City/County]</w:t>
      </w:r>
      <w:r w:rsidRPr="00792B37">
        <w:t xml:space="preserve"> shall administratively review and approve or deny complete permit applications for accessory dwelling units and junior accessory dwelling units within 60 days from the date the [</w:t>
      </w:r>
      <w:r w:rsidRPr="00792B37">
        <w:rPr>
          <w:highlight w:val="yellow"/>
        </w:rPr>
        <w:t>City/County</w:t>
      </w:r>
      <w:r w:rsidRPr="00792B37">
        <w:t>] receives a completed permit application, except that permit applications for pre-approved detached accessory dwelling unit plans that meet the requirements under Government Code Section 65852.27 shall be approved or denied within 30 days from the date that the [</w:t>
      </w:r>
      <w:r w:rsidRPr="00792B37">
        <w:rPr>
          <w:highlight w:val="yellow"/>
        </w:rPr>
        <w:t>City/County</w:t>
      </w:r>
      <w:r w:rsidRPr="00792B37">
        <w:t>] receives a complete permit application. [</w:t>
      </w:r>
      <w:r w:rsidRPr="00792B37">
        <w:rPr>
          <w:b/>
          <w:bCs/>
          <w:i/>
          <w:iCs/>
          <w:highlight w:val="yellow"/>
        </w:rPr>
        <w:t>NOTE</w:t>
      </w:r>
      <w:r w:rsidRPr="00792B37">
        <w:rPr>
          <w:i/>
          <w:iCs/>
          <w:highlight w:val="yellow"/>
        </w:rPr>
        <w:t xml:space="preserve">: </w:t>
      </w:r>
      <w:r w:rsidR="006F5CB5">
        <w:rPr>
          <w:i/>
          <w:iCs/>
          <w:highlight w:val="yellow"/>
        </w:rPr>
        <w:t>T</w:t>
      </w:r>
      <w:r w:rsidRPr="00792B37">
        <w:rPr>
          <w:i/>
          <w:iCs/>
          <w:highlight w:val="yellow"/>
        </w:rPr>
        <w:t>he 60-day review period is applicable to all permitting agencies and permits applications to create or serve an ADU or JADU, including coastal development permit applications. “Permitting agency” means any entity that is involved in the review of a permit for an accessory dwelling unit or junior accessory dwelling unit and for which there is no substitute, including, but not limited to, applicable planning departments, building departments, utilities, and special districts.</w:t>
      </w:r>
      <w:r w:rsidRPr="00935B08">
        <w:rPr>
          <w:i/>
          <w:iCs/>
        </w:rPr>
        <w:t>]</w:t>
      </w:r>
      <w:r w:rsidRPr="00792B37">
        <w:rPr>
          <w:i/>
          <w:iCs/>
        </w:rPr>
        <w:t xml:space="preserve"> </w:t>
      </w:r>
      <w:r w:rsidRPr="00792B37">
        <w:t xml:space="preserve">If the permit application is denied, the </w:t>
      </w:r>
      <w:r w:rsidRPr="00792B37">
        <w:lastRenderedPageBreak/>
        <w:t>[</w:t>
      </w:r>
      <w:r w:rsidRPr="00792B37">
        <w:rPr>
          <w:highlight w:val="yellow"/>
        </w:rPr>
        <w:t>City/County</w:t>
      </w:r>
      <w:r w:rsidRPr="00792B37">
        <w:t>] will provide, within the review period, a complete list of the permit application's deficiencies and describe how the applicant can remedy the permit application.</w:t>
      </w:r>
    </w:p>
    <w:p w14:paraId="0293C56F" w14:textId="64230EAC" w:rsidR="00BD3A5F" w:rsidRPr="00792B37" w:rsidRDefault="006206B1" w:rsidP="00993D44">
      <w:pPr>
        <w:pStyle w:val="1ListParagraph"/>
      </w:pPr>
      <w:r w:rsidRPr="00792B37">
        <w:t>If the permit application is submitted with an application to construct a new single-family or multi-family dwelling, then the [</w:t>
      </w:r>
      <w:r w:rsidRPr="00792B37">
        <w:rPr>
          <w:highlight w:val="yellow"/>
        </w:rPr>
        <w:t>City/County</w:t>
      </w:r>
      <w:r w:rsidRPr="00792B37">
        <w:t>] may delay review of the permit application for the accessory dwelling unit or junior accessory dwelling unit until the [</w:t>
      </w:r>
      <w:r w:rsidRPr="00792B37">
        <w:rPr>
          <w:highlight w:val="yellow"/>
        </w:rPr>
        <w:t>City/County</w:t>
      </w:r>
      <w:r w:rsidRPr="00792B37">
        <w:t>] approves or denies the permit application for the new primary dwelling. Further, if the applicant requests a delay, the 60-day time period shall be tolled for the period of the requested delay.</w:t>
      </w:r>
      <w:r w:rsidR="005D0057">
        <w:t xml:space="preserve"> </w:t>
      </w:r>
    </w:p>
    <w:p w14:paraId="7A09F5EF" w14:textId="2A6395CB" w:rsidR="00BD3A5F" w:rsidRPr="00792B37" w:rsidRDefault="006206B1" w:rsidP="00993D44">
      <w:pPr>
        <w:pStyle w:val="1ListParagraph"/>
      </w:pPr>
      <w:r w:rsidRPr="00792B37">
        <w:t xml:space="preserve"> If the permit application is determined to be incomplete or is denied, the applicant may appeal the [</w:t>
      </w:r>
      <w:r w:rsidRPr="00792B37">
        <w:rPr>
          <w:highlight w:val="yellow"/>
        </w:rPr>
        <w:t>City/County</w:t>
      </w:r>
      <w:r w:rsidRPr="00792B37">
        <w:t>]’s decision to the [</w:t>
      </w:r>
      <w:r w:rsidRPr="00792B37">
        <w:rPr>
          <w:highlight w:val="yellow"/>
        </w:rPr>
        <w:t>Planning Commission and/or City Council/Board of Supervisors</w:t>
      </w:r>
      <w:r w:rsidRPr="00792B37">
        <w:t>] by filing a written appeal with the [</w:t>
      </w:r>
      <w:r w:rsidRPr="00792B37">
        <w:rPr>
          <w:highlight w:val="yellow"/>
        </w:rPr>
        <w:t>example: secretary or clerk of the designated appeal body</w:t>
      </w:r>
      <w:r w:rsidRPr="00792B37">
        <w:t xml:space="preserve">] on a form provided by the </w:t>
      </w:r>
      <w:r w:rsidR="00A07457">
        <w:t>[</w:t>
      </w:r>
      <w:r w:rsidRPr="00D96791">
        <w:rPr>
          <w:highlight w:val="yellow"/>
        </w:rPr>
        <w:t>City/County</w:t>
      </w:r>
      <w:r w:rsidR="00A07457">
        <w:t>]</w:t>
      </w:r>
      <w:r w:rsidRPr="00792B37">
        <w:t>.</w:t>
      </w:r>
      <w:r w:rsidR="005D0057">
        <w:t xml:space="preserve"> </w:t>
      </w:r>
      <w:r w:rsidRPr="00792B37">
        <w:t>[</w:t>
      </w:r>
      <w:r w:rsidRPr="00792B37">
        <w:rPr>
          <w:b/>
          <w:bCs/>
          <w:i/>
          <w:iCs/>
          <w:highlight w:val="yellow"/>
        </w:rPr>
        <w:t>NOTE</w:t>
      </w:r>
      <w:r w:rsidRPr="00792B37">
        <w:rPr>
          <w:b/>
          <w:bCs/>
          <w:highlight w:val="yellow"/>
        </w:rPr>
        <w:t>:</w:t>
      </w:r>
      <w:r w:rsidRPr="00792B37">
        <w:rPr>
          <w:highlight w:val="yellow"/>
        </w:rPr>
        <w:t xml:space="preserve"> </w:t>
      </w:r>
      <w:r w:rsidRPr="00792B37">
        <w:rPr>
          <w:i/>
          <w:iCs/>
          <w:highlight w:val="yellow"/>
        </w:rPr>
        <w:t xml:space="preserve">Each permitting agency must provide a process for the applicant to appeal a negative decision on the application to create or serve an ADU/JADU. See Government Code Section 66317(d). </w:t>
      </w:r>
      <w:r w:rsidR="008D40C0">
        <w:rPr>
          <w:i/>
          <w:iCs/>
          <w:highlight w:val="yellow"/>
        </w:rPr>
        <w:t>A</w:t>
      </w:r>
      <w:r w:rsidR="008D40C0" w:rsidRPr="00792B37">
        <w:rPr>
          <w:i/>
          <w:iCs/>
          <w:highlight w:val="yellow"/>
        </w:rPr>
        <w:t>t the City/County’s option</w:t>
      </w:r>
      <w:r w:rsidR="008D40C0">
        <w:rPr>
          <w:i/>
          <w:iCs/>
          <w:highlight w:val="yellow"/>
        </w:rPr>
        <w:t>, t</w:t>
      </w:r>
      <w:r w:rsidRPr="00792B37">
        <w:rPr>
          <w:i/>
          <w:iCs/>
          <w:highlight w:val="yellow"/>
        </w:rPr>
        <w:t>he applicant has the right to appeal the City/County’s decision in writing to the governing body, the planning commission, or both</w:t>
      </w:r>
      <w:r w:rsidRPr="00792B37">
        <w:rPr>
          <w:highlight w:val="yellow"/>
        </w:rPr>
        <w:t>.</w:t>
      </w:r>
      <w:r w:rsidRPr="00792B37">
        <w:t>]</w:t>
      </w:r>
      <w:r w:rsidR="005D0057">
        <w:t xml:space="preserve"> </w:t>
      </w:r>
    </w:p>
    <w:p w14:paraId="6B2CBE05" w14:textId="372CE668" w:rsidR="00BD3A5F" w:rsidRPr="00792B37" w:rsidRDefault="006206B1" w:rsidP="00993D44">
      <w:pPr>
        <w:pStyle w:val="aListParagraph"/>
      </w:pPr>
      <w:r w:rsidRPr="00792B37">
        <w:t>[</w:t>
      </w:r>
      <w:r w:rsidRPr="00792B37">
        <w:rPr>
          <w:b/>
          <w:bCs/>
          <w:i/>
          <w:iCs/>
          <w:highlight w:val="yellow"/>
        </w:rPr>
        <w:t>Optional Provision</w:t>
      </w:r>
      <w:r w:rsidRPr="00792B37">
        <w:t>]</w:t>
      </w:r>
      <w:r w:rsidRPr="00792B37">
        <w:rPr>
          <w:b/>
          <w:bCs/>
          <w:i/>
          <w:iCs/>
        </w:rPr>
        <w:t xml:space="preserve"> </w:t>
      </w:r>
      <w:r w:rsidRPr="00792B37">
        <w:t xml:space="preserve">The applicant shall pay a processing fee established by the </w:t>
      </w:r>
      <w:r w:rsidR="000D3D0C">
        <w:t>[</w:t>
      </w:r>
      <w:r w:rsidRPr="008A2B31">
        <w:rPr>
          <w:highlight w:val="yellow"/>
        </w:rPr>
        <w:t>City/County</w:t>
      </w:r>
      <w:r w:rsidR="000D3D0C">
        <w:t>]</w:t>
      </w:r>
      <w:r w:rsidRPr="00792B37">
        <w:t xml:space="preserve">. </w:t>
      </w:r>
    </w:p>
    <w:p w14:paraId="2E82C1D3" w14:textId="5CE57E76" w:rsidR="00BD3A5F" w:rsidRPr="00792B37" w:rsidRDefault="006206B1" w:rsidP="00993D44">
      <w:pPr>
        <w:pStyle w:val="aListParagraph"/>
      </w:pPr>
      <w:r w:rsidRPr="00792B37">
        <w:t>[</w:t>
      </w:r>
      <w:r w:rsidRPr="00792B37">
        <w:rPr>
          <w:b/>
          <w:bCs/>
          <w:i/>
          <w:iCs/>
          <w:highlight w:val="yellow"/>
        </w:rPr>
        <w:t>Optional Provision</w:t>
      </w:r>
      <w:r w:rsidRPr="00792B37">
        <w:t xml:space="preserve">] The written appeal must be submitted within </w:t>
      </w:r>
      <w:bookmarkStart w:id="2" w:name="OLE_LINK1"/>
      <w:r w:rsidR="00D964EA">
        <w:t>[</w:t>
      </w:r>
      <w:r w:rsidRPr="00D96791">
        <w:rPr>
          <w:highlight w:val="yellow"/>
        </w:rPr>
        <w:t>_____</w:t>
      </w:r>
      <w:r w:rsidR="00D964EA">
        <w:t>]</w:t>
      </w:r>
      <w:r w:rsidRPr="00792B37">
        <w:t xml:space="preserve"> </w:t>
      </w:r>
      <w:bookmarkEnd w:id="2"/>
      <w:r w:rsidRPr="00792B37">
        <w:t xml:space="preserve">days of the </w:t>
      </w:r>
      <w:r w:rsidR="000D3D0C">
        <w:t>[</w:t>
      </w:r>
      <w:r w:rsidRPr="008A2B31">
        <w:rPr>
          <w:highlight w:val="yellow"/>
        </w:rPr>
        <w:t>City/County</w:t>
      </w:r>
      <w:r w:rsidR="000D3D0C">
        <w:t>]</w:t>
      </w:r>
      <w:r w:rsidRPr="00792B37">
        <w:t>’s determination regarding the completeness or denial of the application.</w:t>
      </w:r>
    </w:p>
    <w:p w14:paraId="695286CE" w14:textId="49766982" w:rsidR="00BD3A5F" w:rsidRPr="00792B37" w:rsidRDefault="006206B1" w:rsidP="00993D44">
      <w:pPr>
        <w:pStyle w:val="aListParagraph"/>
      </w:pPr>
      <w:r w:rsidRPr="00792B37">
        <w:t>[</w:t>
      </w:r>
      <w:r w:rsidRPr="00792B37">
        <w:rPr>
          <w:b/>
          <w:bCs/>
          <w:i/>
          <w:iCs/>
          <w:highlight w:val="yellow"/>
        </w:rPr>
        <w:t>Optional Provision</w:t>
      </w:r>
      <w:r w:rsidRPr="00792B37">
        <w:t xml:space="preserve">] The </w:t>
      </w:r>
      <w:r w:rsidR="000D3D0C">
        <w:t>[</w:t>
      </w:r>
      <w:r w:rsidRPr="008A2B31">
        <w:rPr>
          <w:highlight w:val="yellow"/>
        </w:rPr>
        <w:t>City/County</w:t>
      </w:r>
      <w:r w:rsidR="000D3D0C">
        <w:t>]</w:t>
      </w:r>
      <w:r w:rsidRPr="00792B37">
        <w:t xml:space="preserve"> will schedule an appeal hearing within </w:t>
      </w:r>
      <w:r w:rsidR="00D964EA">
        <w:t>[</w:t>
      </w:r>
      <w:r w:rsidR="00D964EA" w:rsidRPr="00D90BDF">
        <w:rPr>
          <w:highlight w:val="yellow"/>
        </w:rPr>
        <w:t>_____</w:t>
      </w:r>
      <w:r w:rsidR="00D964EA">
        <w:t>]</w:t>
      </w:r>
      <w:r w:rsidR="00D964EA" w:rsidRPr="00792B37">
        <w:t xml:space="preserve"> </w:t>
      </w:r>
      <w:r w:rsidRPr="00792B37">
        <w:t>days of receiving the applicant’s written appeal.</w:t>
      </w:r>
    </w:p>
    <w:p w14:paraId="1E0A6DCC" w14:textId="63804F27" w:rsidR="00BD3A5F" w:rsidRDefault="006206B1" w:rsidP="00993D44">
      <w:pPr>
        <w:pStyle w:val="aListParagraph"/>
      </w:pPr>
      <w:r w:rsidRPr="00792B37">
        <w:t xml:space="preserve">The </w:t>
      </w:r>
      <w:r w:rsidR="000D3D0C">
        <w:t>[</w:t>
      </w:r>
      <w:r w:rsidRPr="008A2B31">
        <w:rPr>
          <w:highlight w:val="yellow"/>
        </w:rPr>
        <w:t>City/County</w:t>
      </w:r>
      <w:r w:rsidR="000D3D0C">
        <w:t>]</w:t>
      </w:r>
      <w:r w:rsidRPr="00792B37">
        <w:t xml:space="preserve"> will make a final written determination on the applicant’s appeal within 60 business days of receiving the applicant’s written appeal.</w:t>
      </w:r>
    </w:p>
    <w:p w14:paraId="5DE47C60" w14:textId="16B7ED98" w:rsidR="000D3D0C" w:rsidRDefault="006206B1" w:rsidP="00993D44">
      <w:pPr>
        <w:pStyle w:val="1ListParagraph"/>
      </w:pPr>
      <w:r>
        <w:t>The [</w:t>
      </w:r>
      <w:r w:rsidRPr="008A2B31">
        <w:rPr>
          <w:highlight w:val="yellow"/>
        </w:rPr>
        <w:t>City/County</w:t>
      </w:r>
      <w:r>
        <w:t xml:space="preserve">] shall not issue a certificate of occupancy or approve a final inspection for an accessory dwelling unit before the </w:t>
      </w:r>
      <w:r w:rsidR="00F10285">
        <w:t>[</w:t>
      </w:r>
      <w:r w:rsidR="00F10285" w:rsidRPr="000A25BC">
        <w:rPr>
          <w:highlight w:val="yellow"/>
        </w:rPr>
        <w:t>City/County</w:t>
      </w:r>
      <w:r w:rsidR="00F10285">
        <w:t xml:space="preserve">] </w:t>
      </w:r>
      <w:r>
        <w:t>issues a certificate of occupancy for the primary dwelling on the lot, unless all of the following are true:</w:t>
      </w:r>
    </w:p>
    <w:p w14:paraId="21846830" w14:textId="67B80E4F" w:rsidR="000D3D0C" w:rsidRDefault="006206B1" w:rsidP="00993D44">
      <w:pPr>
        <w:pStyle w:val="aListParagraph"/>
      </w:pPr>
      <w:r>
        <w:t xml:space="preserve">the </w:t>
      </w:r>
      <w:r w:rsidRPr="000D3D0C">
        <w:rPr>
          <w:highlight w:val="yellow"/>
        </w:rPr>
        <w:t>County</w:t>
      </w:r>
      <w:r w:rsidRPr="008A2B31">
        <w:rPr>
          <w:highlight w:val="yellow"/>
        </w:rPr>
        <w:t xml:space="preserve"> of [__________]</w:t>
      </w:r>
      <w:r>
        <w:t xml:space="preserve"> is subject to a state of emergency as described in Government Code Section 66328; and</w:t>
      </w:r>
    </w:p>
    <w:p w14:paraId="6F9DAFD5" w14:textId="59180C7A" w:rsidR="000D3D0C" w:rsidRDefault="006206B1" w:rsidP="00993D44">
      <w:pPr>
        <w:pStyle w:val="aListParagraph"/>
      </w:pPr>
      <w:r>
        <w:lastRenderedPageBreak/>
        <w:t>the accessory dwelling unit is not attached to the primary dwelling;</w:t>
      </w:r>
    </w:p>
    <w:p w14:paraId="0F6F79A4" w14:textId="55834FED" w:rsidR="000D3D0C" w:rsidRDefault="006206B1" w:rsidP="00993D44">
      <w:pPr>
        <w:pStyle w:val="aListParagraph"/>
      </w:pPr>
      <w:r>
        <w:t>the primary dwelling was substantially damaged or destroyed by an event referenced in the state of emergency proclamation issued by the Governor; and</w:t>
      </w:r>
    </w:p>
    <w:p w14:paraId="5A09F691" w14:textId="277841E3" w:rsidR="000D3D0C" w:rsidRPr="00792B37" w:rsidRDefault="006206B1" w:rsidP="00993D44">
      <w:pPr>
        <w:pStyle w:val="aListParagraph"/>
      </w:pPr>
      <w:r>
        <w:t xml:space="preserve">the accessory dwelling unit has been issued construction permits and has passed all required inspections. </w:t>
      </w:r>
    </w:p>
    <w:p w14:paraId="1122E03D" w14:textId="77777777" w:rsidR="00BD3A5F" w:rsidRPr="00792B37" w:rsidRDefault="006206B1" w:rsidP="00BD3A5F">
      <w:pPr>
        <w:pStyle w:val="ListParagraph"/>
        <w:rPr>
          <w:b/>
          <w:bCs/>
        </w:rPr>
      </w:pPr>
      <w:r w:rsidRPr="00792B37">
        <w:rPr>
          <w:b/>
          <w:bCs/>
        </w:rPr>
        <w:t xml:space="preserve">Utilities and Impact Fees. </w:t>
      </w:r>
    </w:p>
    <w:p w14:paraId="02012F53" w14:textId="77777777" w:rsidR="00BD3A5F" w:rsidRPr="00792B37" w:rsidRDefault="006206B1" w:rsidP="00993D44">
      <w:pPr>
        <w:pStyle w:val="1ListParagraph"/>
        <w:rPr>
          <w:b/>
          <w:bCs/>
        </w:rPr>
      </w:pPr>
      <w:r w:rsidRPr="00D96791">
        <w:rPr>
          <w:u w:val="single"/>
        </w:rPr>
        <w:t>Fees and Utility Connections for Accessory Dwelling Units</w:t>
      </w:r>
      <w:r w:rsidRPr="00D96791">
        <w:t>.</w:t>
      </w:r>
      <w:r w:rsidRPr="00792B37">
        <w:t xml:space="preserve"> All permit and mitigation fees and other charges applicable to primary dwellings in the zone in which the property is located shall apply to an accessory dwelling unit except: </w:t>
      </w:r>
    </w:p>
    <w:p w14:paraId="0281283F" w14:textId="77777777" w:rsidR="00BD3A5F" w:rsidRPr="00792B37" w:rsidRDefault="006206B1" w:rsidP="00993D44">
      <w:pPr>
        <w:pStyle w:val="aListParagraph"/>
        <w:rPr>
          <w:b/>
          <w:bCs/>
        </w:rPr>
      </w:pPr>
      <w:r w:rsidRPr="00792B37">
        <w:t>Accessory dwelling units shall not be considered new residential uses for the purposes of calculating any connection fees or capacity charges for utilities, including water and sewer service, unless the accessory dwelling unit is constructed with a new single-family dwelling. [</w:t>
      </w:r>
      <w:r w:rsidRPr="00792B37">
        <w:rPr>
          <w:b/>
          <w:bCs/>
          <w:i/>
          <w:iCs/>
          <w:highlight w:val="yellow"/>
        </w:rPr>
        <w:t>Optional Provision</w:t>
      </w:r>
      <w:r w:rsidRPr="00792B37">
        <w:t>]</w:t>
      </w:r>
      <w:r w:rsidRPr="00792B37">
        <w:rPr>
          <w:b/>
          <w:bCs/>
          <w:i/>
          <w:iCs/>
        </w:rPr>
        <w:t xml:space="preserve"> </w:t>
      </w:r>
      <w:r w:rsidRPr="00792B37">
        <w:t>An accessory dwelling unit that contains less than 500 square feet of interior livable space shall be considered other residential construction that does not increase assessable space by 500 square feet for the purpose of California Education Code Section 17620(a)(1)(C).</w:t>
      </w:r>
    </w:p>
    <w:p w14:paraId="2FF1A8FF" w14:textId="5EBA751E" w:rsidR="00BD3A5F" w:rsidRPr="00792B37" w:rsidRDefault="006206B1" w:rsidP="00993D44">
      <w:pPr>
        <w:pStyle w:val="aListParagraph"/>
        <w:rPr>
          <w:b/>
          <w:bCs/>
        </w:rPr>
      </w:pPr>
      <w:r w:rsidRPr="00792B37">
        <w:t xml:space="preserve">An interior accessory dwelling unit developed under subsection </w:t>
      </w:r>
      <w:r w:rsidR="007279F2">
        <w:t>C.1</w:t>
      </w:r>
      <w:r w:rsidRPr="00792B37">
        <w:t xml:space="preserve"> above on a single-family property is exempt from any requirement to install a new or separate utility connection and to pay any associated connection or capacity fees or charges, unless the interior accessory dwelling unit was constructed with a new single-family dwelling [</w:t>
      </w:r>
      <w:r w:rsidRPr="00792B37">
        <w:rPr>
          <w:b/>
          <w:bCs/>
          <w:i/>
          <w:iCs/>
          <w:highlight w:val="yellow"/>
        </w:rPr>
        <w:t xml:space="preserve">Add if applicable: </w:t>
      </w:r>
      <w:r w:rsidRPr="00792B37">
        <w:rPr>
          <w:i/>
          <w:iCs/>
          <w:highlight w:val="yellow"/>
        </w:rPr>
        <w:t xml:space="preserve">or upon separate conveyance of the accessory dwelling unit pursuant to subsection </w:t>
      </w:r>
      <w:r w:rsidR="00675A5A">
        <w:rPr>
          <w:i/>
          <w:iCs/>
          <w:highlight w:val="yellow"/>
        </w:rPr>
        <w:t>J</w:t>
      </w:r>
      <w:r w:rsidR="007279F2">
        <w:rPr>
          <w:i/>
          <w:iCs/>
          <w:highlight w:val="yellow"/>
        </w:rPr>
        <w:t xml:space="preserve">.2 </w:t>
      </w:r>
      <w:r w:rsidRPr="00792B37">
        <w:rPr>
          <w:i/>
          <w:iCs/>
          <w:highlight w:val="yellow"/>
        </w:rPr>
        <w:t>above</w:t>
      </w:r>
      <w:r w:rsidRPr="00792B37">
        <w:rPr>
          <w:highlight w:val="yellow"/>
        </w:rPr>
        <w:t>.</w:t>
      </w:r>
      <w:r w:rsidRPr="00792B37">
        <w:t>]. [</w:t>
      </w:r>
      <w:r w:rsidRPr="00792B37">
        <w:rPr>
          <w:b/>
          <w:bCs/>
          <w:i/>
          <w:iCs/>
          <w:highlight w:val="yellow"/>
        </w:rPr>
        <w:t xml:space="preserve">NOTE: </w:t>
      </w:r>
      <w:r w:rsidRPr="00792B37">
        <w:rPr>
          <w:i/>
          <w:iCs/>
          <w:highlight w:val="yellow"/>
        </w:rPr>
        <w:t>If allowing for the separate conveyance of the accessory dwelling unit as a condominium under Government Code 66342, the connection requirement and fee can be required by the jurisdiction.</w:t>
      </w:r>
      <w:r w:rsidRPr="00792B37">
        <w:t>] [</w:t>
      </w:r>
      <w:r w:rsidRPr="00792B37">
        <w:rPr>
          <w:b/>
          <w:bCs/>
          <w:i/>
          <w:iCs/>
          <w:highlight w:val="yellow"/>
        </w:rPr>
        <w:t>Optional Provision:</w:t>
      </w:r>
      <w:r w:rsidRPr="00792B37">
        <w:rPr>
          <w:highlight w:val="yellow"/>
        </w:rPr>
        <w:t xml:space="preserve"> </w:t>
      </w:r>
      <w:r w:rsidRPr="00792B37">
        <w:rPr>
          <w:i/>
          <w:iCs/>
          <w:highlight w:val="yellow"/>
        </w:rPr>
        <w:t xml:space="preserve">The following sentence is an optional provision. See Government Code Section </w:t>
      </w:r>
      <w:r w:rsidR="007279F2" w:rsidRPr="00792B37">
        <w:rPr>
          <w:i/>
          <w:iCs/>
          <w:highlight w:val="yellow"/>
        </w:rPr>
        <w:t>663</w:t>
      </w:r>
      <w:r w:rsidR="007279F2">
        <w:rPr>
          <w:i/>
          <w:iCs/>
          <w:highlight w:val="yellow"/>
        </w:rPr>
        <w:t>11.5</w:t>
      </w:r>
      <w:r w:rsidRPr="00792B37">
        <w:rPr>
          <w:i/>
          <w:iCs/>
          <w:highlight w:val="yellow"/>
        </w:rPr>
        <w:t>(e).</w:t>
      </w:r>
      <w:r w:rsidRPr="00792B37">
        <w:t xml:space="preserve">] For other accessory dwelling units, new or separate utility connections are required between the accessory dwelling unit and the utility. </w:t>
      </w:r>
    </w:p>
    <w:p w14:paraId="64ECFA46" w14:textId="77777777" w:rsidR="00BD3A5F" w:rsidRPr="00792B37" w:rsidRDefault="006206B1" w:rsidP="00993D44">
      <w:pPr>
        <w:pStyle w:val="aListParagraph"/>
        <w:rPr>
          <w:b/>
          <w:bCs/>
        </w:rPr>
      </w:pPr>
      <w:r w:rsidRPr="00792B37">
        <w:lastRenderedPageBreak/>
        <w:t xml:space="preserve">Any connection or capacity charge shall be proportionate to the burden of the proposed accessory dwelling unit on the water or sewer system, based on either its square feet or the number of drainage fixture units. </w:t>
      </w:r>
    </w:p>
    <w:p w14:paraId="24573422" w14:textId="5ECF2410" w:rsidR="00BD3A5F" w:rsidRPr="00D96791" w:rsidRDefault="006206B1" w:rsidP="00993D44">
      <w:pPr>
        <w:pStyle w:val="aListParagraph"/>
        <w:rPr>
          <w:b/>
          <w:bCs/>
        </w:rPr>
      </w:pPr>
      <w:r w:rsidRPr="00792B37">
        <w:t xml:space="preserve">No impact fees shall be imposed upon the development of an accessory dwelling unit </w:t>
      </w:r>
      <w:r w:rsidR="00283CC5">
        <w:t xml:space="preserve">that has </w:t>
      </w:r>
      <w:r w:rsidRPr="00792B37">
        <w:t xml:space="preserve">750 square feet or less of interior livable space. Any impact fees charged for an accessory dwelling unit that has more than 750 square feet of interior livable space shall be charged proportionately in relation to the square footage of the primary dwelling unit. For purposes of this provision, an </w:t>
      </w:r>
      <w:r w:rsidR="00FC2358">
        <w:t>“</w:t>
      </w:r>
      <w:r w:rsidRPr="00792B37">
        <w:t>impact fee</w:t>
      </w:r>
      <w:r w:rsidR="00FC2358">
        <w:t>”</w:t>
      </w:r>
      <w:r w:rsidRPr="00792B37">
        <w:t xml:space="preserve"> includes the fees specified in Government Code Sections 66000 and 66477. Impact fees do not include connection fees or capacity charges. </w:t>
      </w:r>
    </w:p>
    <w:p w14:paraId="5DDDDB84" w14:textId="504C8BA6" w:rsidR="00E40A16" w:rsidRPr="00792B37" w:rsidRDefault="006206B1" w:rsidP="00993D44">
      <w:pPr>
        <w:pStyle w:val="aListParagraph"/>
        <w:rPr>
          <w:b/>
          <w:bCs/>
        </w:rPr>
      </w:pPr>
      <w:r w:rsidRPr="00792B37">
        <w:t>[</w:t>
      </w:r>
      <w:r w:rsidRPr="00792B37">
        <w:rPr>
          <w:b/>
          <w:bCs/>
          <w:i/>
          <w:iCs/>
          <w:highlight w:val="yellow"/>
        </w:rPr>
        <w:t>Optional Provision.</w:t>
      </w:r>
      <w:r w:rsidRPr="00792B37">
        <w:t xml:space="preserve">] Accessory dwelling units may be separately metered. </w:t>
      </w:r>
    </w:p>
    <w:p w14:paraId="4077CB67" w14:textId="77777777" w:rsidR="00BD3A5F" w:rsidRPr="00D96791" w:rsidRDefault="006206B1" w:rsidP="00271C48">
      <w:pPr>
        <w:pStyle w:val="1ListParagraph"/>
      </w:pPr>
      <w:r w:rsidRPr="00271C48">
        <w:rPr>
          <w:u w:val="single"/>
        </w:rPr>
        <w:t>Fees and Utility Connections for Junior Accessory Dwelling Units</w:t>
      </w:r>
      <w:r w:rsidRPr="00D96791">
        <w:t xml:space="preserve">. </w:t>
      </w:r>
    </w:p>
    <w:p w14:paraId="4EC2FA18" w14:textId="77777777" w:rsidR="00BD3A5F" w:rsidRPr="00792B37" w:rsidRDefault="006206B1" w:rsidP="00271C48">
      <w:pPr>
        <w:pStyle w:val="aListParagraph"/>
        <w:rPr>
          <w:b/>
          <w:bCs/>
        </w:rPr>
      </w:pPr>
      <w:r w:rsidRPr="00792B37">
        <w:t>Junior accessory dwelling units shall not be considered new residential uses for the purposes of calculating any connection fees or capacity charges for utilities, including water and sewer service, unless the junior accessory dwelling unit is constructed with a new single-family dwelling. [</w:t>
      </w:r>
      <w:r w:rsidRPr="00792B37">
        <w:rPr>
          <w:b/>
          <w:bCs/>
          <w:i/>
          <w:iCs/>
          <w:highlight w:val="yellow"/>
        </w:rPr>
        <w:t>Optional Provision</w:t>
      </w:r>
      <w:r w:rsidRPr="00792B37">
        <w:t>] A junior accessory dwelling unit that contains less than 500 square feet of interior livable space shall be considered other residential construction that does not increase assessable space by 500 square feet for the purpose of California Education Code Section 17620(a)(1)(C).</w:t>
      </w:r>
    </w:p>
    <w:p w14:paraId="29015618" w14:textId="77777777" w:rsidR="00BD3A5F" w:rsidRPr="00792B37" w:rsidRDefault="006206B1" w:rsidP="00271C48">
      <w:pPr>
        <w:pStyle w:val="aListParagraph"/>
        <w:rPr>
          <w:b/>
          <w:bCs/>
        </w:rPr>
      </w:pPr>
      <w:r w:rsidRPr="00792B37">
        <w:t>A junior accessory dwelling unit is exempt from any requirement to install a new or separate utility connection and to pay any associated connection or capacity fees or charges, unless the junior accessory dwelling unit was constructed with a new single-family dwelling.</w:t>
      </w:r>
    </w:p>
    <w:p w14:paraId="3350955C" w14:textId="77777777" w:rsidR="00BD3A5F" w:rsidRPr="00792B37" w:rsidRDefault="006206B1" w:rsidP="00271C48">
      <w:pPr>
        <w:pStyle w:val="aListParagraph"/>
        <w:rPr>
          <w:b/>
          <w:bCs/>
        </w:rPr>
      </w:pPr>
      <w:r w:rsidRPr="00792B37">
        <w:t xml:space="preserve">For the purposes of providing service for water, sewer, or power, a junior accessory dwelling unit is not considered a separate or new dwelling unit. No water, sewer, or power requirements may be applied to single-family dwellings containing a junior accessory dwelling unit unless they apply uniformly to all single-family dwellings in the zone regardless of whether or not they contain a junior accessory dwelling unit. </w:t>
      </w:r>
    </w:p>
    <w:p w14:paraId="140FE334" w14:textId="2AB51995" w:rsidR="00C52865" w:rsidRPr="00D96791" w:rsidRDefault="006206B1" w:rsidP="00271C48">
      <w:pPr>
        <w:pStyle w:val="aListParagraph"/>
        <w:rPr>
          <w:b/>
          <w:bCs/>
        </w:rPr>
      </w:pPr>
      <w:r w:rsidRPr="00792B37">
        <w:lastRenderedPageBreak/>
        <w:t xml:space="preserve">No impact fees shall be imposed upon the development of a junior accessory dwelling unit. For purposes of this provision, an </w:t>
      </w:r>
      <w:r w:rsidR="00AA1B31">
        <w:t>“</w:t>
      </w:r>
      <w:r w:rsidRPr="00792B37">
        <w:t>impact fee</w:t>
      </w:r>
      <w:r w:rsidR="00AA1B31">
        <w:t>”</w:t>
      </w:r>
      <w:r w:rsidRPr="00792B37">
        <w:t xml:space="preserve"> includes the fees specified in Government Code Sections 66000 and 66477. Impact fees do not include connection fees or capacity charges. </w:t>
      </w:r>
    </w:p>
    <w:p w14:paraId="578C997F" w14:textId="338878B8" w:rsidR="00BD3A5F" w:rsidRPr="00E40A16" w:rsidRDefault="7B514FBB" w:rsidP="00271C48">
      <w:pPr>
        <w:pStyle w:val="1ListParagraph"/>
        <w:rPr>
          <w:b/>
          <w:bCs/>
        </w:rPr>
      </w:pPr>
      <w:r w:rsidRPr="7B514FBB">
        <w:rPr>
          <w:u w:val="single"/>
        </w:rPr>
        <w:t>Impact Fees and Connection or Capacity Charges for Previously Unpermitted Units</w:t>
      </w:r>
      <w:r>
        <w:t>. Previously unpermitted accessory dwelling units or previously unpermitted junior accessory dwelling units constructed before January 1, 2020, and permitted pursuant to subsection H.3 are not required to pay impact fees or connection or capacity charges except when the utility infrastructure is required to comply with Health &amp; Safety Code Section 17920.3.</w:t>
      </w:r>
    </w:p>
    <w:p w14:paraId="0AB44BB6" w14:textId="7330A906" w:rsidR="00004DAC" w:rsidRDefault="006206B1" w:rsidP="00825C48">
      <w:pPr>
        <w:pStyle w:val="ListParagraph"/>
      </w:pPr>
      <w:r w:rsidRPr="00792B37">
        <w:rPr>
          <w:b/>
          <w:bCs/>
        </w:rPr>
        <w:t>No conflict with state law.</w:t>
      </w:r>
      <w:r w:rsidRPr="00792B37">
        <w:t xml:space="preserve"> If any provision of this section conflicts with Government Code Section 66310 et seq. or other applicable state law, state law shall supersede the provisions of this section. </w:t>
      </w:r>
      <w:bookmarkEnd w:id="0"/>
    </w:p>
    <w:p w14:paraId="2CD12F10" w14:textId="77777777" w:rsidR="00004DAC" w:rsidRDefault="00004DAC">
      <w:pPr>
        <w:spacing w:before="40" w:after="120" w:line="240" w:lineRule="auto"/>
        <w:jc w:val="both"/>
      </w:pPr>
      <w:r>
        <w:br w:type="page"/>
      </w:r>
    </w:p>
    <w:p w14:paraId="7585FA4A" w14:textId="77777777" w:rsidR="00004DAC" w:rsidRPr="00F00A84" w:rsidRDefault="00004DAC" w:rsidP="00004DAC">
      <w:pPr>
        <w:pStyle w:val="Heading2"/>
      </w:pPr>
      <w:r w:rsidRPr="00F00A84">
        <w:lastRenderedPageBreak/>
        <w:t>Attachment A</w:t>
      </w:r>
      <w:r>
        <w:t xml:space="preserve">: </w:t>
      </w:r>
      <w:r w:rsidRPr="00F00A84">
        <w:t>Notice to ADU/JADU Applicants</w:t>
      </w:r>
    </w:p>
    <w:p w14:paraId="2FDFE231" w14:textId="77777777" w:rsidR="00004DAC" w:rsidRPr="00F92DA5" w:rsidRDefault="00004DAC" w:rsidP="00004DAC">
      <w:pPr>
        <w:pStyle w:val="Note"/>
        <w:ind w:left="0"/>
      </w:pPr>
      <w:r>
        <w:t>[</w:t>
      </w:r>
      <w:r w:rsidRPr="00F00A84">
        <w:rPr>
          <w:b/>
          <w:bCs/>
          <w:highlight w:val="yellow"/>
        </w:rPr>
        <w:t>Note:</w:t>
      </w:r>
      <w:r w:rsidRPr="00F00A84">
        <w:rPr>
          <w:highlight w:val="yellow"/>
        </w:rPr>
        <w:t xml:space="preserve"> If a local jurisdiction allows the separate sale or conveyance of an accessory dwelling unit as a condominium, the local jurisdiction must include the following notice to consumers on any ADU/JADU submittal checklist or public information issued describing requirements and permitting for accessory dwelling units. Please check Government Code Section 66342(e) to confirm whether the notice language has been updated.</w:t>
      </w:r>
      <w:r w:rsidRPr="00F00A84">
        <w:t>]</w:t>
      </w:r>
    </w:p>
    <w:p w14:paraId="3AF54EA3" w14:textId="77777777" w:rsidR="00004DAC" w:rsidRPr="00F00A84" w:rsidRDefault="00004DAC" w:rsidP="00004DAC">
      <w:r w:rsidRPr="00F00A84">
        <w:t>“NOTICE: If you are considering establishing your primary dwelling unit and accessory dwelling unit as a condominium, please ensure that your building permitting agency allows this practice. If you decide to establish your primary dwelling unit and accessory dwelling unit as a condominium, your condominium plan or any future modifications to the condominium plan must be recorded with the County Recorder. Prior to recordation or modification of your subdivision map and condominium plan, any lienholder with a lien on your title must provide a form of written consent either on the condominium plan, or on the lienholder’s consent form attached to the condominium plan, with text that clearly states that the lender approves recordation of the condominium plan and that you have satisfied their terms and conditions, if any.</w:t>
      </w:r>
    </w:p>
    <w:p w14:paraId="6FD69F13" w14:textId="77777777" w:rsidR="00004DAC" w:rsidRPr="00F00A84" w:rsidRDefault="00004DAC" w:rsidP="00004DAC">
      <w:r w:rsidRPr="00F00A84">
        <w:t>In order to secure lender consent, you may be required to follow additional lender requirements, which may include, but are not limited to, one or more of the following:</w:t>
      </w:r>
    </w:p>
    <w:p w14:paraId="17A19045" w14:textId="77777777" w:rsidR="00004DAC" w:rsidRPr="00F00A84" w:rsidRDefault="00004DAC" w:rsidP="00004DAC">
      <w:r w:rsidRPr="00F00A84">
        <w:t>(a) Paying off your current lender.</w:t>
      </w:r>
    </w:p>
    <w:p w14:paraId="2C285DFE" w14:textId="77777777" w:rsidR="00004DAC" w:rsidRPr="00F00A84" w:rsidRDefault="00004DAC" w:rsidP="00004DAC">
      <w:r w:rsidRPr="00F00A84">
        <w:t>You may pay off your mortgage and any liens through a refinance or a new loan. Be aware that refinancing or using a new loan may result in changes to your interest rate or tax basis. Also, be aware that any subsequent modification to your subdivision map or condominium plan must also be consented to by your lender, which consent may be denied.</w:t>
      </w:r>
    </w:p>
    <w:p w14:paraId="23AA9239" w14:textId="77777777" w:rsidR="00004DAC" w:rsidRPr="00F00A84" w:rsidRDefault="00004DAC" w:rsidP="00004DAC">
      <w:r w:rsidRPr="00F00A84">
        <w:t>(b) Securing your lender’s approval of a modification to their loan collateral due to the change of your current property legal description into one or more condominium parcels.</w:t>
      </w:r>
    </w:p>
    <w:p w14:paraId="61B849FB" w14:textId="77777777" w:rsidR="00004DAC" w:rsidRPr="00F00A84" w:rsidRDefault="00004DAC" w:rsidP="00004DAC">
      <w:r w:rsidRPr="00F00A84">
        <w:t>(c) Securing your lender’s consent to the details of any construction loan or ground lease.</w:t>
      </w:r>
    </w:p>
    <w:p w14:paraId="75FB01A4" w14:textId="77777777" w:rsidR="00004DAC" w:rsidRPr="00F00A84" w:rsidRDefault="00004DAC" w:rsidP="00004DAC">
      <w:r w:rsidRPr="00F00A84">
        <w:t>This may include a copy of the improvement contract entered in good faith with a licensed contractor, evidence that the record owner or ground lessee has the funds to complete the work, and a signed statement made by the record owner or ground lessor that the information in the consent above is true and correct.”</w:t>
      </w:r>
    </w:p>
    <w:p w14:paraId="7A3F8DD2" w14:textId="77777777" w:rsidR="00D81D8F" w:rsidRPr="00004DAC" w:rsidRDefault="00D81D8F" w:rsidP="00004DAC"/>
    <w:sectPr w:rsidR="00D81D8F" w:rsidRPr="00004DAC" w:rsidSect="006C7567">
      <w:headerReference w:type="default" r:id="rId15"/>
      <w:footerReference w:type="even" r:id="rId16"/>
      <w:footerReference w:type="default" r:id="rId17"/>
      <w:footerReference w:type="first" r:id="rId18"/>
      <w:type w:val="continuous"/>
      <w:pgSz w:w="12240" w:h="15840"/>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e Didech" w:date="2026-05-27T14:33:00Z" w:initials="KD">
    <w:p w14:paraId="6B77F369" w14:textId="77777777" w:rsidR="0064489D" w:rsidRDefault="0064489D" w:rsidP="0064489D">
      <w:r>
        <w:rPr>
          <w:rStyle w:val="CommentReference"/>
        </w:rPr>
        <w:annotationRef/>
      </w:r>
      <w:r>
        <w:rPr>
          <w:b/>
          <w:bCs/>
          <w:sz w:val="20"/>
          <w:szCs w:val="20"/>
        </w:rPr>
        <w:t xml:space="preserve">Instructions for customizing this template ordinance: </w:t>
      </w:r>
    </w:p>
    <w:p w14:paraId="73C1F482" w14:textId="77777777" w:rsidR="0064489D" w:rsidRDefault="0064489D" w:rsidP="0064489D">
      <w:r>
        <w:rPr>
          <w:sz w:val="20"/>
          <w:szCs w:val="20"/>
        </w:rPr>
        <w:t xml:space="preserve">Text that is in brackets and highlighted needs to be reviewed and should be customized with local details. </w:t>
      </w:r>
    </w:p>
    <w:p w14:paraId="72CE18AF" w14:textId="77777777" w:rsidR="0064489D" w:rsidRDefault="0064489D" w:rsidP="0064489D">
      <w:r>
        <w:rPr>
          <w:sz w:val="20"/>
          <w:szCs w:val="20"/>
          <w:highlight w:val="darkYellow"/>
        </w:rPr>
        <w:t xml:space="preserve">Yellow highlighted text is informational or optional text that must be reviewed and updated as needed. </w:t>
      </w:r>
    </w:p>
    <w:p w14:paraId="6795DC58" w14:textId="77777777" w:rsidR="0064489D" w:rsidRDefault="0064489D" w:rsidP="0064489D">
      <w:r>
        <w:rPr>
          <w:sz w:val="20"/>
          <w:szCs w:val="20"/>
        </w:rPr>
        <w:t xml:space="preserve">Remove brackets and highlighting after updating to local information. </w:t>
      </w:r>
    </w:p>
    <w:p w14:paraId="7815F09A" w14:textId="77777777" w:rsidR="0064489D" w:rsidRDefault="0064489D" w:rsidP="0064489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5F0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53EAB" w16cex:dateUtc="2026-05-27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5F09A" w16cid:durableId="73E53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C920" w14:textId="77777777" w:rsidR="00171D55" w:rsidRDefault="00171D55">
      <w:pPr>
        <w:spacing w:after="0" w:line="240" w:lineRule="auto"/>
      </w:pPr>
      <w:r>
        <w:separator/>
      </w:r>
    </w:p>
  </w:endnote>
  <w:endnote w:type="continuationSeparator" w:id="0">
    <w:p w14:paraId="6DA13C5B" w14:textId="77777777" w:rsidR="00171D55" w:rsidRDefault="0017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e35a0354-0a63-4a74-a588-9c58" w:displacedByCustomXml="next"/>
  <w:sdt>
    <w:sdtPr>
      <w:rPr>
        <w:rStyle w:val="PageNumber"/>
      </w:rPr>
      <w:id w:val="-91096930"/>
      <w:docPartObj>
        <w:docPartGallery w:val="Page Numbers (Bottom of Page)"/>
        <w:docPartUnique/>
      </w:docPartObj>
    </w:sdtPr>
    <w:sdtContent>
      <w:p w14:paraId="6AFA4765" w14:textId="77777777" w:rsidR="00D36455" w:rsidRDefault="006206B1" w:rsidP="00A00C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E91E5BB" w14:textId="77777777" w:rsidR="00D36455" w:rsidRDefault="006206B1">
    <w:pPr>
      <w:pStyle w:val="DocID"/>
    </w:pPr>
    <w:bookmarkStart w:id="4" w:name="_iDocIDField47649de2-f7d2-4046-9e44-be5f"/>
    <w:bookmarkEnd w:id="3"/>
    <w:r>
      <w:t>2089\06\4009484.6</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1215251"/>
      <w:docPartObj>
        <w:docPartGallery w:val="Page Numbers (Bottom of Page)"/>
        <w:docPartUnique/>
      </w:docPartObj>
    </w:sdtPr>
    <w:sdtContent>
      <w:p w14:paraId="31C5CCCA" w14:textId="77777777" w:rsidR="00D36455" w:rsidRDefault="006206B1" w:rsidP="00F23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E5A215E" w14:textId="44F8472A" w:rsidR="00D36455" w:rsidRDefault="00B80C67" w:rsidP="00BB03E5">
    <w:pPr>
      <w:ind w:right="360"/>
    </w:pPr>
    <w:r>
      <w:t>6</w:t>
    </w:r>
    <w:r w:rsidR="00BB03E5">
      <w:t>/</w:t>
    </w:r>
    <w:r>
      <w:t>17</w:t>
    </w:r>
    <w:r w:rsidR="00BB03E5">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3AE7" w14:textId="77777777" w:rsidR="00D7384E" w:rsidRDefault="006206B1">
    <w:pPr>
      <w:pStyle w:val="DocID"/>
    </w:pPr>
    <w:bookmarkStart w:id="5" w:name="_iDocIDFieldf93d7ba4-a208-472c-822a-983d"/>
    <w:r>
      <w:t>2089\06\4009484.6</w:t>
    </w:r>
    <w:bookmarkEnd w:id="5"/>
  </w:p>
  <w:p w14:paraId="7D82BBCA" w14:textId="6AA99E1E" w:rsidR="00D36455" w:rsidRDefault="006206B1" w:rsidP="00D7384E">
    <w:pPr>
      <w:pStyle w:val="DocID"/>
      <w:tabs>
        <w:tab w:val="center" w:pos="4680"/>
      </w:tabs>
    </w:pPr>
    <w:r w:rsidRPr="002B2D1A">
      <w:rPr>
        <w:noProof/>
        <w:spacing w:val="-2"/>
      </w:rPr>
      <w:t>2089\06\4009484.9</w:t>
    </w:r>
    <w:r w:rsidR="00697485" w:rsidRPr="00D738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BF94" w14:textId="77777777" w:rsidR="00171D55" w:rsidRDefault="00171D55">
      <w:pPr>
        <w:spacing w:after="0" w:line="240" w:lineRule="auto"/>
      </w:pPr>
      <w:r>
        <w:separator/>
      </w:r>
    </w:p>
  </w:footnote>
  <w:footnote w:type="continuationSeparator" w:id="0">
    <w:p w14:paraId="52D4BAA3" w14:textId="77777777" w:rsidR="00171D55" w:rsidRDefault="0017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FEA1" w14:textId="26F64465" w:rsidR="00BB6A16" w:rsidRPr="00BB6A16" w:rsidRDefault="006206B1">
    <w:pPr>
      <w:pStyle w:val="Header"/>
      <w:rPr>
        <w:b w:val="0"/>
        <w:bCs w:val="0"/>
      </w:rPr>
    </w:pPr>
    <w:r>
      <w:t xml:space="preserve">TEMPLATE ACCESSORY DWELLING UNIT </w:t>
    </w:r>
    <w:r w:rsidR="004F0694">
      <w:t xml:space="preserve">AND JUNIOR ACCESSORY DWELLING UNIT </w:t>
    </w:r>
    <w:r>
      <w:t>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F258A830"/>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1F44E74E"/>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D09C7CE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F38849F0"/>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E32CA0EE"/>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B947318"/>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098ED728"/>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CD42D76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96C4707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D8401F"/>
    <w:multiLevelType w:val="multilevel"/>
    <w:tmpl w:val="7C28731C"/>
    <w:lvl w:ilvl="0">
      <w:start w:val="1"/>
      <w:numFmt w:val="bullet"/>
      <w:pStyle w:val="ListBullets"/>
      <w:lvlText w:val=""/>
      <w:lvlJc w:val="left"/>
      <w:pPr>
        <w:ind w:left="1080" w:hanging="360"/>
      </w:pPr>
      <w:rPr>
        <w:rFonts w:ascii="Symbol" w:hAnsi="Symbol" w:hint="default"/>
        <w:b w:val="0"/>
        <w:i w:val="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04112ED8"/>
    <w:multiLevelType w:val="multilevel"/>
    <w:tmpl w:val="CFB608F6"/>
    <w:styleLink w:val="CurrentList8"/>
    <w:lvl w:ilvl="0">
      <w:start w:val="1"/>
      <w:numFmt w:val="upperLetter"/>
      <w:lvlText w:val="%1."/>
      <w:lvlJc w:val="left"/>
      <w:pPr>
        <w:tabs>
          <w:tab w:val="num" w:pos="720"/>
        </w:tabs>
        <w:ind w:left="720" w:hanging="720"/>
      </w:pPr>
      <w:rPr>
        <w:rFonts w:ascii="Calibri" w:hAnsi="Calibri" w:hint="default"/>
        <w:b w:val="0"/>
        <w:i w:val="0"/>
        <w:sz w:val="24"/>
      </w:rPr>
    </w:lvl>
    <w:lvl w:ilvl="1">
      <w:start w:val="1"/>
      <w:numFmt w:val="decimal"/>
      <w:lvlText w:val="%2."/>
      <w:lvlJc w:val="left"/>
      <w:pPr>
        <w:ind w:left="1080" w:hanging="360"/>
      </w:pPr>
      <w:rPr>
        <w:rFonts w:ascii="Calibri" w:hAnsi="Calibri" w:hint="default"/>
        <w:b w:val="0"/>
        <w:i w:val="0"/>
        <w:sz w:val="24"/>
      </w:rPr>
    </w:lvl>
    <w:lvl w:ilvl="2">
      <w:start w:val="1"/>
      <w:numFmt w:val="lowerLetter"/>
      <w:lvlText w:val="%3)"/>
      <w:lvlJc w:val="right"/>
      <w:pPr>
        <w:tabs>
          <w:tab w:val="num" w:pos="1800"/>
        </w:tabs>
        <w:ind w:left="1800" w:hanging="360"/>
      </w:pPr>
      <w:rPr>
        <w:rFonts w:ascii="Calibri" w:hAnsi="Calibri" w:hint="default"/>
        <w:b w:val="0"/>
        <w:i w:val="0"/>
        <w:sz w:val="24"/>
      </w:rPr>
    </w:lvl>
    <w:lvl w:ilvl="3">
      <w:start w:val="1"/>
      <w:numFmt w:val="lowerRoman"/>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 w15:restartNumberingAfterBreak="0">
    <w:nsid w:val="04D1076B"/>
    <w:multiLevelType w:val="multilevel"/>
    <w:tmpl w:val="0F9047A2"/>
    <w:lvl w:ilvl="0">
      <w:start w:val="1"/>
      <w:numFmt w:val="decimal"/>
      <w:lvlText w:val="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641AE0"/>
    <w:multiLevelType w:val="multilevel"/>
    <w:tmpl w:val="DF44BF58"/>
    <w:lvl w:ilvl="0">
      <w:start w:val="1"/>
      <w:numFmt w:val="upperLetter"/>
      <w:lvlText w:val="%1."/>
      <w:lvlJc w:val="left"/>
      <w:pPr>
        <w:tabs>
          <w:tab w:val="num" w:pos="1440"/>
        </w:tabs>
        <w:ind w:left="1440" w:hanging="720"/>
      </w:pPr>
      <w:rPr>
        <w:rFonts w:ascii="Calibri" w:hAnsi="Calibri" w:hint="default"/>
        <w:b w:val="0"/>
        <w:i w:val="0"/>
        <w:sz w:val="24"/>
      </w:rPr>
    </w:lvl>
    <w:lvl w:ilvl="1">
      <w:start w:val="1"/>
      <w:numFmt w:val="decimal"/>
      <w:lvlText w:val="%2."/>
      <w:lvlJc w:val="left"/>
      <w:pPr>
        <w:ind w:left="1800" w:hanging="360"/>
      </w:pPr>
      <w:rPr>
        <w:rFonts w:ascii="Calibri" w:hAnsi="Calibri" w:hint="default"/>
        <w:b w:val="0"/>
        <w:i w:val="0"/>
        <w:sz w:val="24"/>
      </w:rPr>
    </w:lvl>
    <w:lvl w:ilvl="2">
      <w:start w:val="1"/>
      <w:numFmt w:val="lowerLetter"/>
      <w:lvlText w:val="%3)"/>
      <w:lvlJc w:val="right"/>
      <w:pPr>
        <w:tabs>
          <w:tab w:val="num" w:pos="2520"/>
        </w:tabs>
        <w:ind w:left="2520" w:hanging="360"/>
      </w:pPr>
      <w:rPr>
        <w:rFonts w:ascii="Calibri" w:hAnsi="Calibri" w:hint="default"/>
        <w:b w:val="0"/>
        <w:i w:val="0"/>
        <w:sz w:val="24"/>
      </w:rPr>
    </w:lvl>
    <w:lvl w:ilvl="3">
      <w:start w:val="1"/>
      <w:numFmt w:val="lowerRoman"/>
      <w:lvlText w:val="%4."/>
      <w:lvlJc w:val="left"/>
      <w:pPr>
        <w:tabs>
          <w:tab w:val="num" w:pos="3240"/>
        </w:tabs>
        <w:ind w:left="3240" w:hanging="360"/>
      </w:pPr>
      <w:rPr>
        <w:rFonts w:ascii="Calibri" w:hAnsi="Calibri" w:hint="default"/>
        <w:b w:val="0"/>
        <w:i w:val="0"/>
        <w:sz w:val="24"/>
      </w:rPr>
    </w:lvl>
    <w:lvl w:ilvl="4">
      <w:start w:val="1"/>
      <w:numFmt w:val="upperRoman"/>
      <w:lvlText w:val="%5."/>
      <w:lvlJc w:val="left"/>
      <w:pPr>
        <w:tabs>
          <w:tab w:val="num" w:pos="3960"/>
        </w:tabs>
        <w:ind w:left="3960" w:hanging="360"/>
      </w:pPr>
      <w:rPr>
        <w:rFonts w:ascii="Calibri" w:hAnsi="Calibri" w:hint="default"/>
        <w:b w:val="0"/>
        <w:i w:val="0"/>
        <w:sz w:val="24"/>
      </w:rPr>
    </w:lvl>
    <w:lvl w:ilvl="5">
      <w:start w:val="1"/>
      <w:numFmt w:val="lowerLetter"/>
      <w:lvlText w:val="i%6)"/>
      <w:lvlJc w:val="right"/>
      <w:pPr>
        <w:tabs>
          <w:tab w:val="num" w:pos="4680"/>
        </w:tabs>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2215B0"/>
    <w:multiLevelType w:val="multilevel"/>
    <w:tmpl w:val="AEF0B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24765"/>
    <w:multiLevelType w:val="multilevel"/>
    <w:tmpl w:val="65DAB480"/>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1D79DA"/>
    <w:multiLevelType w:val="hybridMultilevel"/>
    <w:tmpl w:val="7E70361C"/>
    <w:lvl w:ilvl="0" w:tplc="0BBA4F30">
      <w:start w:val="1"/>
      <w:numFmt w:val="decimal"/>
      <w:pStyle w:val="SECTION"/>
      <w:lvlText w:val="SECTION %1:"/>
      <w:lvlJc w:val="left"/>
      <w:pPr>
        <w:ind w:left="1080" w:hanging="360"/>
      </w:pPr>
      <w:rPr>
        <w:rFonts w:hint="default"/>
        <w:b/>
        <w:bCs/>
      </w:rPr>
    </w:lvl>
    <w:lvl w:ilvl="1" w:tplc="3CDACAE8" w:tentative="1">
      <w:start w:val="1"/>
      <w:numFmt w:val="lowerLetter"/>
      <w:lvlText w:val="%2."/>
      <w:lvlJc w:val="left"/>
      <w:pPr>
        <w:ind w:left="1440" w:hanging="360"/>
      </w:pPr>
    </w:lvl>
    <w:lvl w:ilvl="2" w:tplc="BC4C2D48" w:tentative="1">
      <w:start w:val="1"/>
      <w:numFmt w:val="lowerRoman"/>
      <w:lvlText w:val="%3."/>
      <w:lvlJc w:val="right"/>
      <w:pPr>
        <w:ind w:left="2160" w:hanging="180"/>
      </w:pPr>
    </w:lvl>
    <w:lvl w:ilvl="3" w:tplc="86005830" w:tentative="1">
      <w:start w:val="1"/>
      <w:numFmt w:val="decimal"/>
      <w:lvlText w:val="%4."/>
      <w:lvlJc w:val="left"/>
      <w:pPr>
        <w:ind w:left="2880" w:hanging="360"/>
      </w:pPr>
    </w:lvl>
    <w:lvl w:ilvl="4" w:tplc="8DA8100C" w:tentative="1">
      <w:start w:val="1"/>
      <w:numFmt w:val="lowerLetter"/>
      <w:lvlText w:val="%5."/>
      <w:lvlJc w:val="left"/>
      <w:pPr>
        <w:ind w:left="3600" w:hanging="360"/>
      </w:pPr>
    </w:lvl>
    <w:lvl w:ilvl="5" w:tplc="FEF2216A" w:tentative="1">
      <w:start w:val="1"/>
      <w:numFmt w:val="lowerRoman"/>
      <w:lvlText w:val="%6."/>
      <w:lvlJc w:val="right"/>
      <w:pPr>
        <w:ind w:left="4320" w:hanging="180"/>
      </w:pPr>
    </w:lvl>
    <w:lvl w:ilvl="6" w:tplc="3A6481F6" w:tentative="1">
      <w:start w:val="1"/>
      <w:numFmt w:val="decimal"/>
      <w:lvlText w:val="%7."/>
      <w:lvlJc w:val="left"/>
      <w:pPr>
        <w:ind w:left="5040" w:hanging="360"/>
      </w:pPr>
    </w:lvl>
    <w:lvl w:ilvl="7" w:tplc="2972582C" w:tentative="1">
      <w:start w:val="1"/>
      <w:numFmt w:val="lowerLetter"/>
      <w:lvlText w:val="%8."/>
      <w:lvlJc w:val="left"/>
      <w:pPr>
        <w:ind w:left="5760" w:hanging="360"/>
      </w:pPr>
    </w:lvl>
    <w:lvl w:ilvl="8" w:tplc="28CEF276" w:tentative="1">
      <w:start w:val="1"/>
      <w:numFmt w:val="lowerRoman"/>
      <w:lvlText w:val="%9."/>
      <w:lvlJc w:val="right"/>
      <w:pPr>
        <w:ind w:left="6480" w:hanging="180"/>
      </w:pPr>
    </w:lvl>
  </w:abstractNum>
  <w:abstractNum w:abstractNumId="16" w15:restartNumberingAfterBreak="0">
    <w:nsid w:val="27011D5A"/>
    <w:multiLevelType w:val="multilevel"/>
    <w:tmpl w:val="0F9047A2"/>
    <w:styleLink w:val="CurrentList4"/>
    <w:lvl w:ilvl="0">
      <w:start w:val="1"/>
      <w:numFmt w:val="decimal"/>
      <w:lvlText w:val="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E93049"/>
    <w:multiLevelType w:val="multilevel"/>
    <w:tmpl w:val="6D70FF2C"/>
    <w:styleLink w:val="CurrentList9"/>
    <w:lvl w:ilvl="0">
      <w:start w:val="1"/>
      <w:numFmt w:val="upperLetter"/>
      <w:lvlText w:val="%1."/>
      <w:lvlJc w:val="left"/>
      <w:pPr>
        <w:tabs>
          <w:tab w:val="num" w:pos="720"/>
        </w:tabs>
        <w:ind w:left="720" w:hanging="720"/>
      </w:pPr>
      <w:rPr>
        <w:rFonts w:ascii="Calibri" w:hAnsi="Calibri" w:hint="default"/>
        <w:b w:val="0"/>
        <w:i w:val="0"/>
        <w:sz w:val="24"/>
      </w:rPr>
    </w:lvl>
    <w:lvl w:ilvl="1">
      <w:start w:val="1"/>
      <w:numFmt w:val="decimal"/>
      <w:lvlText w:val="%2."/>
      <w:lvlJc w:val="left"/>
      <w:pPr>
        <w:ind w:left="1080" w:hanging="360"/>
      </w:pPr>
      <w:rPr>
        <w:rFonts w:ascii="Calibri" w:hAnsi="Calibri" w:hint="default"/>
        <w:b w:val="0"/>
        <w:i w:val="0"/>
        <w:sz w:val="24"/>
      </w:rPr>
    </w:lvl>
    <w:lvl w:ilvl="2">
      <w:start w:val="1"/>
      <w:numFmt w:val="lowerLetter"/>
      <w:lvlText w:val="%3)"/>
      <w:lvlJc w:val="right"/>
      <w:pPr>
        <w:tabs>
          <w:tab w:val="num" w:pos="1800"/>
        </w:tabs>
        <w:ind w:left="1800" w:hanging="360"/>
      </w:pPr>
      <w:rPr>
        <w:rFonts w:ascii="Calibri" w:hAnsi="Calibri" w:hint="default"/>
        <w:b w:val="0"/>
        <w:i w:val="0"/>
        <w:sz w:val="24"/>
      </w:rPr>
    </w:lvl>
    <w:lvl w:ilvl="3">
      <w:start w:val="1"/>
      <w:numFmt w:val="lowerRoman"/>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8" w15:restartNumberingAfterBreak="0">
    <w:nsid w:val="38F559CF"/>
    <w:multiLevelType w:val="multilevel"/>
    <w:tmpl w:val="F2FEAB78"/>
    <w:lvl w:ilvl="0">
      <w:start w:val="1"/>
      <w:numFmt w:val="upperLetter"/>
      <w:pStyle w:val="ListParagraph"/>
      <w:lvlText w:val="%1."/>
      <w:lvlJc w:val="left"/>
      <w:pPr>
        <w:tabs>
          <w:tab w:val="num" w:pos="720"/>
        </w:tabs>
        <w:ind w:left="720" w:hanging="720"/>
      </w:pPr>
      <w:rPr>
        <w:rFonts w:ascii="Calibri" w:hAnsi="Calibri" w:hint="default"/>
        <w:b w:val="0"/>
        <w:i w:val="0"/>
        <w:sz w:val="24"/>
      </w:rPr>
    </w:lvl>
    <w:lvl w:ilvl="1">
      <w:start w:val="1"/>
      <w:numFmt w:val="decimal"/>
      <w:pStyle w:val="1ListParagraph"/>
      <w:lvlText w:val="%2."/>
      <w:lvlJc w:val="left"/>
      <w:pPr>
        <w:ind w:left="1080" w:hanging="360"/>
      </w:pPr>
      <w:rPr>
        <w:rFonts w:ascii="Calibri" w:hAnsi="Calibri" w:hint="default"/>
        <w:b w:val="0"/>
        <w:i w:val="0"/>
        <w:sz w:val="24"/>
      </w:rPr>
    </w:lvl>
    <w:lvl w:ilvl="2">
      <w:start w:val="1"/>
      <w:numFmt w:val="lowerLetter"/>
      <w:pStyle w:val="aListParagraph"/>
      <w:lvlText w:val="%3)"/>
      <w:lvlJc w:val="right"/>
      <w:pPr>
        <w:tabs>
          <w:tab w:val="num" w:pos="1800"/>
        </w:tabs>
        <w:ind w:left="1800" w:hanging="360"/>
      </w:pPr>
      <w:rPr>
        <w:rFonts w:ascii="Calibri" w:hAnsi="Calibri" w:hint="default"/>
        <w:b w:val="0"/>
        <w:i w:val="0"/>
        <w:sz w:val="24"/>
      </w:rPr>
    </w:lvl>
    <w:lvl w:ilvl="3">
      <w:start w:val="1"/>
      <w:numFmt w:val="lowerRoman"/>
      <w:pStyle w:val="iListParagraph"/>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9" w15:restartNumberingAfterBreak="0">
    <w:nsid w:val="390F467B"/>
    <w:multiLevelType w:val="multilevel"/>
    <w:tmpl w:val="F06E4C1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15:restartNumberingAfterBreak="0">
    <w:nsid w:val="3C8F712C"/>
    <w:multiLevelType w:val="multilevel"/>
    <w:tmpl w:val="FDBA5BAC"/>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E52994"/>
    <w:multiLevelType w:val="multilevel"/>
    <w:tmpl w:val="90A0AC4C"/>
    <w:styleLink w:val="CurrentList3"/>
    <w:lvl w:ilvl="0">
      <w:start w:val="1"/>
      <w:numFmt w:val="decimal"/>
      <w:lvlText w:val="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9F6C6F"/>
    <w:multiLevelType w:val="hybridMultilevel"/>
    <w:tmpl w:val="62E08210"/>
    <w:lvl w:ilvl="0" w:tplc="6F0CAA3A">
      <w:start w:val="1"/>
      <w:numFmt w:val="decimal"/>
      <w:lvlText w:val="SECTION %1:"/>
      <w:lvlJc w:val="left"/>
      <w:pPr>
        <w:ind w:left="1080" w:hanging="360"/>
      </w:pPr>
      <w:rPr>
        <w:rFonts w:hint="default"/>
        <w:b/>
        <w:bCs/>
      </w:rPr>
    </w:lvl>
    <w:lvl w:ilvl="1" w:tplc="031C8260" w:tentative="1">
      <w:start w:val="1"/>
      <w:numFmt w:val="lowerLetter"/>
      <w:lvlText w:val="%2."/>
      <w:lvlJc w:val="left"/>
      <w:pPr>
        <w:ind w:left="1440" w:hanging="360"/>
      </w:pPr>
    </w:lvl>
    <w:lvl w:ilvl="2" w:tplc="20747D44" w:tentative="1">
      <w:start w:val="1"/>
      <w:numFmt w:val="lowerRoman"/>
      <w:lvlText w:val="%3."/>
      <w:lvlJc w:val="right"/>
      <w:pPr>
        <w:ind w:left="2160" w:hanging="180"/>
      </w:pPr>
    </w:lvl>
    <w:lvl w:ilvl="3" w:tplc="32544B38" w:tentative="1">
      <w:start w:val="1"/>
      <w:numFmt w:val="decimal"/>
      <w:lvlText w:val="%4."/>
      <w:lvlJc w:val="left"/>
      <w:pPr>
        <w:ind w:left="2880" w:hanging="360"/>
      </w:pPr>
    </w:lvl>
    <w:lvl w:ilvl="4" w:tplc="342E1CFE" w:tentative="1">
      <w:start w:val="1"/>
      <w:numFmt w:val="lowerLetter"/>
      <w:lvlText w:val="%5."/>
      <w:lvlJc w:val="left"/>
      <w:pPr>
        <w:ind w:left="3600" w:hanging="360"/>
      </w:pPr>
    </w:lvl>
    <w:lvl w:ilvl="5" w:tplc="BD1E9A56" w:tentative="1">
      <w:start w:val="1"/>
      <w:numFmt w:val="lowerRoman"/>
      <w:lvlText w:val="%6."/>
      <w:lvlJc w:val="right"/>
      <w:pPr>
        <w:ind w:left="4320" w:hanging="180"/>
      </w:pPr>
    </w:lvl>
    <w:lvl w:ilvl="6" w:tplc="64349846" w:tentative="1">
      <w:start w:val="1"/>
      <w:numFmt w:val="decimal"/>
      <w:lvlText w:val="%7."/>
      <w:lvlJc w:val="left"/>
      <w:pPr>
        <w:ind w:left="5040" w:hanging="360"/>
      </w:pPr>
    </w:lvl>
    <w:lvl w:ilvl="7" w:tplc="2EEECC42" w:tentative="1">
      <w:start w:val="1"/>
      <w:numFmt w:val="lowerLetter"/>
      <w:lvlText w:val="%8."/>
      <w:lvlJc w:val="left"/>
      <w:pPr>
        <w:ind w:left="5760" w:hanging="360"/>
      </w:pPr>
    </w:lvl>
    <w:lvl w:ilvl="8" w:tplc="95741F02" w:tentative="1">
      <w:start w:val="1"/>
      <w:numFmt w:val="lowerRoman"/>
      <w:lvlText w:val="%9."/>
      <w:lvlJc w:val="right"/>
      <w:pPr>
        <w:ind w:left="6480" w:hanging="180"/>
      </w:pPr>
    </w:lvl>
  </w:abstractNum>
  <w:abstractNum w:abstractNumId="23" w15:restartNumberingAfterBreak="0">
    <w:nsid w:val="463F26C2"/>
    <w:multiLevelType w:val="multilevel"/>
    <w:tmpl w:val="FDBA5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641D4A"/>
    <w:multiLevelType w:val="multilevel"/>
    <w:tmpl w:val="F06E4C10"/>
    <w:styleLink w:val="CurrentList7"/>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5" w15:restartNumberingAfterBreak="0">
    <w:nsid w:val="50CD03C9"/>
    <w:multiLevelType w:val="multilevel"/>
    <w:tmpl w:val="188E7428"/>
    <w:lvl w:ilvl="0">
      <w:start w:val="1"/>
      <w:numFmt w:val="none"/>
      <w:lvlText w:val="%1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1A1BCA"/>
    <w:multiLevelType w:val="multilevel"/>
    <w:tmpl w:val="E0F25EA6"/>
    <w:lvl w:ilvl="0">
      <w:start w:val="1"/>
      <w:numFmt w:val="none"/>
      <w:lvlText w:val="SECTION 1."/>
      <w:lvlJc w:val="left"/>
      <w:pPr>
        <w:ind w:left="108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465D6A"/>
    <w:multiLevelType w:val="multilevel"/>
    <w:tmpl w:val="188E7428"/>
    <w:styleLink w:val="CurrentList2"/>
    <w:lvl w:ilvl="0">
      <w:start w:val="1"/>
      <w:numFmt w:val="none"/>
      <w:lvlText w:val="%1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B472A9"/>
    <w:multiLevelType w:val="multilevel"/>
    <w:tmpl w:val="10F01D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7112115B"/>
    <w:multiLevelType w:val="multilevel"/>
    <w:tmpl w:val="90A0AC4C"/>
    <w:lvl w:ilvl="0">
      <w:start w:val="1"/>
      <w:numFmt w:val="decimal"/>
      <w:lvlText w:val="SECTION %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FB4EDA"/>
    <w:multiLevelType w:val="multilevel"/>
    <w:tmpl w:val="AEF0B37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CA7A83"/>
    <w:multiLevelType w:val="multilevel"/>
    <w:tmpl w:val="E0F25EA6"/>
    <w:styleLink w:val="CurrentList1"/>
    <w:lvl w:ilvl="0">
      <w:start w:val="1"/>
      <w:numFmt w:val="none"/>
      <w:lvlText w:val="SECTION 1."/>
      <w:lvlJc w:val="left"/>
      <w:pPr>
        <w:ind w:left="108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BF538C"/>
    <w:multiLevelType w:val="multilevel"/>
    <w:tmpl w:val="FE0E0920"/>
    <w:styleLink w:val="CurrentList10"/>
    <w:lvl w:ilvl="0">
      <w:start w:val="1"/>
      <w:numFmt w:val="upperLetter"/>
      <w:lvlText w:val="%1."/>
      <w:lvlJc w:val="left"/>
      <w:pPr>
        <w:tabs>
          <w:tab w:val="num" w:pos="720"/>
        </w:tabs>
        <w:ind w:left="720" w:hanging="720"/>
      </w:pPr>
      <w:rPr>
        <w:rFonts w:ascii="Calibri" w:hAnsi="Calibri" w:hint="default"/>
        <w:b w:val="0"/>
        <w:i w:val="0"/>
        <w:sz w:val="24"/>
      </w:rPr>
    </w:lvl>
    <w:lvl w:ilvl="1">
      <w:start w:val="1"/>
      <w:numFmt w:val="decimal"/>
      <w:lvlText w:val="%2."/>
      <w:lvlJc w:val="left"/>
      <w:pPr>
        <w:ind w:left="1080" w:hanging="360"/>
      </w:pPr>
      <w:rPr>
        <w:rFonts w:ascii="Calibri" w:hAnsi="Calibri" w:hint="default"/>
        <w:b w:val="0"/>
        <w:i w:val="0"/>
        <w:sz w:val="24"/>
      </w:rPr>
    </w:lvl>
    <w:lvl w:ilvl="2">
      <w:start w:val="1"/>
      <w:numFmt w:val="lowerLetter"/>
      <w:lvlText w:val="%3)"/>
      <w:lvlJc w:val="right"/>
      <w:pPr>
        <w:tabs>
          <w:tab w:val="num" w:pos="1800"/>
        </w:tabs>
        <w:ind w:left="1800" w:hanging="360"/>
      </w:pPr>
      <w:rPr>
        <w:rFonts w:ascii="Calibri" w:hAnsi="Calibri" w:hint="default"/>
        <w:b w:val="0"/>
        <w:i w:val="0"/>
        <w:sz w:val="24"/>
      </w:rPr>
    </w:lvl>
    <w:lvl w:ilvl="3">
      <w:start w:val="1"/>
      <w:numFmt w:val="lowerRoman"/>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7C4C321E"/>
    <w:multiLevelType w:val="hybridMultilevel"/>
    <w:tmpl w:val="796A774C"/>
    <w:lvl w:ilvl="0" w:tplc="9EEA0F24">
      <w:start w:val="1"/>
      <w:numFmt w:val="decimalZero"/>
      <w:pStyle w:val="CityOrdinances"/>
      <w:lvlText w:val="1.01.1%1"/>
      <w:lvlJc w:val="left"/>
      <w:pPr>
        <w:ind w:left="1080" w:hanging="360"/>
      </w:pPr>
      <w:rPr>
        <w:rFonts w:hint="default"/>
      </w:rPr>
    </w:lvl>
    <w:lvl w:ilvl="1" w:tplc="32EC13EA">
      <w:start w:val="1"/>
      <w:numFmt w:val="decimal"/>
      <w:lvlText w:val="%2."/>
      <w:lvlJc w:val="left"/>
      <w:pPr>
        <w:ind w:left="1800" w:hanging="360"/>
      </w:pPr>
      <w:rPr>
        <w:rFonts w:ascii="Arial" w:hAnsi="Arial" w:cs="Arial" w:hint="default"/>
        <w:b w:val="0"/>
        <w:bCs w:val="0"/>
        <w:sz w:val="22"/>
        <w:szCs w:val="22"/>
      </w:rPr>
    </w:lvl>
    <w:lvl w:ilvl="2" w:tplc="59E041D4">
      <w:start w:val="1"/>
      <w:numFmt w:val="lowerRoman"/>
      <w:lvlText w:val="%3."/>
      <w:lvlJc w:val="right"/>
      <w:pPr>
        <w:ind w:left="2520" w:hanging="180"/>
      </w:pPr>
      <w:rPr>
        <w:b w:val="0"/>
        <w:bCs w:val="0"/>
      </w:rPr>
    </w:lvl>
    <w:lvl w:ilvl="3" w:tplc="D16802F2">
      <w:start w:val="1"/>
      <w:numFmt w:val="lowerLetter"/>
      <w:lvlText w:val="%4)"/>
      <w:lvlJc w:val="left"/>
      <w:pPr>
        <w:ind w:left="2880" w:hanging="360"/>
      </w:pPr>
    </w:lvl>
    <w:lvl w:ilvl="4" w:tplc="7EAAB8D2" w:tentative="1">
      <w:start w:val="1"/>
      <w:numFmt w:val="lowerLetter"/>
      <w:lvlText w:val="%5."/>
      <w:lvlJc w:val="left"/>
      <w:pPr>
        <w:ind w:left="3960" w:hanging="360"/>
      </w:pPr>
    </w:lvl>
    <w:lvl w:ilvl="5" w:tplc="0A70B848" w:tentative="1">
      <w:start w:val="1"/>
      <w:numFmt w:val="lowerRoman"/>
      <w:lvlText w:val="%6."/>
      <w:lvlJc w:val="right"/>
      <w:pPr>
        <w:ind w:left="4680" w:hanging="180"/>
      </w:pPr>
    </w:lvl>
    <w:lvl w:ilvl="6" w:tplc="46766B32" w:tentative="1">
      <w:start w:val="1"/>
      <w:numFmt w:val="decimal"/>
      <w:lvlText w:val="%7."/>
      <w:lvlJc w:val="left"/>
      <w:pPr>
        <w:ind w:left="5400" w:hanging="360"/>
      </w:pPr>
    </w:lvl>
    <w:lvl w:ilvl="7" w:tplc="E408AEE2" w:tentative="1">
      <w:start w:val="1"/>
      <w:numFmt w:val="lowerLetter"/>
      <w:lvlText w:val="%8."/>
      <w:lvlJc w:val="left"/>
      <w:pPr>
        <w:ind w:left="6120" w:hanging="360"/>
      </w:pPr>
    </w:lvl>
    <w:lvl w:ilvl="8" w:tplc="B0BC9B30" w:tentative="1">
      <w:start w:val="1"/>
      <w:numFmt w:val="lowerRoman"/>
      <w:lvlText w:val="%9."/>
      <w:lvlJc w:val="right"/>
      <w:pPr>
        <w:ind w:left="6840" w:hanging="180"/>
      </w:pPr>
    </w:lvl>
  </w:abstractNum>
  <w:abstractNum w:abstractNumId="34" w15:restartNumberingAfterBreak="0">
    <w:nsid w:val="7D086511"/>
    <w:multiLevelType w:val="hybridMultilevel"/>
    <w:tmpl w:val="E26E4744"/>
    <w:lvl w:ilvl="0" w:tplc="E2D8260E">
      <w:start w:val="1"/>
      <w:numFmt w:val="bullet"/>
      <w:pStyle w:val="Bullet"/>
      <w:lvlText w:val=""/>
      <w:lvlJc w:val="left"/>
      <w:pPr>
        <w:ind w:left="720" w:hanging="360"/>
      </w:pPr>
      <w:rPr>
        <w:rFonts w:ascii="Symbol" w:hAnsi="Symbol" w:hint="default"/>
      </w:rPr>
    </w:lvl>
    <w:lvl w:ilvl="1" w:tplc="538CA60C" w:tentative="1">
      <w:start w:val="1"/>
      <w:numFmt w:val="bullet"/>
      <w:lvlText w:val="o"/>
      <w:lvlJc w:val="left"/>
      <w:pPr>
        <w:ind w:left="1440" w:hanging="360"/>
      </w:pPr>
      <w:rPr>
        <w:rFonts w:ascii="Courier New" w:hAnsi="Courier New" w:cs="Courier New" w:hint="default"/>
      </w:rPr>
    </w:lvl>
    <w:lvl w:ilvl="2" w:tplc="940871A2" w:tentative="1">
      <w:start w:val="1"/>
      <w:numFmt w:val="bullet"/>
      <w:lvlText w:val=""/>
      <w:lvlJc w:val="left"/>
      <w:pPr>
        <w:ind w:left="2160" w:hanging="360"/>
      </w:pPr>
      <w:rPr>
        <w:rFonts w:ascii="Wingdings" w:hAnsi="Wingdings" w:hint="default"/>
      </w:rPr>
    </w:lvl>
    <w:lvl w:ilvl="3" w:tplc="E4E6E550" w:tentative="1">
      <w:start w:val="1"/>
      <w:numFmt w:val="bullet"/>
      <w:lvlText w:val=""/>
      <w:lvlJc w:val="left"/>
      <w:pPr>
        <w:ind w:left="2880" w:hanging="360"/>
      </w:pPr>
      <w:rPr>
        <w:rFonts w:ascii="Symbol" w:hAnsi="Symbol" w:hint="default"/>
      </w:rPr>
    </w:lvl>
    <w:lvl w:ilvl="4" w:tplc="B5703B8C" w:tentative="1">
      <w:start w:val="1"/>
      <w:numFmt w:val="bullet"/>
      <w:lvlText w:val="o"/>
      <w:lvlJc w:val="left"/>
      <w:pPr>
        <w:ind w:left="3600" w:hanging="360"/>
      </w:pPr>
      <w:rPr>
        <w:rFonts w:ascii="Courier New" w:hAnsi="Courier New" w:cs="Courier New" w:hint="default"/>
      </w:rPr>
    </w:lvl>
    <w:lvl w:ilvl="5" w:tplc="F07EBF80" w:tentative="1">
      <w:start w:val="1"/>
      <w:numFmt w:val="bullet"/>
      <w:lvlText w:val=""/>
      <w:lvlJc w:val="left"/>
      <w:pPr>
        <w:ind w:left="4320" w:hanging="360"/>
      </w:pPr>
      <w:rPr>
        <w:rFonts w:ascii="Wingdings" w:hAnsi="Wingdings" w:hint="default"/>
      </w:rPr>
    </w:lvl>
    <w:lvl w:ilvl="6" w:tplc="2680823C" w:tentative="1">
      <w:start w:val="1"/>
      <w:numFmt w:val="bullet"/>
      <w:lvlText w:val=""/>
      <w:lvlJc w:val="left"/>
      <w:pPr>
        <w:ind w:left="5040" w:hanging="360"/>
      </w:pPr>
      <w:rPr>
        <w:rFonts w:ascii="Symbol" w:hAnsi="Symbol" w:hint="default"/>
      </w:rPr>
    </w:lvl>
    <w:lvl w:ilvl="7" w:tplc="A03E1662" w:tentative="1">
      <w:start w:val="1"/>
      <w:numFmt w:val="bullet"/>
      <w:lvlText w:val="o"/>
      <w:lvlJc w:val="left"/>
      <w:pPr>
        <w:ind w:left="5760" w:hanging="360"/>
      </w:pPr>
      <w:rPr>
        <w:rFonts w:ascii="Courier New" w:hAnsi="Courier New" w:cs="Courier New" w:hint="default"/>
      </w:rPr>
    </w:lvl>
    <w:lvl w:ilvl="8" w:tplc="28BE8466" w:tentative="1">
      <w:start w:val="1"/>
      <w:numFmt w:val="bullet"/>
      <w:lvlText w:val=""/>
      <w:lvlJc w:val="left"/>
      <w:pPr>
        <w:ind w:left="6480" w:hanging="360"/>
      </w:pPr>
      <w:rPr>
        <w:rFonts w:ascii="Wingdings" w:hAnsi="Wingdings" w:hint="default"/>
      </w:rPr>
    </w:lvl>
  </w:abstractNum>
  <w:num w:numId="1" w16cid:durableId="1546410331">
    <w:abstractNumId w:val="8"/>
  </w:num>
  <w:num w:numId="2" w16cid:durableId="1027679132">
    <w:abstractNumId w:val="7"/>
  </w:num>
  <w:num w:numId="3" w16cid:durableId="366561851">
    <w:abstractNumId w:val="6"/>
  </w:num>
  <w:num w:numId="4" w16cid:durableId="1930387094">
    <w:abstractNumId w:val="5"/>
  </w:num>
  <w:num w:numId="5" w16cid:durableId="362829748">
    <w:abstractNumId w:val="4"/>
  </w:num>
  <w:num w:numId="6" w16cid:durableId="1984657526">
    <w:abstractNumId w:val="3"/>
  </w:num>
  <w:num w:numId="7" w16cid:durableId="1548835953">
    <w:abstractNumId w:val="2"/>
  </w:num>
  <w:num w:numId="8" w16cid:durableId="499203659">
    <w:abstractNumId w:val="1"/>
  </w:num>
  <w:num w:numId="9" w16cid:durableId="1055005250">
    <w:abstractNumId w:val="0"/>
  </w:num>
  <w:num w:numId="10" w16cid:durableId="364183967">
    <w:abstractNumId w:val="28"/>
  </w:num>
  <w:num w:numId="11" w16cid:durableId="1040013156">
    <w:abstractNumId w:val="34"/>
  </w:num>
  <w:num w:numId="12" w16cid:durableId="1400785127">
    <w:abstractNumId w:val="33"/>
  </w:num>
  <w:num w:numId="13" w16cid:durableId="159850620">
    <w:abstractNumId w:val="26"/>
  </w:num>
  <w:num w:numId="14" w16cid:durableId="1656491389">
    <w:abstractNumId w:val="25"/>
  </w:num>
  <w:num w:numId="15" w16cid:durableId="760218922">
    <w:abstractNumId w:val="29"/>
  </w:num>
  <w:num w:numId="16" w16cid:durableId="1107776830">
    <w:abstractNumId w:val="11"/>
  </w:num>
  <w:num w:numId="17" w16cid:durableId="23095456">
    <w:abstractNumId w:val="23"/>
  </w:num>
  <w:num w:numId="18" w16cid:durableId="518740126">
    <w:abstractNumId w:val="13"/>
  </w:num>
  <w:num w:numId="19" w16cid:durableId="2099935643">
    <w:abstractNumId w:val="19"/>
  </w:num>
  <w:num w:numId="20" w16cid:durableId="106970523">
    <w:abstractNumId w:val="14"/>
  </w:num>
  <w:num w:numId="21" w16cid:durableId="696854298">
    <w:abstractNumId w:val="12"/>
  </w:num>
  <w:num w:numId="22" w16cid:durableId="989867103">
    <w:abstractNumId w:val="9"/>
  </w:num>
  <w:num w:numId="23" w16cid:durableId="2025016557">
    <w:abstractNumId w:val="22"/>
  </w:num>
  <w:num w:numId="24" w16cid:durableId="1719160083">
    <w:abstractNumId w:val="34"/>
  </w:num>
  <w:num w:numId="25" w16cid:durableId="199437980">
    <w:abstractNumId w:val="33"/>
  </w:num>
  <w:num w:numId="26" w16cid:durableId="1224684001">
    <w:abstractNumId w:val="26"/>
  </w:num>
  <w:num w:numId="27" w16cid:durableId="1324621903">
    <w:abstractNumId w:val="25"/>
  </w:num>
  <w:num w:numId="28" w16cid:durableId="904534163">
    <w:abstractNumId w:val="29"/>
  </w:num>
  <w:num w:numId="29" w16cid:durableId="1849174668">
    <w:abstractNumId w:val="11"/>
  </w:num>
  <w:num w:numId="30" w16cid:durableId="1835367982">
    <w:abstractNumId w:val="23"/>
  </w:num>
  <w:num w:numId="31" w16cid:durableId="2048293788">
    <w:abstractNumId w:val="13"/>
  </w:num>
  <w:num w:numId="32" w16cid:durableId="1946495534">
    <w:abstractNumId w:val="19"/>
  </w:num>
  <w:num w:numId="33" w16cid:durableId="1803617428">
    <w:abstractNumId w:val="14"/>
  </w:num>
  <w:num w:numId="34" w16cid:durableId="1157070545">
    <w:abstractNumId w:val="12"/>
  </w:num>
  <w:num w:numId="35" w16cid:durableId="1952666699">
    <w:abstractNumId w:val="9"/>
  </w:num>
  <w:num w:numId="36" w16cid:durableId="189075913">
    <w:abstractNumId w:val="22"/>
  </w:num>
  <w:num w:numId="37" w16cid:durableId="45298801">
    <w:abstractNumId w:val="34"/>
  </w:num>
  <w:num w:numId="38" w16cid:durableId="462384334">
    <w:abstractNumId w:val="33"/>
  </w:num>
  <w:num w:numId="39" w16cid:durableId="2020035696">
    <w:abstractNumId w:val="26"/>
  </w:num>
  <w:num w:numId="40" w16cid:durableId="463237548">
    <w:abstractNumId w:val="25"/>
  </w:num>
  <w:num w:numId="41" w16cid:durableId="436679123">
    <w:abstractNumId w:val="29"/>
  </w:num>
  <w:num w:numId="42" w16cid:durableId="943339692">
    <w:abstractNumId w:val="11"/>
  </w:num>
  <w:num w:numId="43" w16cid:durableId="1380088441">
    <w:abstractNumId w:val="23"/>
  </w:num>
  <w:num w:numId="44" w16cid:durableId="1177698311">
    <w:abstractNumId w:val="13"/>
  </w:num>
  <w:num w:numId="45" w16cid:durableId="118575543">
    <w:abstractNumId w:val="19"/>
  </w:num>
  <w:num w:numId="46" w16cid:durableId="436220077">
    <w:abstractNumId w:val="18"/>
  </w:num>
  <w:num w:numId="47" w16cid:durableId="596402903">
    <w:abstractNumId w:val="9"/>
  </w:num>
  <w:num w:numId="48" w16cid:durableId="314189946">
    <w:abstractNumId w:val="15"/>
  </w:num>
  <w:num w:numId="49" w16cid:durableId="722215899">
    <w:abstractNumId w:val="34"/>
  </w:num>
  <w:num w:numId="50" w16cid:durableId="908618595">
    <w:abstractNumId w:val="33"/>
  </w:num>
  <w:num w:numId="51" w16cid:durableId="164325407">
    <w:abstractNumId w:val="26"/>
  </w:num>
  <w:num w:numId="52" w16cid:durableId="874390115">
    <w:abstractNumId w:val="25"/>
  </w:num>
  <w:num w:numId="53" w16cid:durableId="1764956945">
    <w:abstractNumId w:val="29"/>
  </w:num>
  <w:num w:numId="54" w16cid:durableId="10182261">
    <w:abstractNumId w:val="11"/>
  </w:num>
  <w:num w:numId="55" w16cid:durableId="1786803032">
    <w:abstractNumId w:val="23"/>
  </w:num>
  <w:num w:numId="56" w16cid:durableId="1073088947">
    <w:abstractNumId w:val="13"/>
  </w:num>
  <w:num w:numId="57" w16cid:durableId="1243026736">
    <w:abstractNumId w:val="19"/>
  </w:num>
  <w:num w:numId="58" w16cid:durableId="139689935">
    <w:abstractNumId w:val="18"/>
  </w:num>
  <w:num w:numId="59" w16cid:durableId="160312802">
    <w:abstractNumId w:val="9"/>
  </w:num>
  <w:num w:numId="60" w16cid:durableId="2017725266">
    <w:abstractNumId w:val="15"/>
  </w:num>
  <w:num w:numId="61" w16cid:durableId="1985040020">
    <w:abstractNumId w:val="34"/>
  </w:num>
  <w:num w:numId="62" w16cid:durableId="1502696722">
    <w:abstractNumId w:val="33"/>
  </w:num>
  <w:num w:numId="63" w16cid:durableId="1417553645">
    <w:abstractNumId w:val="31"/>
  </w:num>
  <w:num w:numId="64" w16cid:durableId="48000920">
    <w:abstractNumId w:val="27"/>
  </w:num>
  <w:num w:numId="65" w16cid:durableId="2002583565">
    <w:abstractNumId w:val="21"/>
  </w:num>
  <w:num w:numId="66" w16cid:durableId="709108668">
    <w:abstractNumId w:val="16"/>
  </w:num>
  <w:num w:numId="67" w16cid:durableId="270938755">
    <w:abstractNumId w:val="20"/>
  </w:num>
  <w:num w:numId="68" w16cid:durableId="2061634250">
    <w:abstractNumId w:val="30"/>
  </w:num>
  <w:num w:numId="69" w16cid:durableId="453987734">
    <w:abstractNumId w:val="24"/>
  </w:num>
  <w:num w:numId="70" w16cid:durableId="768351404">
    <w:abstractNumId w:val="18"/>
  </w:num>
  <w:num w:numId="71" w16cid:durableId="974524160">
    <w:abstractNumId w:val="9"/>
  </w:num>
  <w:num w:numId="72" w16cid:durableId="652956226">
    <w:abstractNumId w:val="15"/>
  </w:num>
  <w:num w:numId="73" w16cid:durableId="1579511964">
    <w:abstractNumId w:val="10"/>
  </w:num>
  <w:num w:numId="74" w16cid:durableId="576746243">
    <w:abstractNumId w:val="17"/>
  </w:num>
  <w:num w:numId="75" w16cid:durableId="1906648365">
    <w:abstractNumId w:val="18"/>
  </w:num>
  <w:num w:numId="76" w16cid:durableId="1690058876">
    <w:abstractNumId w:val="18"/>
  </w:num>
  <w:num w:numId="77" w16cid:durableId="1601832743">
    <w:abstractNumId w:val="18"/>
  </w:num>
  <w:num w:numId="78" w16cid:durableId="1563826443">
    <w:abstractNumId w:val="3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Didech">
    <w15:presenceInfo w15:providerId="None" w15:userId="Kate Did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8F"/>
    <w:rsid w:val="00002366"/>
    <w:rsid w:val="00004DAC"/>
    <w:rsid w:val="0001139C"/>
    <w:rsid w:val="00012809"/>
    <w:rsid w:val="000161FC"/>
    <w:rsid w:val="00020561"/>
    <w:rsid w:val="00023960"/>
    <w:rsid w:val="00025AB6"/>
    <w:rsid w:val="00026E1C"/>
    <w:rsid w:val="00031185"/>
    <w:rsid w:val="00032BB5"/>
    <w:rsid w:val="00033CD8"/>
    <w:rsid w:val="0003478A"/>
    <w:rsid w:val="00036F5D"/>
    <w:rsid w:val="00040EED"/>
    <w:rsid w:val="00044007"/>
    <w:rsid w:val="00047C20"/>
    <w:rsid w:val="0005581A"/>
    <w:rsid w:val="00055A87"/>
    <w:rsid w:val="00057F97"/>
    <w:rsid w:val="00065E71"/>
    <w:rsid w:val="00070D09"/>
    <w:rsid w:val="0007396A"/>
    <w:rsid w:val="00074682"/>
    <w:rsid w:val="00080F4E"/>
    <w:rsid w:val="00084D93"/>
    <w:rsid w:val="0008674A"/>
    <w:rsid w:val="000903E5"/>
    <w:rsid w:val="00091502"/>
    <w:rsid w:val="00091F4C"/>
    <w:rsid w:val="00091F7F"/>
    <w:rsid w:val="00095584"/>
    <w:rsid w:val="00097AD1"/>
    <w:rsid w:val="000A01D1"/>
    <w:rsid w:val="000A0A12"/>
    <w:rsid w:val="000A25BC"/>
    <w:rsid w:val="000A318B"/>
    <w:rsid w:val="000A699C"/>
    <w:rsid w:val="000B4708"/>
    <w:rsid w:val="000B7A8B"/>
    <w:rsid w:val="000C3F17"/>
    <w:rsid w:val="000C53E9"/>
    <w:rsid w:val="000C66B6"/>
    <w:rsid w:val="000D2171"/>
    <w:rsid w:val="000D3D0C"/>
    <w:rsid w:val="000D450D"/>
    <w:rsid w:val="000E16FA"/>
    <w:rsid w:val="000E38BD"/>
    <w:rsid w:val="000E683D"/>
    <w:rsid w:val="000E6E4D"/>
    <w:rsid w:val="000E7416"/>
    <w:rsid w:val="000E7E7A"/>
    <w:rsid w:val="000F1917"/>
    <w:rsid w:val="000F36BB"/>
    <w:rsid w:val="00113820"/>
    <w:rsid w:val="00122EBD"/>
    <w:rsid w:val="001237A2"/>
    <w:rsid w:val="001255B1"/>
    <w:rsid w:val="0013022F"/>
    <w:rsid w:val="00134557"/>
    <w:rsid w:val="0014044E"/>
    <w:rsid w:val="00146A38"/>
    <w:rsid w:val="00154B55"/>
    <w:rsid w:val="0016648C"/>
    <w:rsid w:val="001669FC"/>
    <w:rsid w:val="00171D55"/>
    <w:rsid w:val="0017307B"/>
    <w:rsid w:val="00174984"/>
    <w:rsid w:val="00176177"/>
    <w:rsid w:val="0018084D"/>
    <w:rsid w:val="00180BE6"/>
    <w:rsid w:val="00185D1A"/>
    <w:rsid w:val="00191573"/>
    <w:rsid w:val="0019186A"/>
    <w:rsid w:val="00196636"/>
    <w:rsid w:val="001978AE"/>
    <w:rsid w:val="001A761D"/>
    <w:rsid w:val="001B01A5"/>
    <w:rsid w:val="001B0E5A"/>
    <w:rsid w:val="001C09A1"/>
    <w:rsid w:val="001C289B"/>
    <w:rsid w:val="001D6D22"/>
    <w:rsid w:val="001E0FE1"/>
    <w:rsid w:val="001E1493"/>
    <w:rsid w:val="001E61CF"/>
    <w:rsid w:val="001E74AC"/>
    <w:rsid w:val="001F5CC9"/>
    <w:rsid w:val="00204887"/>
    <w:rsid w:val="002104B1"/>
    <w:rsid w:val="0021451D"/>
    <w:rsid w:val="002156C3"/>
    <w:rsid w:val="0023131A"/>
    <w:rsid w:val="00234E97"/>
    <w:rsid w:val="002353E6"/>
    <w:rsid w:val="00236358"/>
    <w:rsid w:val="00240579"/>
    <w:rsid w:val="002425FA"/>
    <w:rsid w:val="00243343"/>
    <w:rsid w:val="00244BE4"/>
    <w:rsid w:val="0024643F"/>
    <w:rsid w:val="0025010B"/>
    <w:rsid w:val="00250A29"/>
    <w:rsid w:val="002529D7"/>
    <w:rsid w:val="0025307D"/>
    <w:rsid w:val="002620B6"/>
    <w:rsid w:val="00271448"/>
    <w:rsid w:val="00271C48"/>
    <w:rsid w:val="002722A4"/>
    <w:rsid w:val="002807A9"/>
    <w:rsid w:val="0028233B"/>
    <w:rsid w:val="00283CC5"/>
    <w:rsid w:val="00286F3B"/>
    <w:rsid w:val="00291677"/>
    <w:rsid w:val="00291998"/>
    <w:rsid w:val="002A12F7"/>
    <w:rsid w:val="002A1C2F"/>
    <w:rsid w:val="002A3A7C"/>
    <w:rsid w:val="002A74E1"/>
    <w:rsid w:val="002B2D1A"/>
    <w:rsid w:val="002B46D2"/>
    <w:rsid w:val="002B7124"/>
    <w:rsid w:val="002C2B79"/>
    <w:rsid w:val="002C369D"/>
    <w:rsid w:val="002C5497"/>
    <w:rsid w:val="002C63CF"/>
    <w:rsid w:val="002D1D2C"/>
    <w:rsid w:val="002D283D"/>
    <w:rsid w:val="002D47B7"/>
    <w:rsid w:val="002E276C"/>
    <w:rsid w:val="002F06D5"/>
    <w:rsid w:val="002F27E1"/>
    <w:rsid w:val="002F2CB5"/>
    <w:rsid w:val="002F5C19"/>
    <w:rsid w:val="00304CEA"/>
    <w:rsid w:val="003142CD"/>
    <w:rsid w:val="0031450C"/>
    <w:rsid w:val="00320E1B"/>
    <w:rsid w:val="003238AA"/>
    <w:rsid w:val="0032615F"/>
    <w:rsid w:val="00331E8B"/>
    <w:rsid w:val="0033340B"/>
    <w:rsid w:val="00333556"/>
    <w:rsid w:val="00333C7E"/>
    <w:rsid w:val="003348CC"/>
    <w:rsid w:val="003402BC"/>
    <w:rsid w:val="003414F7"/>
    <w:rsid w:val="00345D70"/>
    <w:rsid w:val="00346CF5"/>
    <w:rsid w:val="00347C10"/>
    <w:rsid w:val="0035599B"/>
    <w:rsid w:val="00365D47"/>
    <w:rsid w:val="0037065C"/>
    <w:rsid w:val="00374D4D"/>
    <w:rsid w:val="00374E01"/>
    <w:rsid w:val="00376F1B"/>
    <w:rsid w:val="00382F63"/>
    <w:rsid w:val="0038434C"/>
    <w:rsid w:val="00385999"/>
    <w:rsid w:val="003922B1"/>
    <w:rsid w:val="00394793"/>
    <w:rsid w:val="00397458"/>
    <w:rsid w:val="003A26FE"/>
    <w:rsid w:val="003A3494"/>
    <w:rsid w:val="003A4C4D"/>
    <w:rsid w:val="003A5454"/>
    <w:rsid w:val="003B0774"/>
    <w:rsid w:val="003B593A"/>
    <w:rsid w:val="003B7FA3"/>
    <w:rsid w:val="003C0A27"/>
    <w:rsid w:val="003C1711"/>
    <w:rsid w:val="003C6A06"/>
    <w:rsid w:val="003C7C6F"/>
    <w:rsid w:val="003D1F08"/>
    <w:rsid w:val="003D51AB"/>
    <w:rsid w:val="003D5FD5"/>
    <w:rsid w:val="003E63E2"/>
    <w:rsid w:val="003E6AA5"/>
    <w:rsid w:val="003F48D9"/>
    <w:rsid w:val="004046D6"/>
    <w:rsid w:val="004124DD"/>
    <w:rsid w:val="00420151"/>
    <w:rsid w:val="00423552"/>
    <w:rsid w:val="00426BDD"/>
    <w:rsid w:val="0043489E"/>
    <w:rsid w:val="0044061F"/>
    <w:rsid w:val="00445946"/>
    <w:rsid w:val="004468B2"/>
    <w:rsid w:val="00447061"/>
    <w:rsid w:val="00447870"/>
    <w:rsid w:val="0045022F"/>
    <w:rsid w:val="004674B0"/>
    <w:rsid w:val="00472C89"/>
    <w:rsid w:val="00474A35"/>
    <w:rsid w:val="004778A5"/>
    <w:rsid w:val="00482B2A"/>
    <w:rsid w:val="00493797"/>
    <w:rsid w:val="004A2BDF"/>
    <w:rsid w:val="004A6418"/>
    <w:rsid w:val="004A7754"/>
    <w:rsid w:val="004B2D2D"/>
    <w:rsid w:val="004B4B6B"/>
    <w:rsid w:val="004C6BEA"/>
    <w:rsid w:val="004C6E36"/>
    <w:rsid w:val="004D0446"/>
    <w:rsid w:val="004D24D0"/>
    <w:rsid w:val="004D6BFD"/>
    <w:rsid w:val="004E0642"/>
    <w:rsid w:val="004E095F"/>
    <w:rsid w:val="004F0694"/>
    <w:rsid w:val="004F16F1"/>
    <w:rsid w:val="004F1906"/>
    <w:rsid w:val="004F2139"/>
    <w:rsid w:val="004F298D"/>
    <w:rsid w:val="004F5F36"/>
    <w:rsid w:val="004F7C31"/>
    <w:rsid w:val="00510266"/>
    <w:rsid w:val="00511F93"/>
    <w:rsid w:val="00513057"/>
    <w:rsid w:val="00516073"/>
    <w:rsid w:val="00520AE8"/>
    <w:rsid w:val="0052197B"/>
    <w:rsid w:val="00523D4A"/>
    <w:rsid w:val="0052645F"/>
    <w:rsid w:val="00530F72"/>
    <w:rsid w:val="00544A6C"/>
    <w:rsid w:val="00546407"/>
    <w:rsid w:val="005501A4"/>
    <w:rsid w:val="005511ED"/>
    <w:rsid w:val="00570A1C"/>
    <w:rsid w:val="0057107F"/>
    <w:rsid w:val="005711BC"/>
    <w:rsid w:val="0057141D"/>
    <w:rsid w:val="005821C4"/>
    <w:rsid w:val="00586E1C"/>
    <w:rsid w:val="005904F7"/>
    <w:rsid w:val="005A27D1"/>
    <w:rsid w:val="005A3CA5"/>
    <w:rsid w:val="005A44D0"/>
    <w:rsid w:val="005A6EB5"/>
    <w:rsid w:val="005B4EB0"/>
    <w:rsid w:val="005B6A79"/>
    <w:rsid w:val="005C0AA5"/>
    <w:rsid w:val="005D0057"/>
    <w:rsid w:val="005D121A"/>
    <w:rsid w:val="005D25EE"/>
    <w:rsid w:val="005D36EA"/>
    <w:rsid w:val="005D66A7"/>
    <w:rsid w:val="005D70AD"/>
    <w:rsid w:val="005E3BC5"/>
    <w:rsid w:val="005E7276"/>
    <w:rsid w:val="005F5610"/>
    <w:rsid w:val="005F6231"/>
    <w:rsid w:val="006011D0"/>
    <w:rsid w:val="006013A9"/>
    <w:rsid w:val="00602732"/>
    <w:rsid w:val="00610E4B"/>
    <w:rsid w:val="00616B92"/>
    <w:rsid w:val="00617B1B"/>
    <w:rsid w:val="006206B1"/>
    <w:rsid w:val="00621D66"/>
    <w:rsid w:val="0064489D"/>
    <w:rsid w:val="00645E84"/>
    <w:rsid w:val="00646F77"/>
    <w:rsid w:val="00651A4C"/>
    <w:rsid w:val="00652AF8"/>
    <w:rsid w:val="00652B9C"/>
    <w:rsid w:val="00652F8B"/>
    <w:rsid w:val="006565E7"/>
    <w:rsid w:val="00656EA7"/>
    <w:rsid w:val="006603A2"/>
    <w:rsid w:val="00662FCD"/>
    <w:rsid w:val="0066414D"/>
    <w:rsid w:val="00666005"/>
    <w:rsid w:val="0066791D"/>
    <w:rsid w:val="00675A5A"/>
    <w:rsid w:val="006762B8"/>
    <w:rsid w:val="006764E6"/>
    <w:rsid w:val="0068535D"/>
    <w:rsid w:val="00685A23"/>
    <w:rsid w:val="006919B2"/>
    <w:rsid w:val="00696215"/>
    <w:rsid w:val="00697485"/>
    <w:rsid w:val="006A42CB"/>
    <w:rsid w:val="006A74E2"/>
    <w:rsid w:val="006B2C4D"/>
    <w:rsid w:val="006B7C1D"/>
    <w:rsid w:val="006C05C6"/>
    <w:rsid w:val="006C1E41"/>
    <w:rsid w:val="006C29FD"/>
    <w:rsid w:val="006C4124"/>
    <w:rsid w:val="006C5FAF"/>
    <w:rsid w:val="006C6441"/>
    <w:rsid w:val="006C7567"/>
    <w:rsid w:val="006D0A3B"/>
    <w:rsid w:val="006D2D7D"/>
    <w:rsid w:val="006F04F5"/>
    <w:rsid w:val="006F5CB5"/>
    <w:rsid w:val="006F5E10"/>
    <w:rsid w:val="006F7A2A"/>
    <w:rsid w:val="00702E65"/>
    <w:rsid w:val="0070438E"/>
    <w:rsid w:val="00704665"/>
    <w:rsid w:val="007074E3"/>
    <w:rsid w:val="00713303"/>
    <w:rsid w:val="00715D7D"/>
    <w:rsid w:val="00717A57"/>
    <w:rsid w:val="0072041E"/>
    <w:rsid w:val="00721162"/>
    <w:rsid w:val="00721921"/>
    <w:rsid w:val="00721CD9"/>
    <w:rsid w:val="00722960"/>
    <w:rsid w:val="007279F2"/>
    <w:rsid w:val="00730B98"/>
    <w:rsid w:val="00733768"/>
    <w:rsid w:val="00737345"/>
    <w:rsid w:val="00745B73"/>
    <w:rsid w:val="00746E7F"/>
    <w:rsid w:val="0075154E"/>
    <w:rsid w:val="0075210D"/>
    <w:rsid w:val="00761B53"/>
    <w:rsid w:val="00764432"/>
    <w:rsid w:val="0077098D"/>
    <w:rsid w:val="007738B7"/>
    <w:rsid w:val="00773B29"/>
    <w:rsid w:val="00773EFF"/>
    <w:rsid w:val="007808A2"/>
    <w:rsid w:val="00782EE0"/>
    <w:rsid w:val="007856BB"/>
    <w:rsid w:val="00792B37"/>
    <w:rsid w:val="00793A06"/>
    <w:rsid w:val="007A3AF0"/>
    <w:rsid w:val="007A5A69"/>
    <w:rsid w:val="007B481B"/>
    <w:rsid w:val="007B51F7"/>
    <w:rsid w:val="007B5D49"/>
    <w:rsid w:val="007B7503"/>
    <w:rsid w:val="007C016D"/>
    <w:rsid w:val="007C2D68"/>
    <w:rsid w:val="007C359E"/>
    <w:rsid w:val="007C3EAD"/>
    <w:rsid w:val="007C4442"/>
    <w:rsid w:val="007C5587"/>
    <w:rsid w:val="007C71E1"/>
    <w:rsid w:val="007D3D6A"/>
    <w:rsid w:val="007E14FC"/>
    <w:rsid w:val="007E6E2F"/>
    <w:rsid w:val="007F1A03"/>
    <w:rsid w:val="007F31AB"/>
    <w:rsid w:val="007F4471"/>
    <w:rsid w:val="007F554E"/>
    <w:rsid w:val="007F55E9"/>
    <w:rsid w:val="007F58F9"/>
    <w:rsid w:val="00806879"/>
    <w:rsid w:val="00812B4A"/>
    <w:rsid w:val="00813891"/>
    <w:rsid w:val="00822FC7"/>
    <w:rsid w:val="00824F0A"/>
    <w:rsid w:val="00825C48"/>
    <w:rsid w:val="008261C7"/>
    <w:rsid w:val="00830EEC"/>
    <w:rsid w:val="00836199"/>
    <w:rsid w:val="008470AA"/>
    <w:rsid w:val="0084749E"/>
    <w:rsid w:val="008517DD"/>
    <w:rsid w:val="008528DE"/>
    <w:rsid w:val="00853462"/>
    <w:rsid w:val="0086113F"/>
    <w:rsid w:val="00864BE9"/>
    <w:rsid w:val="00865711"/>
    <w:rsid w:val="00871527"/>
    <w:rsid w:val="008738AA"/>
    <w:rsid w:val="00882FA2"/>
    <w:rsid w:val="00894301"/>
    <w:rsid w:val="00894EA8"/>
    <w:rsid w:val="008A2B31"/>
    <w:rsid w:val="008A2F98"/>
    <w:rsid w:val="008B58BD"/>
    <w:rsid w:val="008B5A47"/>
    <w:rsid w:val="008C1815"/>
    <w:rsid w:val="008C28DE"/>
    <w:rsid w:val="008C4EE0"/>
    <w:rsid w:val="008D395C"/>
    <w:rsid w:val="008D40C0"/>
    <w:rsid w:val="008D55D8"/>
    <w:rsid w:val="008E0023"/>
    <w:rsid w:val="008E4130"/>
    <w:rsid w:val="008E597C"/>
    <w:rsid w:val="008F0232"/>
    <w:rsid w:val="008F05F3"/>
    <w:rsid w:val="008F1627"/>
    <w:rsid w:val="008F488C"/>
    <w:rsid w:val="008F624E"/>
    <w:rsid w:val="00901072"/>
    <w:rsid w:val="00902AF7"/>
    <w:rsid w:val="00904E19"/>
    <w:rsid w:val="0090725F"/>
    <w:rsid w:val="00910412"/>
    <w:rsid w:val="00910783"/>
    <w:rsid w:val="00912367"/>
    <w:rsid w:val="00917C72"/>
    <w:rsid w:val="009267D1"/>
    <w:rsid w:val="0093077C"/>
    <w:rsid w:val="00935B08"/>
    <w:rsid w:val="0094034C"/>
    <w:rsid w:val="0094051A"/>
    <w:rsid w:val="009415DA"/>
    <w:rsid w:val="00941959"/>
    <w:rsid w:val="009512CF"/>
    <w:rsid w:val="00954774"/>
    <w:rsid w:val="0096297E"/>
    <w:rsid w:val="00962B49"/>
    <w:rsid w:val="0096512A"/>
    <w:rsid w:val="0097668B"/>
    <w:rsid w:val="009777C9"/>
    <w:rsid w:val="00987B27"/>
    <w:rsid w:val="00993D44"/>
    <w:rsid w:val="00994C6C"/>
    <w:rsid w:val="009A098B"/>
    <w:rsid w:val="009A3B84"/>
    <w:rsid w:val="009B28C5"/>
    <w:rsid w:val="009B3145"/>
    <w:rsid w:val="009C208A"/>
    <w:rsid w:val="009C3815"/>
    <w:rsid w:val="009C728E"/>
    <w:rsid w:val="009C737F"/>
    <w:rsid w:val="009E4BD6"/>
    <w:rsid w:val="009E54FC"/>
    <w:rsid w:val="009E678F"/>
    <w:rsid w:val="009F4B84"/>
    <w:rsid w:val="009F70C4"/>
    <w:rsid w:val="00A00C2A"/>
    <w:rsid w:val="00A02D84"/>
    <w:rsid w:val="00A07457"/>
    <w:rsid w:val="00A12F63"/>
    <w:rsid w:val="00A2353A"/>
    <w:rsid w:val="00A23726"/>
    <w:rsid w:val="00A26B49"/>
    <w:rsid w:val="00A31395"/>
    <w:rsid w:val="00A32D2B"/>
    <w:rsid w:val="00A332C7"/>
    <w:rsid w:val="00A4003D"/>
    <w:rsid w:val="00A41ED9"/>
    <w:rsid w:val="00A45F5C"/>
    <w:rsid w:val="00A51D9C"/>
    <w:rsid w:val="00A55710"/>
    <w:rsid w:val="00A646BF"/>
    <w:rsid w:val="00A670F0"/>
    <w:rsid w:val="00A71C48"/>
    <w:rsid w:val="00A7414B"/>
    <w:rsid w:val="00A879F7"/>
    <w:rsid w:val="00A93825"/>
    <w:rsid w:val="00A971AB"/>
    <w:rsid w:val="00AA1524"/>
    <w:rsid w:val="00AA1B31"/>
    <w:rsid w:val="00AA6E3B"/>
    <w:rsid w:val="00AA73C9"/>
    <w:rsid w:val="00AB3612"/>
    <w:rsid w:val="00AB730B"/>
    <w:rsid w:val="00AC19A0"/>
    <w:rsid w:val="00AC6744"/>
    <w:rsid w:val="00AD202D"/>
    <w:rsid w:val="00AD7A5B"/>
    <w:rsid w:val="00AE2F74"/>
    <w:rsid w:val="00AE33A4"/>
    <w:rsid w:val="00AE6BFD"/>
    <w:rsid w:val="00AF1157"/>
    <w:rsid w:val="00AF3DA7"/>
    <w:rsid w:val="00B02E43"/>
    <w:rsid w:val="00B03A98"/>
    <w:rsid w:val="00B05B97"/>
    <w:rsid w:val="00B07493"/>
    <w:rsid w:val="00B12A8F"/>
    <w:rsid w:val="00B163E8"/>
    <w:rsid w:val="00B22C97"/>
    <w:rsid w:val="00B26013"/>
    <w:rsid w:val="00B26226"/>
    <w:rsid w:val="00B3166C"/>
    <w:rsid w:val="00B36A39"/>
    <w:rsid w:val="00B40AE4"/>
    <w:rsid w:val="00B473F2"/>
    <w:rsid w:val="00B50E8F"/>
    <w:rsid w:val="00B54DBA"/>
    <w:rsid w:val="00B55B1A"/>
    <w:rsid w:val="00B566F0"/>
    <w:rsid w:val="00B67057"/>
    <w:rsid w:val="00B73A46"/>
    <w:rsid w:val="00B74469"/>
    <w:rsid w:val="00B80C67"/>
    <w:rsid w:val="00B85E91"/>
    <w:rsid w:val="00B9166D"/>
    <w:rsid w:val="00B92743"/>
    <w:rsid w:val="00BA236D"/>
    <w:rsid w:val="00BB03E5"/>
    <w:rsid w:val="00BB16A9"/>
    <w:rsid w:val="00BB2696"/>
    <w:rsid w:val="00BB6A16"/>
    <w:rsid w:val="00BD2618"/>
    <w:rsid w:val="00BD36AB"/>
    <w:rsid w:val="00BD3A5F"/>
    <w:rsid w:val="00BD6144"/>
    <w:rsid w:val="00BE27AF"/>
    <w:rsid w:val="00BE3E0E"/>
    <w:rsid w:val="00BF33B7"/>
    <w:rsid w:val="00C0299B"/>
    <w:rsid w:val="00C03983"/>
    <w:rsid w:val="00C03BC6"/>
    <w:rsid w:val="00C047BF"/>
    <w:rsid w:val="00C10986"/>
    <w:rsid w:val="00C16501"/>
    <w:rsid w:val="00C16B9A"/>
    <w:rsid w:val="00C20EC7"/>
    <w:rsid w:val="00C230CC"/>
    <w:rsid w:val="00C24AC4"/>
    <w:rsid w:val="00C26EA3"/>
    <w:rsid w:val="00C27711"/>
    <w:rsid w:val="00C33D6E"/>
    <w:rsid w:val="00C369DE"/>
    <w:rsid w:val="00C37AB2"/>
    <w:rsid w:val="00C37C99"/>
    <w:rsid w:val="00C45F4A"/>
    <w:rsid w:val="00C502AB"/>
    <w:rsid w:val="00C52865"/>
    <w:rsid w:val="00C66B08"/>
    <w:rsid w:val="00C6707D"/>
    <w:rsid w:val="00C70358"/>
    <w:rsid w:val="00C7277A"/>
    <w:rsid w:val="00C74398"/>
    <w:rsid w:val="00C76371"/>
    <w:rsid w:val="00C76BB5"/>
    <w:rsid w:val="00C76C37"/>
    <w:rsid w:val="00C77740"/>
    <w:rsid w:val="00C77E4B"/>
    <w:rsid w:val="00C80C8B"/>
    <w:rsid w:val="00C82C44"/>
    <w:rsid w:val="00C82FF1"/>
    <w:rsid w:val="00C86A71"/>
    <w:rsid w:val="00C9079A"/>
    <w:rsid w:val="00CA388D"/>
    <w:rsid w:val="00CA6656"/>
    <w:rsid w:val="00CB0146"/>
    <w:rsid w:val="00CB074D"/>
    <w:rsid w:val="00CB3EBE"/>
    <w:rsid w:val="00CB7088"/>
    <w:rsid w:val="00CB7270"/>
    <w:rsid w:val="00CC3955"/>
    <w:rsid w:val="00CC5189"/>
    <w:rsid w:val="00CC6313"/>
    <w:rsid w:val="00CC6987"/>
    <w:rsid w:val="00CD2C51"/>
    <w:rsid w:val="00CD3D75"/>
    <w:rsid w:val="00CE33B4"/>
    <w:rsid w:val="00CE6832"/>
    <w:rsid w:val="00CF1048"/>
    <w:rsid w:val="00CF3781"/>
    <w:rsid w:val="00CF4EB5"/>
    <w:rsid w:val="00D169BC"/>
    <w:rsid w:val="00D1798A"/>
    <w:rsid w:val="00D179AA"/>
    <w:rsid w:val="00D20046"/>
    <w:rsid w:val="00D20D08"/>
    <w:rsid w:val="00D21FD2"/>
    <w:rsid w:val="00D27B80"/>
    <w:rsid w:val="00D3076A"/>
    <w:rsid w:val="00D31504"/>
    <w:rsid w:val="00D36455"/>
    <w:rsid w:val="00D4364F"/>
    <w:rsid w:val="00D478B6"/>
    <w:rsid w:val="00D47A45"/>
    <w:rsid w:val="00D50343"/>
    <w:rsid w:val="00D505C1"/>
    <w:rsid w:val="00D510BD"/>
    <w:rsid w:val="00D51AB1"/>
    <w:rsid w:val="00D6379E"/>
    <w:rsid w:val="00D64FC6"/>
    <w:rsid w:val="00D64FFE"/>
    <w:rsid w:val="00D66DE8"/>
    <w:rsid w:val="00D7384E"/>
    <w:rsid w:val="00D744CB"/>
    <w:rsid w:val="00D74863"/>
    <w:rsid w:val="00D74DC3"/>
    <w:rsid w:val="00D767B4"/>
    <w:rsid w:val="00D80891"/>
    <w:rsid w:val="00D81D8F"/>
    <w:rsid w:val="00D81FED"/>
    <w:rsid w:val="00D841BD"/>
    <w:rsid w:val="00D842FD"/>
    <w:rsid w:val="00D84BB6"/>
    <w:rsid w:val="00D90BDF"/>
    <w:rsid w:val="00D964EA"/>
    <w:rsid w:val="00D96791"/>
    <w:rsid w:val="00DA388C"/>
    <w:rsid w:val="00DA55BE"/>
    <w:rsid w:val="00DA5804"/>
    <w:rsid w:val="00DB468C"/>
    <w:rsid w:val="00DC523C"/>
    <w:rsid w:val="00DC5995"/>
    <w:rsid w:val="00DC6F87"/>
    <w:rsid w:val="00DC7B51"/>
    <w:rsid w:val="00DD3D27"/>
    <w:rsid w:val="00DD47E8"/>
    <w:rsid w:val="00DD487E"/>
    <w:rsid w:val="00DD489A"/>
    <w:rsid w:val="00DE6A1B"/>
    <w:rsid w:val="00DF70BF"/>
    <w:rsid w:val="00E031E1"/>
    <w:rsid w:val="00E058D3"/>
    <w:rsid w:val="00E07401"/>
    <w:rsid w:val="00E106F6"/>
    <w:rsid w:val="00E21DFA"/>
    <w:rsid w:val="00E36039"/>
    <w:rsid w:val="00E40A16"/>
    <w:rsid w:val="00E4314D"/>
    <w:rsid w:val="00E47167"/>
    <w:rsid w:val="00E51A30"/>
    <w:rsid w:val="00E57A06"/>
    <w:rsid w:val="00E61C93"/>
    <w:rsid w:val="00E65117"/>
    <w:rsid w:val="00E65AD3"/>
    <w:rsid w:val="00E66573"/>
    <w:rsid w:val="00E6732A"/>
    <w:rsid w:val="00E70333"/>
    <w:rsid w:val="00E738AD"/>
    <w:rsid w:val="00E752E2"/>
    <w:rsid w:val="00E757FC"/>
    <w:rsid w:val="00E77DDF"/>
    <w:rsid w:val="00E83167"/>
    <w:rsid w:val="00E8607E"/>
    <w:rsid w:val="00E87807"/>
    <w:rsid w:val="00E955B7"/>
    <w:rsid w:val="00E97E22"/>
    <w:rsid w:val="00EA130E"/>
    <w:rsid w:val="00EA17FA"/>
    <w:rsid w:val="00EB0257"/>
    <w:rsid w:val="00EB0C75"/>
    <w:rsid w:val="00EB144F"/>
    <w:rsid w:val="00EB58CD"/>
    <w:rsid w:val="00EB7AF1"/>
    <w:rsid w:val="00EE290D"/>
    <w:rsid w:val="00EE332B"/>
    <w:rsid w:val="00EE5111"/>
    <w:rsid w:val="00EF12FF"/>
    <w:rsid w:val="00EF2374"/>
    <w:rsid w:val="00F00F2D"/>
    <w:rsid w:val="00F01040"/>
    <w:rsid w:val="00F07828"/>
    <w:rsid w:val="00F10285"/>
    <w:rsid w:val="00F13553"/>
    <w:rsid w:val="00F13B45"/>
    <w:rsid w:val="00F1418D"/>
    <w:rsid w:val="00F20E07"/>
    <w:rsid w:val="00F22898"/>
    <w:rsid w:val="00F23DB9"/>
    <w:rsid w:val="00F24306"/>
    <w:rsid w:val="00F31083"/>
    <w:rsid w:val="00F34DE6"/>
    <w:rsid w:val="00F363AD"/>
    <w:rsid w:val="00F43BF2"/>
    <w:rsid w:val="00F4513E"/>
    <w:rsid w:val="00F47B66"/>
    <w:rsid w:val="00F51133"/>
    <w:rsid w:val="00F53BFD"/>
    <w:rsid w:val="00F549D6"/>
    <w:rsid w:val="00F66589"/>
    <w:rsid w:val="00F66B80"/>
    <w:rsid w:val="00F712BC"/>
    <w:rsid w:val="00F713CC"/>
    <w:rsid w:val="00F724C9"/>
    <w:rsid w:val="00F739F6"/>
    <w:rsid w:val="00F7568F"/>
    <w:rsid w:val="00F829B6"/>
    <w:rsid w:val="00F83353"/>
    <w:rsid w:val="00F8392A"/>
    <w:rsid w:val="00F86B48"/>
    <w:rsid w:val="00F91959"/>
    <w:rsid w:val="00F93250"/>
    <w:rsid w:val="00FA1037"/>
    <w:rsid w:val="00FA1A14"/>
    <w:rsid w:val="00FA300B"/>
    <w:rsid w:val="00FB016B"/>
    <w:rsid w:val="00FB48E2"/>
    <w:rsid w:val="00FB500D"/>
    <w:rsid w:val="00FC2358"/>
    <w:rsid w:val="00FC4A29"/>
    <w:rsid w:val="00FC597E"/>
    <w:rsid w:val="00FC6AA7"/>
    <w:rsid w:val="00FD091A"/>
    <w:rsid w:val="00FD408C"/>
    <w:rsid w:val="00FD6A33"/>
    <w:rsid w:val="00FD7F3F"/>
    <w:rsid w:val="00FE4EEE"/>
    <w:rsid w:val="00FE51AD"/>
    <w:rsid w:val="00FF2118"/>
    <w:rsid w:val="00FF415D"/>
    <w:rsid w:val="00FF4353"/>
    <w:rsid w:val="00FF5D69"/>
    <w:rsid w:val="2974C6A2"/>
    <w:rsid w:val="31BE14E4"/>
    <w:rsid w:val="3B99A38E"/>
    <w:rsid w:val="41AD731E"/>
    <w:rsid w:val="4B78BC57"/>
    <w:rsid w:val="532DAAC8"/>
    <w:rsid w:val="57C86B35"/>
    <w:rsid w:val="5FF9861F"/>
    <w:rsid w:val="62B14436"/>
    <w:rsid w:val="698E2E0C"/>
    <w:rsid w:val="6B5074A5"/>
    <w:rsid w:val="7B514FBB"/>
    <w:rsid w:val="7DCAF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9F6"/>
  <w15:docId w15:val="{A9AB31F5-3A4A-4E12-9AD4-783BA66B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CF"/>
    <w:pPr>
      <w:spacing w:before="0" w:after="240" w:line="276" w:lineRule="auto"/>
      <w:jc w:val="left"/>
    </w:pPr>
    <w:rPr>
      <w:rFonts w:ascii="Calibri" w:hAnsi="Calibri" w:cs="Times New Roman"/>
      <w:kern w:val="2"/>
      <w14:ligatures w14:val="standardContextual"/>
    </w:rPr>
  </w:style>
  <w:style w:type="paragraph" w:styleId="Heading1">
    <w:name w:val="heading 1"/>
    <w:basedOn w:val="Normal"/>
    <w:next w:val="Normal"/>
    <w:link w:val="Heading1Char"/>
    <w:uiPriority w:val="9"/>
    <w:qFormat/>
    <w:rsid w:val="00836199"/>
    <w:pPr>
      <w:keepNext/>
      <w:outlineLvl w:val="0"/>
    </w:pPr>
    <w:rPr>
      <w:b/>
      <w:bCs/>
      <w:color w:val="000000" w:themeColor="text1"/>
      <w:sz w:val="32"/>
      <w:szCs w:val="32"/>
    </w:rPr>
  </w:style>
  <w:style w:type="paragraph" w:styleId="Heading2">
    <w:name w:val="heading 2"/>
    <w:basedOn w:val="Normal"/>
    <w:next w:val="Normal"/>
    <w:link w:val="Heading2Char"/>
    <w:uiPriority w:val="9"/>
    <w:unhideWhenUsed/>
    <w:qFormat/>
    <w:rsid w:val="00836199"/>
    <w:pPr>
      <w:keepNext/>
      <w:outlineLvl w:val="1"/>
    </w:pPr>
    <w:rPr>
      <w:b/>
      <w:u w:val="single"/>
    </w:rPr>
  </w:style>
  <w:style w:type="paragraph" w:styleId="Heading3">
    <w:name w:val="heading 3"/>
    <w:basedOn w:val="Normal"/>
    <w:next w:val="Normal"/>
    <w:link w:val="Heading3Char"/>
    <w:uiPriority w:val="9"/>
    <w:unhideWhenUsed/>
    <w:qFormat/>
    <w:rsid w:val="00836199"/>
    <w:pPr>
      <w:keepNext/>
      <w:spacing w:before="240" w:after="120"/>
      <w:outlineLvl w:val="2"/>
    </w:pPr>
    <w:rPr>
      <w:b/>
      <w:bCs/>
      <w:iCs/>
    </w:rPr>
  </w:style>
  <w:style w:type="paragraph" w:styleId="Heading4">
    <w:name w:val="heading 4"/>
    <w:basedOn w:val="Normal"/>
    <w:next w:val="Normal"/>
    <w:link w:val="Heading4Char"/>
    <w:uiPriority w:val="9"/>
    <w:unhideWhenUsed/>
    <w:qFormat/>
    <w:rsid w:val="008361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361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6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36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36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36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199"/>
    <w:rPr>
      <w:rFonts w:ascii="Segoe UI" w:hAnsi="Segoe UI" w:cs="Segoe UI"/>
      <w:kern w:val="2"/>
      <w:sz w:val="18"/>
      <w:szCs w:val="18"/>
      <w14:ligatures w14:val="standardContextual"/>
    </w:rPr>
  </w:style>
  <w:style w:type="paragraph" w:styleId="BodyText">
    <w:name w:val="Body Text"/>
    <w:basedOn w:val="Normal"/>
    <w:link w:val="BodyTextChar"/>
    <w:rsid w:val="00836199"/>
  </w:style>
  <w:style w:type="character" w:customStyle="1" w:styleId="BodyTextChar">
    <w:name w:val="Body Text Char"/>
    <w:basedOn w:val="DefaultParagraphFont"/>
    <w:link w:val="BodyText"/>
    <w:rsid w:val="00836199"/>
    <w:rPr>
      <w:rFonts w:ascii="Calibri" w:hAnsi="Calibri" w:cs="Times New Roman"/>
      <w:kern w:val="2"/>
      <w14:ligatures w14:val="standardContextual"/>
    </w:rPr>
  </w:style>
  <w:style w:type="paragraph" w:customStyle="1" w:styleId="Boxedtext">
    <w:name w:val="Boxed text"/>
    <w:basedOn w:val="Normal"/>
    <w:qFormat/>
    <w:rsid w:val="00836199"/>
    <w:pPr>
      <w:pBdr>
        <w:top w:val="single" w:sz="4" w:space="1" w:color="auto"/>
        <w:left w:val="single" w:sz="4" w:space="4" w:color="auto"/>
        <w:bottom w:val="single" w:sz="4" w:space="1" w:color="auto"/>
        <w:right w:val="single" w:sz="4" w:space="4" w:color="auto"/>
      </w:pBdr>
      <w:spacing w:after="160" w:line="259" w:lineRule="auto"/>
    </w:pPr>
    <w:rPr>
      <w:b/>
      <w:bCs/>
      <w:color w:val="000000"/>
      <w:kern w:val="0"/>
      <w14:ligatures w14:val="none"/>
    </w:rPr>
  </w:style>
  <w:style w:type="paragraph" w:customStyle="1" w:styleId="Bullet">
    <w:name w:val="Bullet"/>
    <w:qFormat/>
    <w:rsid w:val="00836199"/>
    <w:pPr>
      <w:framePr w:hSpace="180" w:wrap="around" w:vAnchor="text" w:hAnchor="margin" w:x="-545" w:y="-494"/>
      <w:numPr>
        <w:numId w:val="61"/>
      </w:numPr>
      <w:spacing w:before="0" w:after="20"/>
      <w:jc w:val="left"/>
    </w:pPr>
    <w:rPr>
      <w:rFonts w:ascii="Calibri" w:hAnsi="Calibri" w:cs="Calibri"/>
      <w:kern w:val="2"/>
      <w:sz w:val="22"/>
      <w:szCs w:val="22"/>
      <w14:ligatures w14:val="standardContextual"/>
    </w:rPr>
  </w:style>
  <w:style w:type="paragraph" w:customStyle="1" w:styleId="CityOrdinances">
    <w:name w:val="City Ordinances"/>
    <w:basedOn w:val="Heading1"/>
    <w:autoRedefine/>
    <w:qFormat/>
    <w:rsid w:val="00836199"/>
    <w:pPr>
      <w:keepLines/>
      <w:numPr>
        <w:numId w:val="62"/>
      </w:numPr>
      <w:spacing w:before="240"/>
    </w:pPr>
    <w:rPr>
      <w:rFonts w:eastAsiaTheme="majorEastAsia" w:cstheme="majorBidi"/>
      <w:bCs w:val="0"/>
      <w:kern w:val="0"/>
      <w:sz w:val="24"/>
    </w:rPr>
  </w:style>
  <w:style w:type="character" w:styleId="CommentReference">
    <w:name w:val="annotation reference"/>
    <w:basedOn w:val="DefaultParagraphFont"/>
    <w:uiPriority w:val="99"/>
    <w:semiHidden/>
    <w:unhideWhenUsed/>
    <w:rsid w:val="00836199"/>
    <w:rPr>
      <w:sz w:val="16"/>
      <w:szCs w:val="16"/>
    </w:rPr>
  </w:style>
  <w:style w:type="paragraph" w:styleId="CommentText">
    <w:name w:val="annotation text"/>
    <w:basedOn w:val="Normal"/>
    <w:link w:val="CommentTextChar"/>
    <w:uiPriority w:val="99"/>
    <w:rsid w:val="00836199"/>
    <w:rPr>
      <w:sz w:val="20"/>
      <w:szCs w:val="20"/>
    </w:rPr>
  </w:style>
  <w:style w:type="character" w:customStyle="1" w:styleId="CommentTextChar">
    <w:name w:val="Comment Text Char"/>
    <w:basedOn w:val="DefaultParagraphFont"/>
    <w:link w:val="CommentText"/>
    <w:uiPriority w:val="99"/>
    <w:rsid w:val="00836199"/>
    <w:rPr>
      <w:rFonts w:ascii="Calibri" w:hAnsi="Calibri"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36199"/>
    <w:rPr>
      <w:b/>
      <w:bCs/>
    </w:rPr>
  </w:style>
  <w:style w:type="character" w:customStyle="1" w:styleId="Heading1Char">
    <w:name w:val="Heading 1 Char"/>
    <w:basedOn w:val="DefaultParagraphFont"/>
    <w:link w:val="Heading1"/>
    <w:uiPriority w:val="9"/>
    <w:rsid w:val="00836199"/>
    <w:rPr>
      <w:rFonts w:ascii="Calibri" w:hAnsi="Calibri" w:cs="Times New Roman"/>
      <w:b/>
      <w:bCs/>
      <w:color w:val="000000" w:themeColor="text1"/>
      <w:kern w:val="2"/>
      <w:sz w:val="32"/>
      <w:szCs w:val="32"/>
      <w14:ligatures w14:val="standardContextual"/>
    </w:rPr>
  </w:style>
  <w:style w:type="character" w:customStyle="1" w:styleId="CommentSubjectChar">
    <w:name w:val="Comment Subject Char"/>
    <w:basedOn w:val="CommentTextChar"/>
    <w:link w:val="CommentSubject"/>
    <w:uiPriority w:val="99"/>
    <w:semiHidden/>
    <w:rsid w:val="00836199"/>
    <w:rPr>
      <w:rFonts w:ascii="Calibri" w:hAnsi="Calibri" w:cs="Times New Roman"/>
      <w:b/>
      <w:bCs/>
      <w:kern w:val="2"/>
      <w:sz w:val="20"/>
      <w:szCs w:val="20"/>
      <w14:ligatures w14:val="standardContextual"/>
    </w:rPr>
  </w:style>
  <w:style w:type="character" w:customStyle="1" w:styleId="Heading2Char">
    <w:name w:val="Heading 2 Char"/>
    <w:basedOn w:val="DefaultParagraphFont"/>
    <w:link w:val="Heading2"/>
    <w:uiPriority w:val="9"/>
    <w:rsid w:val="00836199"/>
    <w:rPr>
      <w:rFonts w:ascii="Calibri" w:hAnsi="Calibri" w:cs="Times New Roman"/>
      <w:b/>
      <w:kern w:val="2"/>
      <w:u w:val="single"/>
      <w14:ligatures w14:val="standardContextual"/>
    </w:rPr>
  </w:style>
  <w:style w:type="character" w:customStyle="1" w:styleId="Heading3Char">
    <w:name w:val="Heading 3 Char"/>
    <w:basedOn w:val="DefaultParagraphFont"/>
    <w:link w:val="Heading3"/>
    <w:uiPriority w:val="9"/>
    <w:rsid w:val="00836199"/>
    <w:rPr>
      <w:rFonts w:ascii="Calibri" w:hAnsi="Calibri" w:cs="Times New Roman"/>
      <w:b/>
      <w:bCs/>
      <w:iCs/>
      <w:kern w:val="2"/>
      <w14:ligatures w14:val="standardContextual"/>
    </w:rPr>
  </w:style>
  <w:style w:type="numbering" w:customStyle="1" w:styleId="CurrentList1">
    <w:name w:val="Current List1"/>
    <w:uiPriority w:val="99"/>
    <w:rsid w:val="00836199"/>
    <w:pPr>
      <w:numPr>
        <w:numId w:val="63"/>
      </w:numPr>
    </w:pPr>
  </w:style>
  <w:style w:type="character" w:customStyle="1" w:styleId="Heading4Char">
    <w:name w:val="Heading 4 Char"/>
    <w:basedOn w:val="DefaultParagraphFont"/>
    <w:link w:val="Heading4"/>
    <w:uiPriority w:val="9"/>
    <w:rsid w:val="00836199"/>
    <w:rPr>
      <w:rFonts w:ascii="Calibri" w:eastAsiaTheme="majorEastAsia" w:hAnsi="Calibr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836199"/>
    <w:rPr>
      <w:rFonts w:ascii="Calibri" w:eastAsiaTheme="majorEastAsia" w:hAnsi="Calibri" w:cstheme="majorBidi"/>
      <w:color w:val="2E74B5" w:themeColor="accent1" w:themeShade="BF"/>
      <w:kern w:val="2"/>
      <w14:ligatures w14:val="standardContextual"/>
    </w:rPr>
  </w:style>
  <w:style w:type="numbering" w:customStyle="1" w:styleId="CurrentList2">
    <w:name w:val="Current List2"/>
    <w:uiPriority w:val="99"/>
    <w:rsid w:val="00836199"/>
    <w:pPr>
      <w:numPr>
        <w:numId w:val="64"/>
      </w:numPr>
    </w:pPr>
  </w:style>
  <w:style w:type="numbering" w:customStyle="1" w:styleId="CurrentList3">
    <w:name w:val="Current List3"/>
    <w:uiPriority w:val="99"/>
    <w:rsid w:val="00836199"/>
    <w:pPr>
      <w:numPr>
        <w:numId w:val="65"/>
      </w:numPr>
    </w:pPr>
  </w:style>
  <w:style w:type="numbering" w:customStyle="1" w:styleId="CurrentList4">
    <w:name w:val="Current List4"/>
    <w:uiPriority w:val="99"/>
    <w:rsid w:val="00836199"/>
    <w:pPr>
      <w:numPr>
        <w:numId w:val="66"/>
      </w:numPr>
    </w:pPr>
  </w:style>
  <w:style w:type="numbering" w:customStyle="1" w:styleId="CurrentList5">
    <w:name w:val="Current List5"/>
    <w:uiPriority w:val="99"/>
    <w:rsid w:val="00836199"/>
    <w:pPr>
      <w:numPr>
        <w:numId w:val="67"/>
      </w:numPr>
    </w:pPr>
  </w:style>
  <w:style w:type="numbering" w:customStyle="1" w:styleId="CurrentList6">
    <w:name w:val="Current List6"/>
    <w:uiPriority w:val="99"/>
    <w:rsid w:val="00836199"/>
    <w:pPr>
      <w:numPr>
        <w:numId w:val="68"/>
      </w:numPr>
    </w:pPr>
  </w:style>
  <w:style w:type="numbering" w:customStyle="1" w:styleId="CurrentList7">
    <w:name w:val="Current List7"/>
    <w:uiPriority w:val="99"/>
    <w:rsid w:val="00836199"/>
    <w:pPr>
      <w:numPr>
        <w:numId w:val="69"/>
      </w:numPr>
    </w:pPr>
  </w:style>
  <w:style w:type="paragraph" w:customStyle="1" w:styleId="Default">
    <w:name w:val="Default"/>
    <w:rsid w:val="00836199"/>
    <w:pPr>
      <w:autoSpaceDE w:val="0"/>
      <w:autoSpaceDN w:val="0"/>
      <w:adjustRightInd w:val="0"/>
      <w:spacing w:before="0" w:after="0"/>
      <w:jc w:val="left"/>
    </w:pPr>
    <w:rPr>
      <w:rFonts w:ascii="Arial" w:hAnsi="Arial" w:cs="Arial"/>
      <w:color w:val="000000"/>
    </w:rPr>
  </w:style>
  <w:style w:type="character" w:customStyle="1" w:styleId="designator">
    <w:name w:val="designator"/>
    <w:basedOn w:val="DefaultParagraphFont"/>
    <w:rsid w:val="00836199"/>
  </w:style>
  <w:style w:type="paragraph" w:customStyle="1" w:styleId="DocID">
    <w:name w:val="Doc ID"/>
    <w:basedOn w:val="Normal"/>
    <w:link w:val="DocIDChar"/>
    <w:rsid w:val="00836199"/>
    <w:pPr>
      <w:tabs>
        <w:tab w:val="right" w:pos="9360"/>
      </w:tabs>
      <w:spacing w:after="0" w:line="200" w:lineRule="exact"/>
    </w:pPr>
    <w:rPr>
      <w:bCs/>
      <w:kern w:val="0"/>
      <w:sz w:val="16"/>
      <w:szCs w:val="22"/>
      <w14:ligatures w14:val="none"/>
    </w:rPr>
  </w:style>
  <w:style w:type="character" w:customStyle="1" w:styleId="DocIDChar">
    <w:name w:val="Doc ID Char"/>
    <w:basedOn w:val="DefaultParagraphFont"/>
    <w:link w:val="DocID"/>
    <w:rsid w:val="00836199"/>
    <w:rPr>
      <w:rFonts w:ascii="Calibri" w:hAnsi="Calibri" w:cs="Times New Roman"/>
      <w:bCs/>
      <w:sz w:val="16"/>
      <w:szCs w:val="22"/>
    </w:rPr>
  </w:style>
  <w:style w:type="paragraph" w:styleId="Footer">
    <w:name w:val="footer"/>
    <w:basedOn w:val="Normal"/>
    <w:link w:val="FooterChar"/>
    <w:uiPriority w:val="99"/>
    <w:unhideWhenUsed/>
    <w:rsid w:val="00836199"/>
    <w:pPr>
      <w:tabs>
        <w:tab w:val="center" w:pos="4680"/>
        <w:tab w:val="right" w:pos="9360"/>
      </w:tabs>
      <w:spacing w:after="0"/>
    </w:pPr>
  </w:style>
  <w:style w:type="character" w:customStyle="1" w:styleId="FooterChar">
    <w:name w:val="Footer Char"/>
    <w:basedOn w:val="DefaultParagraphFont"/>
    <w:link w:val="Footer"/>
    <w:uiPriority w:val="99"/>
    <w:rsid w:val="00836199"/>
    <w:rPr>
      <w:rFonts w:ascii="Calibri" w:hAnsi="Calibri" w:cs="Times New Roman"/>
      <w:kern w:val="2"/>
      <w14:ligatures w14:val="standardContextual"/>
    </w:rPr>
  </w:style>
  <w:style w:type="paragraph" w:customStyle="1" w:styleId="DocID0">
    <w:name w:val="DocID"/>
    <w:basedOn w:val="Footer"/>
    <w:next w:val="Footer"/>
    <w:link w:val="DocIDChar0"/>
    <w:rsid w:val="00836199"/>
    <w:pPr>
      <w:tabs>
        <w:tab w:val="clear" w:pos="4680"/>
        <w:tab w:val="clear" w:pos="9360"/>
      </w:tabs>
      <w:spacing w:line="240" w:lineRule="auto"/>
    </w:pPr>
    <w:rPr>
      <w:rFonts w:ascii="Times New Roman" w:eastAsia="Times New Roman" w:hAnsi="Times New Roman"/>
      <w:sz w:val="16"/>
      <w:szCs w:val="20"/>
    </w:rPr>
  </w:style>
  <w:style w:type="character" w:customStyle="1" w:styleId="DocIDChar0">
    <w:name w:val="DocID Char"/>
    <w:basedOn w:val="DefaultParagraphFont"/>
    <w:link w:val="DocID0"/>
    <w:rsid w:val="00836199"/>
    <w:rPr>
      <w:rFonts w:ascii="Times New Roman" w:eastAsia="Times New Roman" w:hAnsi="Times New Roman" w:cs="Times New Roman"/>
      <w:kern w:val="2"/>
      <w:sz w:val="16"/>
      <w:szCs w:val="20"/>
      <w14:ligatures w14:val="standardContextual"/>
    </w:rPr>
  </w:style>
  <w:style w:type="paragraph" w:customStyle="1" w:styleId="DocumentTitle">
    <w:name w:val="Document Title"/>
    <w:basedOn w:val="Normal"/>
    <w:qFormat/>
    <w:rsid w:val="00836199"/>
    <w:pPr>
      <w:jc w:val="center"/>
    </w:pPr>
    <w:rPr>
      <w:b/>
      <w:bCs/>
      <w:u w:val="single"/>
    </w:rPr>
  </w:style>
  <w:style w:type="character" w:styleId="FollowedHyperlink">
    <w:name w:val="FollowedHyperlink"/>
    <w:basedOn w:val="DefaultParagraphFont"/>
    <w:uiPriority w:val="99"/>
    <w:semiHidden/>
    <w:unhideWhenUsed/>
    <w:rsid w:val="00836199"/>
    <w:rPr>
      <w:color w:val="954F72" w:themeColor="followedHyperlink"/>
      <w:u w:val="single"/>
    </w:rPr>
  </w:style>
  <w:style w:type="character" w:styleId="FootnoteReference">
    <w:name w:val="footnote reference"/>
    <w:basedOn w:val="DefaultParagraphFont"/>
    <w:uiPriority w:val="99"/>
    <w:semiHidden/>
    <w:unhideWhenUsed/>
    <w:rsid w:val="00836199"/>
    <w:rPr>
      <w:vertAlign w:val="superscript"/>
    </w:rPr>
  </w:style>
  <w:style w:type="paragraph" w:styleId="FootnoteText">
    <w:name w:val="footnote text"/>
    <w:basedOn w:val="Normal"/>
    <w:link w:val="FootnoteTextChar"/>
    <w:uiPriority w:val="99"/>
    <w:unhideWhenUsed/>
    <w:rsid w:val="00836199"/>
    <w:pPr>
      <w:spacing w:after="0"/>
    </w:pPr>
    <w:rPr>
      <w:rFonts w:cstheme="minorBidi"/>
      <w:kern w:val="0"/>
      <w:sz w:val="20"/>
      <w:szCs w:val="20"/>
      <w14:ligatures w14:val="none"/>
    </w:rPr>
  </w:style>
  <w:style w:type="character" w:customStyle="1" w:styleId="FootnoteTextChar">
    <w:name w:val="Footnote Text Char"/>
    <w:basedOn w:val="DefaultParagraphFont"/>
    <w:link w:val="FootnoteText"/>
    <w:uiPriority w:val="99"/>
    <w:rsid w:val="00836199"/>
    <w:rPr>
      <w:rFonts w:ascii="Calibri" w:hAnsi="Calibri"/>
      <w:sz w:val="20"/>
      <w:szCs w:val="20"/>
    </w:rPr>
  </w:style>
  <w:style w:type="paragraph" w:styleId="Header">
    <w:name w:val="header"/>
    <w:link w:val="HeaderChar"/>
    <w:uiPriority w:val="99"/>
    <w:unhideWhenUsed/>
    <w:rsid w:val="00836199"/>
    <w:pPr>
      <w:tabs>
        <w:tab w:val="center" w:pos="4680"/>
        <w:tab w:val="right" w:pos="9360"/>
      </w:tabs>
      <w:spacing w:before="0" w:after="360"/>
      <w:jc w:val="left"/>
    </w:pPr>
    <w:rPr>
      <w:rFonts w:ascii="Calibri" w:hAnsi="Calibri" w:cs="Calibri"/>
      <w:b/>
      <w:bCs/>
      <w:kern w:val="2"/>
      <w:szCs w:val="22"/>
      <w14:ligatures w14:val="standardContextual"/>
    </w:rPr>
  </w:style>
  <w:style w:type="character" w:customStyle="1" w:styleId="HeaderChar">
    <w:name w:val="Header Char"/>
    <w:basedOn w:val="DefaultParagraphFont"/>
    <w:link w:val="Header"/>
    <w:uiPriority w:val="99"/>
    <w:rsid w:val="00836199"/>
    <w:rPr>
      <w:rFonts w:ascii="Calibri" w:hAnsi="Calibri" w:cs="Calibri"/>
      <w:b/>
      <w:bCs/>
      <w:kern w:val="2"/>
      <w:szCs w:val="22"/>
      <w14:ligatures w14:val="standardContextual"/>
    </w:rPr>
  </w:style>
  <w:style w:type="paragraph" w:customStyle="1" w:styleId="Heading10">
    <w:name w:val="Heading`1"/>
    <w:basedOn w:val="Normal"/>
    <w:rsid w:val="00836199"/>
    <w:rPr>
      <w:b/>
      <w:bCs/>
    </w:rPr>
  </w:style>
  <w:style w:type="character" w:styleId="Hyperlink">
    <w:name w:val="Hyperlink"/>
    <w:basedOn w:val="DefaultParagraphFont"/>
    <w:uiPriority w:val="99"/>
    <w:unhideWhenUsed/>
    <w:rsid w:val="001669FC"/>
    <w:rPr>
      <w:rFonts w:ascii="Calibri" w:hAnsi="Calibri"/>
      <w:color w:val="002060"/>
      <w:sz w:val="22"/>
      <w:u w:val="single"/>
    </w:rPr>
  </w:style>
  <w:style w:type="paragraph" w:customStyle="1" w:styleId="incr0">
    <w:name w:val="incr0"/>
    <w:basedOn w:val="Normal"/>
    <w:rsid w:val="00836199"/>
    <w:pPr>
      <w:autoSpaceDN w:val="0"/>
      <w:spacing w:before="100" w:after="100"/>
    </w:pPr>
    <w:rPr>
      <w:rFonts w:eastAsia="Times New Roman"/>
      <w:kern w:val="0"/>
      <w14:ligatures w14:val="none"/>
    </w:rPr>
  </w:style>
  <w:style w:type="paragraph" w:customStyle="1" w:styleId="incr1">
    <w:name w:val="incr1"/>
    <w:basedOn w:val="Normal"/>
    <w:rsid w:val="00836199"/>
    <w:pPr>
      <w:autoSpaceDN w:val="0"/>
      <w:spacing w:before="100" w:after="100"/>
    </w:pPr>
    <w:rPr>
      <w:rFonts w:eastAsia="Times New Roman"/>
      <w:kern w:val="0"/>
      <w14:ligatures w14:val="none"/>
    </w:rPr>
  </w:style>
  <w:style w:type="paragraph" w:customStyle="1" w:styleId="indent2">
    <w:name w:val="indent2"/>
    <w:basedOn w:val="Normal"/>
    <w:rsid w:val="00836199"/>
    <w:pPr>
      <w:spacing w:before="100" w:beforeAutospacing="1" w:after="100" w:afterAutospacing="1" w:line="240" w:lineRule="auto"/>
    </w:pPr>
    <w:rPr>
      <w:rFonts w:ascii="Times New Roman" w:eastAsia="Times New Roman" w:hAnsi="Times New Roman"/>
    </w:rPr>
  </w:style>
  <w:style w:type="character" w:styleId="IntenseEmphasis">
    <w:name w:val="Intense Emphasis"/>
    <w:basedOn w:val="DefaultParagraphFont"/>
    <w:uiPriority w:val="21"/>
    <w:qFormat/>
    <w:rsid w:val="00836199"/>
    <w:rPr>
      <w:i/>
      <w:iCs/>
      <w:color w:val="2E74B5" w:themeColor="accent1" w:themeShade="BF"/>
    </w:rPr>
  </w:style>
  <w:style w:type="paragraph" w:styleId="IntenseQuote">
    <w:name w:val="Intense Quote"/>
    <w:basedOn w:val="Normal"/>
    <w:next w:val="Normal"/>
    <w:link w:val="IntenseQuoteChar"/>
    <w:uiPriority w:val="30"/>
    <w:qFormat/>
    <w:rsid w:val="008361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6199"/>
    <w:rPr>
      <w:rFonts w:ascii="Calibri" w:hAnsi="Calibri" w:cs="Times New Roman"/>
      <w:i/>
      <w:iCs/>
      <w:color w:val="2E74B5" w:themeColor="accent1" w:themeShade="BF"/>
      <w:kern w:val="2"/>
      <w14:ligatures w14:val="standardContextual"/>
    </w:rPr>
  </w:style>
  <w:style w:type="character" w:styleId="IntenseReference">
    <w:name w:val="Intense Reference"/>
    <w:basedOn w:val="DefaultParagraphFont"/>
    <w:uiPriority w:val="32"/>
    <w:qFormat/>
    <w:rsid w:val="00836199"/>
    <w:rPr>
      <w:b/>
      <w:bCs/>
      <w:smallCaps/>
      <w:color w:val="2E74B5" w:themeColor="accent1" w:themeShade="BF"/>
      <w:spacing w:val="5"/>
    </w:rPr>
  </w:style>
  <w:style w:type="paragraph" w:styleId="ListParagraph">
    <w:name w:val="List Paragraph"/>
    <w:basedOn w:val="Normal"/>
    <w:link w:val="ListParagraphChar"/>
    <w:autoRedefine/>
    <w:uiPriority w:val="34"/>
    <w:qFormat/>
    <w:rsid w:val="0066791D"/>
    <w:pPr>
      <w:numPr>
        <w:numId w:val="70"/>
      </w:numPr>
    </w:pPr>
  </w:style>
  <w:style w:type="character" w:customStyle="1" w:styleId="ListParagraphChar">
    <w:name w:val="List Paragraph Char"/>
    <w:basedOn w:val="DefaultParagraphFont"/>
    <w:link w:val="ListParagraph"/>
    <w:uiPriority w:val="34"/>
    <w:rsid w:val="0066791D"/>
    <w:rPr>
      <w:rFonts w:ascii="Calibri" w:hAnsi="Calibri" w:cs="Times New Roman"/>
      <w:kern w:val="2"/>
      <w14:ligatures w14:val="standardContextual"/>
    </w:rPr>
  </w:style>
  <w:style w:type="paragraph" w:customStyle="1" w:styleId="ListBullets">
    <w:name w:val="List Bullets"/>
    <w:basedOn w:val="ListParagraph"/>
    <w:autoRedefine/>
    <w:qFormat/>
    <w:rsid w:val="00836199"/>
    <w:pPr>
      <w:numPr>
        <w:numId w:val="71"/>
      </w:numPr>
    </w:pPr>
  </w:style>
  <w:style w:type="paragraph" w:styleId="NormalWeb">
    <w:name w:val="Normal (Web)"/>
    <w:basedOn w:val="Normal"/>
    <w:uiPriority w:val="99"/>
    <w:unhideWhenUsed/>
    <w:rsid w:val="00836199"/>
    <w:pPr>
      <w:spacing w:before="100" w:beforeAutospacing="1" w:after="100" w:afterAutospacing="1" w:line="240" w:lineRule="auto"/>
    </w:pPr>
    <w:rPr>
      <w:rFonts w:ascii="Times New Roman" w:eastAsia="Times New Roman" w:hAnsi="Times New Roman"/>
    </w:rPr>
  </w:style>
  <w:style w:type="paragraph" w:customStyle="1" w:styleId="Note">
    <w:name w:val="Note"/>
    <w:basedOn w:val="Normal"/>
    <w:qFormat/>
    <w:rsid w:val="00836199"/>
    <w:pPr>
      <w:shd w:val="clear" w:color="auto" w:fill="FFFF00"/>
      <w:ind w:left="720"/>
    </w:pPr>
    <w:rPr>
      <w:i/>
      <w:color w:val="000000" w:themeColor="text1"/>
    </w:rPr>
  </w:style>
  <w:style w:type="paragraph" w:customStyle="1" w:styleId="p0">
    <w:name w:val="p0"/>
    <w:basedOn w:val="Normal"/>
    <w:rsid w:val="00836199"/>
    <w:pPr>
      <w:autoSpaceDN w:val="0"/>
      <w:spacing w:before="100" w:after="100" w:line="240" w:lineRule="auto"/>
    </w:pPr>
    <w:rPr>
      <w:rFonts w:ascii="Times New Roman" w:eastAsia="Times New Roman" w:hAnsi="Times New Roman"/>
    </w:rPr>
  </w:style>
  <w:style w:type="character" w:styleId="PageNumber">
    <w:name w:val="page number"/>
    <w:basedOn w:val="DefaultParagraphFont"/>
    <w:uiPriority w:val="99"/>
    <w:semiHidden/>
    <w:unhideWhenUsed/>
    <w:rsid w:val="00836199"/>
  </w:style>
  <w:style w:type="table" w:styleId="PlainTable3">
    <w:name w:val="Plain Table 3"/>
    <w:basedOn w:val="TableNormal"/>
    <w:uiPriority w:val="43"/>
    <w:rsid w:val="00836199"/>
    <w:pPr>
      <w:spacing w:before="0" w:after="0"/>
      <w:jc w:val="left"/>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Quote">
    <w:name w:val="Quote"/>
    <w:basedOn w:val="Normal"/>
    <w:next w:val="Normal"/>
    <w:link w:val="QuoteChar"/>
    <w:uiPriority w:val="29"/>
    <w:qFormat/>
    <w:rsid w:val="00836199"/>
    <w:pPr>
      <w:spacing w:before="160"/>
      <w:jc w:val="center"/>
    </w:pPr>
    <w:rPr>
      <w:i/>
      <w:iCs/>
      <w:color w:val="404040" w:themeColor="text1" w:themeTint="BF"/>
    </w:rPr>
  </w:style>
  <w:style w:type="character" w:customStyle="1" w:styleId="QuoteChar">
    <w:name w:val="Quote Char"/>
    <w:basedOn w:val="DefaultParagraphFont"/>
    <w:link w:val="Quote"/>
    <w:uiPriority w:val="29"/>
    <w:rsid w:val="00836199"/>
    <w:rPr>
      <w:rFonts w:ascii="Calibri" w:hAnsi="Calibri" w:cs="Times New Roman"/>
      <w:i/>
      <w:iCs/>
      <w:color w:val="404040" w:themeColor="text1" w:themeTint="BF"/>
      <w:kern w:val="2"/>
      <w14:ligatures w14:val="standardContextual"/>
    </w:rPr>
  </w:style>
  <w:style w:type="paragraph" w:customStyle="1" w:styleId="SECTION">
    <w:name w:val="SECTION"/>
    <w:basedOn w:val="Normal"/>
    <w:link w:val="SECTIONChar"/>
    <w:qFormat/>
    <w:rsid w:val="00836199"/>
    <w:pPr>
      <w:numPr>
        <w:numId w:val="72"/>
      </w:numPr>
    </w:pPr>
    <w:rPr>
      <w:b/>
      <w:bCs/>
    </w:rPr>
  </w:style>
  <w:style w:type="character" w:customStyle="1" w:styleId="SECTIONChar">
    <w:name w:val="SECTION Char"/>
    <w:basedOn w:val="DefaultParagraphFont"/>
    <w:link w:val="SECTION"/>
    <w:rsid w:val="00836199"/>
    <w:rPr>
      <w:rFonts w:ascii="Calibri" w:hAnsi="Calibri" w:cs="Times New Roman"/>
      <w:b/>
      <w:bCs/>
      <w:kern w:val="2"/>
      <w14:ligatures w14:val="standardContextual"/>
    </w:rPr>
  </w:style>
  <w:style w:type="paragraph" w:styleId="Subtitle">
    <w:name w:val="Subtitle"/>
    <w:basedOn w:val="Normal"/>
    <w:next w:val="Normal"/>
    <w:link w:val="SubtitleChar"/>
    <w:qFormat/>
    <w:rsid w:val="008361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36199"/>
    <w:rPr>
      <w:rFonts w:eastAsiaTheme="majorEastAsia" w:cstheme="majorBidi"/>
      <w:color w:val="595959" w:themeColor="text1" w:themeTint="A6"/>
      <w:spacing w:val="15"/>
      <w:kern w:val="2"/>
      <w:sz w:val="28"/>
      <w:szCs w:val="28"/>
      <w14:ligatures w14:val="standardContextual"/>
    </w:rPr>
  </w:style>
  <w:style w:type="paragraph" w:customStyle="1" w:styleId="TableColumnTitle">
    <w:name w:val="Table Column Title"/>
    <w:basedOn w:val="Normal"/>
    <w:qFormat/>
    <w:rsid w:val="00836199"/>
    <w:pPr>
      <w:spacing w:before="120" w:after="0"/>
    </w:pPr>
    <w:rPr>
      <w:b/>
      <w:bCs/>
      <w:color w:val="FFFFFF" w:themeColor="background1"/>
    </w:rPr>
  </w:style>
  <w:style w:type="table" w:styleId="TableGrid">
    <w:name w:val="Table Grid"/>
    <w:basedOn w:val="TableNormal"/>
    <w:uiPriority w:val="39"/>
    <w:rsid w:val="00836199"/>
    <w:pPr>
      <w:spacing w:before="0" w:after="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ource">
    <w:name w:val="Table Note/Source"/>
    <w:basedOn w:val="Normal"/>
    <w:qFormat/>
    <w:rsid w:val="00836199"/>
    <w:rPr>
      <w:sz w:val="18"/>
      <w:szCs w:val="18"/>
    </w:rPr>
  </w:style>
  <w:style w:type="paragraph" w:customStyle="1" w:styleId="TableText">
    <w:name w:val="Table Text"/>
    <w:basedOn w:val="Normal"/>
    <w:qFormat/>
    <w:rsid w:val="00836199"/>
    <w:pPr>
      <w:spacing w:after="0"/>
    </w:pPr>
  </w:style>
  <w:style w:type="paragraph" w:styleId="Title">
    <w:name w:val="Title"/>
    <w:basedOn w:val="Normal"/>
    <w:next w:val="Normal"/>
    <w:link w:val="TitleChar"/>
    <w:uiPriority w:val="10"/>
    <w:qFormat/>
    <w:rsid w:val="00836199"/>
    <w:rPr>
      <w:b/>
      <w:bCs/>
      <w:color w:val="000000" w:themeColor="text1"/>
      <w:sz w:val="44"/>
      <w:szCs w:val="40"/>
    </w:rPr>
  </w:style>
  <w:style w:type="character" w:customStyle="1" w:styleId="TitleChar">
    <w:name w:val="Title Char"/>
    <w:basedOn w:val="DefaultParagraphFont"/>
    <w:link w:val="Title"/>
    <w:uiPriority w:val="10"/>
    <w:rsid w:val="00836199"/>
    <w:rPr>
      <w:rFonts w:ascii="Calibri" w:hAnsi="Calibri" w:cs="Times New Roman"/>
      <w:b/>
      <w:bCs/>
      <w:color w:val="000000" w:themeColor="text1"/>
      <w:kern w:val="2"/>
      <w:sz w:val="44"/>
      <w:szCs w:val="40"/>
      <w14:ligatures w14:val="standardContextual"/>
    </w:rPr>
  </w:style>
  <w:style w:type="paragraph" w:customStyle="1" w:styleId="Titles">
    <w:name w:val="Titles"/>
    <w:basedOn w:val="Normal"/>
    <w:qFormat/>
    <w:rsid w:val="00836199"/>
    <w:pPr>
      <w:jc w:val="center"/>
    </w:pPr>
    <w:rPr>
      <w:b/>
      <w:bCs/>
      <w:u w:val="single"/>
    </w:rPr>
  </w:style>
  <w:style w:type="paragraph" w:customStyle="1" w:styleId="TItles0">
    <w:name w:val="TItles"/>
    <w:basedOn w:val="Normal"/>
    <w:qFormat/>
    <w:rsid w:val="00836199"/>
    <w:pPr>
      <w:jc w:val="center"/>
    </w:pPr>
    <w:rPr>
      <w:b/>
      <w:bCs/>
      <w:u w:val="single"/>
    </w:rPr>
  </w:style>
  <w:style w:type="character" w:styleId="UnresolvedMention">
    <w:name w:val="Unresolved Mention"/>
    <w:basedOn w:val="DefaultParagraphFont"/>
    <w:uiPriority w:val="99"/>
    <w:unhideWhenUsed/>
    <w:rsid w:val="00836199"/>
    <w:rPr>
      <w:color w:val="605E5C"/>
      <w:shd w:val="clear" w:color="auto" w:fill="E1DFDD"/>
    </w:rPr>
  </w:style>
  <w:style w:type="character" w:customStyle="1" w:styleId="wdyuqq">
    <w:name w:val="wdyuqq"/>
    <w:basedOn w:val="DefaultParagraphFont"/>
    <w:rsid w:val="00836199"/>
  </w:style>
  <w:style w:type="paragraph" w:customStyle="1" w:styleId="Whereas">
    <w:name w:val="Whereas"/>
    <w:basedOn w:val="Normal"/>
    <w:qFormat/>
    <w:rsid w:val="00836199"/>
    <w:pPr>
      <w:ind w:firstLine="720"/>
    </w:pPr>
    <w:rPr>
      <w:rFonts w:cs="Arial"/>
      <w:szCs w:val="22"/>
    </w:rPr>
  </w:style>
  <w:style w:type="paragraph" w:customStyle="1" w:styleId="Listparagraphcontinuationofalevel">
    <w:name w:val="List paragraph continuation of a) level"/>
    <w:basedOn w:val="ListParagraph"/>
    <w:qFormat/>
    <w:rsid w:val="0014044E"/>
    <w:pPr>
      <w:numPr>
        <w:numId w:val="0"/>
      </w:numPr>
      <w:ind w:left="1800"/>
    </w:pPr>
  </w:style>
  <w:style w:type="character" w:customStyle="1" w:styleId="Heading6Char">
    <w:name w:val="Heading 6 Char"/>
    <w:basedOn w:val="DefaultParagraphFont"/>
    <w:link w:val="Heading6"/>
    <w:uiPriority w:val="9"/>
    <w:semiHidden/>
    <w:rsid w:val="00836199"/>
    <w:rPr>
      <w:rFonts w:ascii="Calibri" w:eastAsiaTheme="majorEastAsia" w:hAnsi="Calibri" w:cstheme="majorBidi"/>
      <w:i/>
      <w:iCs/>
      <w:color w:val="595959" w:themeColor="text1" w:themeTint="A6"/>
      <w:kern w:val="2"/>
      <w14:ligatures w14:val="standardContextual"/>
    </w:rPr>
  </w:style>
  <w:style w:type="character" w:customStyle="1" w:styleId="Heading8Char">
    <w:name w:val="Heading 8 Char"/>
    <w:basedOn w:val="DefaultParagraphFont"/>
    <w:link w:val="Heading8"/>
    <w:uiPriority w:val="9"/>
    <w:rsid w:val="00836199"/>
    <w:rPr>
      <w:rFonts w:ascii="Calibri" w:eastAsiaTheme="majorEastAsia" w:hAnsi="Calibri" w:cstheme="majorBidi"/>
      <w:i/>
      <w:iCs/>
      <w:color w:val="272727" w:themeColor="text1" w:themeTint="D8"/>
      <w:kern w:val="2"/>
      <w14:ligatures w14:val="standardContextual"/>
    </w:rPr>
  </w:style>
  <w:style w:type="character" w:customStyle="1" w:styleId="Heading7Char">
    <w:name w:val="Heading 7 Char"/>
    <w:basedOn w:val="DefaultParagraphFont"/>
    <w:link w:val="Heading7"/>
    <w:uiPriority w:val="9"/>
    <w:rsid w:val="00836199"/>
    <w:rPr>
      <w:rFonts w:ascii="Calibri" w:eastAsiaTheme="majorEastAsia" w:hAnsi="Calibri" w:cstheme="majorBidi"/>
      <w:color w:val="595959" w:themeColor="text1" w:themeTint="A6"/>
      <w:kern w:val="2"/>
      <w14:ligatures w14:val="standardContextual"/>
    </w:rPr>
  </w:style>
  <w:style w:type="character" w:customStyle="1" w:styleId="Heading9Char">
    <w:name w:val="Heading 9 Char"/>
    <w:basedOn w:val="DefaultParagraphFont"/>
    <w:link w:val="Heading9"/>
    <w:uiPriority w:val="9"/>
    <w:rsid w:val="00836199"/>
    <w:rPr>
      <w:rFonts w:ascii="Calibri" w:eastAsiaTheme="majorEastAsia" w:hAnsi="Calibri" w:cstheme="majorBidi"/>
      <w:color w:val="272727" w:themeColor="text1" w:themeTint="D8"/>
      <w:kern w:val="2"/>
      <w14:ligatures w14:val="standardContextual"/>
    </w:rPr>
  </w:style>
  <w:style w:type="numbering" w:customStyle="1" w:styleId="CurrentList8">
    <w:name w:val="Current List8"/>
    <w:uiPriority w:val="99"/>
    <w:rsid w:val="00C66B08"/>
    <w:pPr>
      <w:numPr>
        <w:numId w:val="73"/>
      </w:numPr>
    </w:pPr>
  </w:style>
  <w:style w:type="paragraph" w:customStyle="1" w:styleId="Listparagraphcontinuationofilevel">
    <w:name w:val="List paragraph continuation of i level"/>
    <w:basedOn w:val="ListParagraph"/>
    <w:qFormat/>
    <w:rsid w:val="00645E84"/>
    <w:pPr>
      <w:numPr>
        <w:numId w:val="0"/>
      </w:numPr>
      <w:ind w:left="2520"/>
    </w:pPr>
  </w:style>
  <w:style w:type="numbering" w:customStyle="1" w:styleId="CurrentList9">
    <w:name w:val="Current List9"/>
    <w:uiPriority w:val="99"/>
    <w:rsid w:val="00CC6987"/>
    <w:pPr>
      <w:numPr>
        <w:numId w:val="74"/>
      </w:numPr>
    </w:pPr>
  </w:style>
  <w:style w:type="paragraph" w:styleId="Revision">
    <w:name w:val="Revision"/>
    <w:hidden/>
    <w:uiPriority w:val="99"/>
    <w:semiHidden/>
    <w:rsid w:val="00382F63"/>
    <w:pPr>
      <w:spacing w:before="0" w:after="0"/>
      <w:jc w:val="left"/>
    </w:pPr>
    <w:rPr>
      <w:rFonts w:ascii="Calibri" w:hAnsi="Calibri"/>
      <w:sz w:val="20"/>
    </w:rPr>
  </w:style>
  <w:style w:type="paragraph" w:customStyle="1" w:styleId="Paragraph1">
    <w:name w:val="Paragraph 1"/>
    <w:basedOn w:val="Normal"/>
    <w:uiPriority w:val="7"/>
    <w:qFormat/>
    <w:rsid w:val="0094034C"/>
    <w:pPr>
      <w:spacing w:before="40" w:after="120" w:line="240" w:lineRule="auto"/>
      <w:ind w:firstLine="475"/>
    </w:pPr>
    <w:rPr>
      <w:rFonts w:cstheme="minorBidi"/>
      <w:kern w:val="0"/>
      <w:sz w:val="20"/>
      <w14:ligatures w14:val="none"/>
    </w:rPr>
  </w:style>
  <w:style w:type="paragraph" w:customStyle="1" w:styleId="1ListParagraph">
    <w:name w:val="1. List Paragraph"/>
    <w:basedOn w:val="ListParagraph"/>
    <w:qFormat/>
    <w:rsid w:val="003A4C4D"/>
    <w:pPr>
      <w:numPr>
        <w:ilvl w:val="1"/>
      </w:numPr>
    </w:pPr>
  </w:style>
  <w:style w:type="paragraph" w:customStyle="1" w:styleId="aListParagraph">
    <w:name w:val="a) List Paragraph"/>
    <w:basedOn w:val="ListParagraph"/>
    <w:qFormat/>
    <w:rsid w:val="001E74AC"/>
    <w:pPr>
      <w:numPr>
        <w:ilvl w:val="2"/>
      </w:numPr>
    </w:pPr>
  </w:style>
  <w:style w:type="numbering" w:customStyle="1" w:styleId="CurrentList10">
    <w:name w:val="Current List10"/>
    <w:uiPriority w:val="99"/>
    <w:rsid w:val="00D179AA"/>
    <w:pPr>
      <w:numPr>
        <w:numId w:val="78"/>
      </w:numPr>
    </w:pPr>
  </w:style>
  <w:style w:type="paragraph" w:customStyle="1" w:styleId="iListParagraph">
    <w:name w:val="i. List Paragraph"/>
    <w:basedOn w:val="ListParagraph"/>
    <w:qFormat/>
    <w:rsid w:val="004F298D"/>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cd.ca.gov/building-standards/adu/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2d06e3683c322eeec5cfffb5a9abf7f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a64bf7f5c614ab601de81bda93f8756"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Props1.xml><?xml version="1.0" encoding="utf-8"?>
<ds:datastoreItem xmlns:ds="http://schemas.openxmlformats.org/officeDocument/2006/customXml" ds:itemID="{4B2C31DC-C503-4210-A471-36123AC91E2D}">
  <ds:schemaRefs>
    <ds:schemaRef ds:uri="http://schemas.microsoft.com/sharepoint/v3/contenttype/forms"/>
  </ds:schemaRefs>
</ds:datastoreItem>
</file>

<file path=customXml/itemProps2.xml><?xml version="1.0" encoding="utf-8"?>
<ds:datastoreItem xmlns:ds="http://schemas.openxmlformats.org/officeDocument/2006/customXml" ds:itemID="{3E593151-8D4F-475E-A05A-2170BC23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C6F8C-EE83-4218-9577-0875825F781C}">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6728</Words>
  <Characters>38354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Template ADU/JADU Ordinance</vt:lpstr>
    </vt:vector>
  </TitlesOfParts>
  <Manager/>
  <Company/>
  <LinksUpToDate>false</LinksUpToDate>
  <CharactersWithSpaces>44993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ADU/JADU Ordinance</dc:title>
  <dc:subject/>
  <dc:creator>Regional Housing Technical Assistance Program</dc:creator>
  <cp:keywords/>
  <dc:description/>
  <cp:lastModifiedBy>Clair McDevitt</cp:lastModifiedBy>
  <cp:revision>2</cp:revision>
  <dcterms:created xsi:type="dcterms:W3CDTF">2026-06-17T18:24:00Z</dcterms:created>
  <dcterms:modified xsi:type="dcterms:W3CDTF">2026-06-17T18:24:00Z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