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A9B83" w14:textId="02709CD6" w:rsidR="001F2B59" w:rsidRPr="0008131F" w:rsidRDefault="00C602BF" w:rsidP="0008131F">
      <w:pPr>
        <w:pStyle w:val="Heading1"/>
      </w:pPr>
      <w:commentRangeStart w:id="0"/>
      <w:r>
        <w:t xml:space="preserve">Template </w:t>
      </w:r>
      <w:r w:rsidR="00460518" w:rsidRPr="0008131F">
        <w:t>Scope of Services</w:t>
      </w:r>
      <w:r w:rsidR="001F2B59" w:rsidRPr="0008131F">
        <w:t xml:space="preserve"> for Third-Party Verification Services: SB 330</w:t>
      </w:r>
      <w:r w:rsidR="00F36E73" w:rsidRPr="0008131F">
        <w:t xml:space="preserve">, Density Bonus, and Ellis Act </w:t>
      </w:r>
      <w:r w:rsidR="001F2B59" w:rsidRPr="0008131F">
        <w:t>Replacement Housing Compliance</w:t>
      </w:r>
      <w:commentRangeEnd w:id="0"/>
      <w:r w:rsidR="002720C2" w:rsidRPr="0008131F">
        <w:rPr>
          <w:rStyle w:val="CommentReference"/>
          <w:sz w:val="28"/>
          <w:szCs w:val="28"/>
        </w:rPr>
        <w:commentReference w:id="0"/>
      </w:r>
    </w:p>
    <w:p w14:paraId="714434C7" w14:textId="78B1B51C" w:rsidR="00C602BF" w:rsidRPr="00D92433" w:rsidRDefault="0008131F" w:rsidP="00104768">
      <w:pPr>
        <w:pBdr>
          <w:top w:val="single" w:sz="4" w:space="1" w:color="auto"/>
          <w:left w:val="single" w:sz="4" w:space="1" w:color="auto"/>
          <w:bottom w:val="single" w:sz="4" w:space="1" w:color="auto"/>
          <w:right w:val="single" w:sz="4" w:space="4" w:color="auto"/>
        </w:pBdr>
        <w:rPr>
          <w:b/>
          <w:bCs/>
          <w:color w:val="000000"/>
          <w:shd w:val="clear" w:color="auto" w:fill="FFFFFF"/>
        </w:rPr>
      </w:pPr>
      <w:r w:rsidRPr="0008131F">
        <w:rPr>
          <w:rStyle w:val="Strong"/>
        </w:rPr>
        <w:t>DISCLAIMER:</w:t>
      </w:r>
      <w:r w:rsidRPr="0008131F">
        <w:t xml:space="preserve"> This template scope of services is provided solely for informational purposes to assist jurisdictions in drafting third-party verification service requests related to compliance with SB 330, the Ellis Act and Density Bonus Law. It is not legal advice and should not be relied upon as a definitive interpretation of state legislation or local regulations. Jurisdictions should consult with their city attorney or county counsel to ensure consistency with local codes, legal </w:t>
      </w:r>
      <w:r w:rsidRPr="00C602BF">
        <w:t>requirements and project-specific circumstances.</w:t>
      </w:r>
      <w:r w:rsidRPr="00C602BF">
        <w:rPr>
          <w:rStyle w:val="normaltextrun"/>
          <w:b/>
          <w:bCs/>
          <w:color w:val="000000"/>
          <w:shd w:val="clear" w:color="auto" w:fill="FFFFFF"/>
        </w:rPr>
        <w:t xml:space="preserve"> </w:t>
      </w:r>
      <w:r w:rsidRPr="00C602BF">
        <w:rPr>
          <w:rStyle w:val="eop"/>
          <w:b/>
          <w:bCs/>
          <w:color w:val="000000"/>
          <w:shd w:val="clear" w:color="auto" w:fill="FFFFFF"/>
        </w:rPr>
        <w:t> </w:t>
      </w:r>
    </w:p>
    <w:p w14:paraId="1C6C9EC0" w14:textId="6A14578B" w:rsidR="001F2B59" w:rsidRPr="00CF1829" w:rsidRDefault="001F2B59" w:rsidP="00CF1829">
      <w:pPr>
        <w:pStyle w:val="Heading2"/>
        <w:pBdr>
          <w:top w:val="single" w:sz="4" w:space="8" w:color="auto"/>
        </w:pBdr>
      </w:pPr>
      <w:r w:rsidRPr="00CF1829">
        <w:t>1. Introduction</w:t>
      </w:r>
    </w:p>
    <w:p w14:paraId="04698CFD" w14:textId="2823E367" w:rsidR="001F2B59" w:rsidRPr="00DA05D4" w:rsidRDefault="001F2B59" w:rsidP="00CF1829">
      <w:pPr>
        <w:spacing w:after="240"/>
      </w:pPr>
      <w:r w:rsidRPr="00C602BF">
        <w:rPr>
          <w:highlight w:val="yellow"/>
        </w:rPr>
        <w:t>[Jurisdiction Name]</w:t>
      </w:r>
      <w:r w:rsidRPr="0095008A">
        <w:t xml:space="preserve"> </w:t>
      </w:r>
      <w:r w:rsidR="00460518" w:rsidRPr="0095008A">
        <w:t>seeks</w:t>
      </w:r>
      <w:r w:rsidRPr="0095008A">
        <w:t xml:space="preserve"> proposals from qualified firms to provide third-party verification services for identifying and documenting the income levels of households that may have resided in units proposed for demolition. These services are critical to ensuring compliance with the replacement housing provisions of California Senate Bill (SB) 330, </w:t>
      </w:r>
      <w:r w:rsidR="00BE1EA2" w:rsidRPr="0095008A">
        <w:t xml:space="preserve">Ellis Act, and Density Bonus Law, </w:t>
      </w:r>
      <w:r w:rsidRPr="0095008A">
        <w:t xml:space="preserve">which require jurisdictions to determine if any housing units have been occupied by low-income households </w:t>
      </w:r>
      <w:r w:rsidR="00184226" w:rsidRPr="0095008A">
        <w:t xml:space="preserve">(those earning less than 80% of Area Median Income) </w:t>
      </w:r>
      <w:r w:rsidRPr="0095008A">
        <w:t>within the past five years</w:t>
      </w:r>
      <w:r w:rsidR="00EE07B2" w:rsidRPr="0095008A">
        <w:t xml:space="preserve"> (or 10 years, for Ellis Act units)</w:t>
      </w:r>
      <w:r w:rsidRPr="0095008A">
        <w:t xml:space="preserve"> and to calculate the resulting replacement obligations.</w:t>
      </w:r>
    </w:p>
    <w:p w14:paraId="60527989" w14:textId="52B90989" w:rsidR="001F2B59" w:rsidRPr="00DA05D4" w:rsidRDefault="001F2B59" w:rsidP="00CF1829">
      <w:pPr>
        <w:pStyle w:val="Heading2"/>
      </w:pPr>
      <w:r w:rsidRPr="00DA05D4">
        <w:t xml:space="preserve">2. Scope of </w:t>
      </w:r>
      <w:r w:rsidR="0008131F">
        <w:t>Work</w:t>
      </w:r>
    </w:p>
    <w:p w14:paraId="570D5C60" w14:textId="77777777" w:rsidR="001F2B59" w:rsidRPr="00DA05D4" w:rsidRDefault="001F2B59" w:rsidP="0095008A">
      <w:r w:rsidRPr="00DA05D4">
        <w:t>The selected firm will be required to perform the following services:</w:t>
      </w:r>
    </w:p>
    <w:p w14:paraId="369DC663" w14:textId="49FA2E4A" w:rsidR="001F2B59" w:rsidRPr="007C144D" w:rsidRDefault="001F2B59" w:rsidP="0095008A">
      <w:pPr>
        <w:pStyle w:val="Heading3"/>
      </w:pPr>
      <w:r w:rsidRPr="007C144D">
        <w:t>Historic Income Verification (SB 330</w:t>
      </w:r>
      <w:r w:rsidR="00034127" w:rsidRPr="007C144D">
        <w:t>, Ellis Act and State Density Bonus Compliance</w:t>
      </w:r>
      <w:r w:rsidRPr="007C144D">
        <w:t>)</w:t>
      </w:r>
    </w:p>
    <w:p w14:paraId="5DD092F0" w14:textId="124CD034" w:rsidR="001F2B59" w:rsidRPr="00DA05D4" w:rsidRDefault="001F2B59" w:rsidP="0095008A">
      <w:pPr>
        <w:pStyle w:val="ListParagraph"/>
        <w:numPr>
          <w:ilvl w:val="0"/>
          <w:numId w:val="9"/>
        </w:numPr>
      </w:pPr>
      <w:r w:rsidRPr="00DA05D4">
        <w:t xml:space="preserve">Research and identify whether units proposed for demolition </w:t>
      </w:r>
      <w:r w:rsidR="00A926EF" w:rsidRPr="00DA05D4">
        <w:t xml:space="preserve">are currently or </w:t>
      </w:r>
      <w:r w:rsidRPr="00DA05D4">
        <w:t xml:space="preserve">were </w:t>
      </w:r>
      <w:r w:rsidR="00236660" w:rsidRPr="00DA05D4">
        <w:t xml:space="preserve">previously </w:t>
      </w:r>
      <w:r w:rsidRPr="00DA05D4">
        <w:t>occupied by low-income households within the previous five</w:t>
      </w:r>
      <w:r w:rsidR="00034127" w:rsidRPr="00DA05D4">
        <w:t xml:space="preserve"> years</w:t>
      </w:r>
      <w:r w:rsidRPr="00DA05D4">
        <w:t>.</w:t>
      </w:r>
      <w:r w:rsidR="00236660" w:rsidRPr="00DA05D4">
        <w:t xml:space="preserve"> “Protected units” subject to SB 330 requirements include</w:t>
      </w:r>
      <w:r w:rsidR="005904CC">
        <w:t>:</w:t>
      </w:r>
      <w:r w:rsidR="00236660" w:rsidRPr="00DA05D4">
        <w:t xml:space="preserve"> </w:t>
      </w:r>
    </w:p>
    <w:p w14:paraId="1F94CB55" w14:textId="1CB07C91" w:rsidR="00236660" w:rsidRPr="00DA05D4" w:rsidRDefault="00236660" w:rsidP="0095008A">
      <w:pPr>
        <w:pStyle w:val="ListParagraph"/>
        <w:numPr>
          <w:ilvl w:val="0"/>
          <w:numId w:val="19"/>
        </w:numPr>
      </w:pPr>
      <w:r w:rsidRPr="00DA05D4">
        <w:t>Any units that had a low-income deed</w:t>
      </w:r>
      <w:r w:rsidR="005904CC">
        <w:t xml:space="preserve"> </w:t>
      </w:r>
      <w:r w:rsidRPr="00DA05D4">
        <w:t>restriction for any of the previous five years</w:t>
      </w:r>
      <w:r w:rsidR="005904CC">
        <w:t>.</w:t>
      </w:r>
    </w:p>
    <w:p w14:paraId="2A493FB1" w14:textId="34B75EF9" w:rsidR="00236660" w:rsidRPr="00DA05D4" w:rsidRDefault="00236660" w:rsidP="0095008A">
      <w:pPr>
        <w:pStyle w:val="ListParagraph"/>
        <w:numPr>
          <w:ilvl w:val="0"/>
          <w:numId w:val="19"/>
        </w:numPr>
      </w:pPr>
      <w:r w:rsidRPr="00DA05D4">
        <w:t>Any units that were subject to rent control for any of the previous five years</w:t>
      </w:r>
      <w:r w:rsidR="005904CC">
        <w:t>.</w:t>
      </w:r>
    </w:p>
    <w:p w14:paraId="151C167E" w14:textId="44979662" w:rsidR="00236660" w:rsidRPr="00DA05D4" w:rsidRDefault="00236660" w:rsidP="0095008A">
      <w:pPr>
        <w:pStyle w:val="ListParagraph"/>
        <w:numPr>
          <w:ilvl w:val="0"/>
          <w:numId w:val="19"/>
        </w:numPr>
      </w:pPr>
      <w:r w:rsidRPr="00DA05D4">
        <w:t xml:space="preserve">Any units that were rented by a </w:t>
      </w:r>
      <w:r w:rsidR="00931869">
        <w:t>household that</w:t>
      </w:r>
      <w:r w:rsidR="00291774">
        <w:t xml:space="preserve"> </w:t>
      </w:r>
      <w:r w:rsidR="00931869">
        <w:t>qualified as</w:t>
      </w:r>
      <w:r w:rsidRPr="00DA05D4">
        <w:t xml:space="preserve"> low</w:t>
      </w:r>
      <w:r w:rsidR="00931869">
        <w:t>er</w:t>
      </w:r>
      <w:r w:rsidRPr="00DA05D4">
        <w:t xml:space="preserve"> income for any of the previous five years</w:t>
      </w:r>
      <w:r w:rsidR="005904CC">
        <w:t>.</w:t>
      </w:r>
    </w:p>
    <w:p w14:paraId="3E2D19D3" w14:textId="39A77C1A" w:rsidR="003D373E" w:rsidRPr="00DA05D4" w:rsidRDefault="003D373E" w:rsidP="0095008A">
      <w:pPr>
        <w:pStyle w:val="ListParagraph"/>
        <w:numPr>
          <w:ilvl w:val="0"/>
          <w:numId w:val="19"/>
        </w:numPr>
      </w:pPr>
      <w:r w:rsidRPr="00DA05D4">
        <w:t>Any units that were removed from the market per the Ellis Act (</w:t>
      </w:r>
      <w:r w:rsidR="00931869">
        <w:t xml:space="preserve">Government Code </w:t>
      </w:r>
      <w:r w:rsidRPr="00DA05D4">
        <w:t>Section 7060</w:t>
      </w:r>
      <w:r w:rsidR="00931869">
        <w:t>, et seq</w:t>
      </w:r>
      <w:r w:rsidRPr="00DA05D4">
        <w:t xml:space="preserve">) in the previous </w:t>
      </w:r>
      <w:r w:rsidR="005904CC">
        <w:t>10</w:t>
      </w:r>
      <w:r w:rsidR="005904CC" w:rsidRPr="00DA05D4">
        <w:t xml:space="preserve"> </w:t>
      </w:r>
      <w:r w:rsidRPr="00DA05D4">
        <w:t>years</w:t>
      </w:r>
      <w:r w:rsidR="005904CC">
        <w:t>.</w:t>
      </w:r>
    </w:p>
    <w:p w14:paraId="64EC443E" w14:textId="115287DE" w:rsidR="00AF61BD" w:rsidRDefault="00AF61BD" w:rsidP="0095008A">
      <w:pPr>
        <w:pStyle w:val="ListParagraph"/>
        <w:numPr>
          <w:ilvl w:val="0"/>
          <w:numId w:val="9"/>
        </w:numPr>
      </w:pPr>
      <w:r>
        <w:t>Communicate directly with applica</w:t>
      </w:r>
      <w:r w:rsidR="00A56D07">
        <w:t>nts</w:t>
      </w:r>
      <w:r>
        <w:t xml:space="preserve"> for development projects to ensure complete and timely submission of replacement housing information,</w:t>
      </w:r>
      <w:r w:rsidR="00A56D07">
        <w:t xml:space="preserve"> including current and former tenant information, as required by </w:t>
      </w:r>
      <w:r w:rsidR="00A56D07" w:rsidRPr="00C602BF">
        <w:rPr>
          <w:highlight w:val="yellow"/>
        </w:rPr>
        <w:t>Section XXXX</w:t>
      </w:r>
      <w:r w:rsidR="00A56D07">
        <w:t xml:space="preserve"> of the [</w:t>
      </w:r>
      <w:r w:rsidR="00A56D07" w:rsidRPr="00C602BF">
        <w:rPr>
          <w:highlight w:val="yellow"/>
        </w:rPr>
        <w:t>Jurisdiction</w:t>
      </w:r>
      <w:r w:rsidR="00A56D07">
        <w:t>] Code</w:t>
      </w:r>
    </w:p>
    <w:p w14:paraId="25A1EC43" w14:textId="3E733605" w:rsidR="001F2B59" w:rsidRPr="00DA05D4" w:rsidRDefault="001F2B59" w:rsidP="0095008A">
      <w:pPr>
        <w:pStyle w:val="ListParagraph"/>
        <w:numPr>
          <w:ilvl w:val="0"/>
          <w:numId w:val="9"/>
        </w:numPr>
      </w:pPr>
      <w:r w:rsidRPr="00DA05D4">
        <w:t xml:space="preserve">When tenants have already vacated the property, </w:t>
      </w:r>
      <w:r w:rsidR="00034127" w:rsidRPr="00DA05D4">
        <w:t>use</w:t>
      </w:r>
      <w:r w:rsidRPr="00DA05D4">
        <w:t xml:space="preserve"> a combination of methods to reconstruct occupancy history and income status, including:</w:t>
      </w:r>
    </w:p>
    <w:p w14:paraId="4FF18F78" w14:textId="6950B87A" w:rsidR="001F2B59" w:rsidRPr="00DA05D4" w:rsidRDefault="001F2B59" w:rsidP="0008131F">
      <w:pPr>
        <w:pStyle w:val="ListParagraph"/>
        <w:numPr>
          <w:ilvl w:val="1"/>
          <w:numId w:val="9"/>
        </w:numPr>
      </w:pPr>
      <w:r w:rsidRPr="00DA05D4">
        <w:t>Interviews with former tenants, neighbors or property managers</w:t>
      </w:r>
      <w:r w:rsidR="005904CC">
        <w:t>.</w:t>
      </w:r>
    </w:p>
    <w:p w14:paraId="0119D33A" w14:textId="19658830" w:rsidR="001F2B59" w:rsidRPr="00DA05D4" w:rsidRDefault="001F2B59" w:rsidP="0008131F">
      <w:pPr>
        <w:pStyle w:val="ListParagraph"/>
        <w:numPr>
          <w:ilvl w:val="1"/>
          <w:numId w:val="9"/>
        </w:numPr>
      </w:pPr>
      <w:r w:rsidRPr="00DA05D4">
        <w:t>Review of utility records, eviction filings, housing inspection reports, or tax assessor data</w:t>
      </w:r>
      <w:r w:rsidR="005904CC">
        <w:t>.</w:t>
      </w:r>
    </w:p>
    <w:p w14:paraId="56C9095F" w14:textId="58C201A7" w:rsidR="001F2B59" w:rsidRPr="00DA05D4" w:rsidRDefault="001F2B59" w:rsidP="0008131F">
      <w:pPr>
        <w:pStyle w:val="ListParagraph"/>
        <w:numPr>
          <w:ilvl w:val="1"/>
          <w:numId w:val="9"/>
        </w:numPr>
      </w:pPr>
      <w:r w:rsidRPr="00DA05D4">
        <w:t>Examination of rent control registry records, rental agreements and lease terms</w:t>
      </w:r>
      <w:r w:rsidR="005904CC">
        <w:t>.</w:t>
      </w:r>
    </w:p>
    <w:p w14:paraId="79796F48" w14:textId="0DED206E" w:rsidR="001F2B59" w:rsidRPr="00DA05D4" w:rsidRDefault="001F2B59" w:rsidP="0008131F">
      <w:pPr>
        <w:pStyle w:val="ListParagraph"/>
        <w:numPr>
          <w:ilvl w:val="1"/>
          <w:numId w:val="9"/>
        </w:numPr>
      </w:pPr>
      <w:r w:rsidRPr="00DA05D4">
        <w:lastRenderedPageBreak/>
        <w:t>Analysis of available rent payment histories, 1099 or W-2 forms (if obtainable), or other financial documentation</w:t>
      </w:r>
      <w:r w:rsidR="005904CC">
        <w:t>.</w:t>
      </w:r>
    </w:p>
    <w:p w14:paraId="42AF066E" w14:textId="5349F6E4" w:rsidR="001F2B59" w:rsidRPr="00DA05D4" w:rsidRDefault="001F2B59" w:rsidP="0008131F">
      <w:pPr>
        <w:pStyle w:val="ListParagraph"/>
        <w:numPr>
          <w:ilvl w:val="1"/>
          <w:numId w:val="9"/>
        </w:numPr>
      </w:pPr>
      <w:r w:rsidRPr="00DA05D4">
        <w:t>Review of school enrollment records and public benefit participation (e.g., CalFresh, Medi-Cal)</w:t>
      </w:r>
      <w:r w:rsidR="005904CC">
        <w:t>.</w:t>
      </w:r>
    </w:p>
    <w:p w14:paraId="4F968BBE" w14:textId="47B06817" w:rsidR="001F2B59" w:rsidRPr="00DA05D4" w:rsidRDefault="001F2B59" w:rsidP="0008131F">
      <w:pPr>
        <w:pStyle w:val="ListParagraph"/>
        <w:numPr>
          <w:ilvl w:val="1"/>
          <w:numId w:val="9"/>
        </w:numPr>
      </w:pPr>
      <w:r w:rsidRPr="00DA05D4">
        <w:t>Coordination with local legal aid organizations or tenant advocacy groups that may have served past occupants</w:t>
      </w:r>
      <w:r w:rsidR="005904CC">
        <w:t>.</w:t>
      </w:r>
    </w:p>
    <w:p w14:paraId="5D7BD36F" w14:textId="332E17A0" w:rsidR="001F2B59" w:rsidRPr="00DA05D4" w:rsidRDefault="001F2B59" w:rsidP="0095008A">
      <w:pPr>
        <w:pStyle w:val="ListParagraph"/>
        <w:numPr>
          <w:ilvl w:val="0"/>
          <w:numId w:val="9"/>
        </w:numPr>
      </w:pPr>
      <w:r w:rsidRPr="00DA05D4">
        <w:t>Document efforts taken and sources used to verify occupancy and income levels, even in the absence of direct tenant contact</w:t>
      </w:r>
      <w:r w:rsidR="005904CC">
        <w:t>.</w:t>
      </w:r>
    </w:p>
    <w:p w14:paraId="726B3A3D" w14:textId="4EEE769C" w:rsidR="001F2B59" w:rsidRPr="007C144D" w:rsidRDefault="001F2B59" w:rsidP="0095008A">
      <w:pPr>
        <w:pStyle w:val="Heading3"/>
      </w:pPr>
      <w:r w:rsidRPr="007C144D">
        <w:t>Affordability Determination</w:t>
      </w:r>
    </w:p>
    <w:p w14:paraId="16A62C1A" w14:textId="501AC1BE" w:rsidR="001F2B59" w:rsidRPr="00DA05D4" w:rsidRDefault="001F2B59" w:rsidP="0095008A">
      <w:pPr>
        <w:pStyle w:val="ListParagraph"/>
        <w:numPr>
          <w:ilvl w:val="0"/>
          <w:numId w:val="10"/>
        </w:numPr>
      </w:pPr>
      <w:r w:rsidRPr="00DA05D4">
        <w:t>Determine income levels of prior tenants using the State of California income limits applicable at the time of occupancy.</w:t>
      </w:r>
      <w:r w:rsidR="00236660" w:rsidRPr="00DA05D4">
        <w:rPr>
          <w:rStyle w:val="FootnoteReference"/>
          <w:sz w:val="22"/>
          <w:szCs w:val="22"/>
        </w:rPr>
        <w:footnoteReference w:id="1"/>
      </w:r>
    </w:p>
    <w:p w14:paraId="7FF69152" w14:textId="77777777" w:rsidR="001F2B59" w:rsidRPr="00DA05D4" w:rsidRDefault="001F2B59" w:rsidP="0095008A">
      <w:pPr>
        <w:pStyle w:val="ListParagraph"/>
        <w:numPr>
          <w:ilvl w:val="0"/>
          <w:numId w:val="10"/>
        </w:numPr>
      </w:pPr>
      <w:r w:rsidRPr="00DA05D4">
        <w:t>Classify units as extremely low-, very low-, low-, or moderate-income in accordance with SB 330.</w:t>
      </w:r>
    </w:p>
    <w:p w14:paraId="6541DB91" w14:textId="0EA16A0D" w:rsidR="001F2B59" w:rsidRPr="00DA05D4" w:rsidRDefault="001F2B59" w:rsidP="0095008A">
      <w:pPr>
        <w:pStyle w:val="ListParagraph"/>
        <w:numPr>
          <w:ilvl w:val="0"/>
          <w:numId w:val="10"/>
        </w:numPr>
      </w:pPr>
      <w:r w:rsidRPr="00DA05D4">
        <w:t>Document findings in a format acceptable to the [</w:t>
      </w:r>
      <w:r w:rsidRPr="00C602BF">
        <w:rPr>
          <w:highlight w:val="yellow"/>
        </w:rPr>
        <w:t>Jurisdiction Name</w:t>
      </w:r>
      <w:r w:rsidRPr="00DA05D4">
        <w:t>]'s Planning and Housing Departments.</w:t>
      </w:r>
    </w:p>
    <w:p w14:paraId="2A913A38" w14:textId="1747BD51" w:rsidR="001F2B59" w:rsidRPr="007C144D" w:rsidRDefault="001F2B59" w:rsidP="0095008A">
      <w:pPr>
        <w:pStyle w:val="Heading3"/>
      </w:pPr>
      <w:r w:rsidRPr="007C144D">
        <w:t>Replacement Obligation Calculation</w:t>
      </w:r>
    </w:p>
    <w:p w14:paraId="20734971" w14:textId="6D95EA01" w:rsidR="001F2B59" w:rsidRPr="00DA05D4" w:rsidRDefault="001F2B59" w:rsidP="0095008A">
      <w:pPr>
        <w:pStyle w:val="ListParagraph"/>
        <w:numPr>
          <w:ilvl w:val="0"/>
          <w:numId w:val="11"/>
        </w:numPr>
      </w:pPr>
      <w:r w:rsidRPr="00DA05D4">
        <w:t xml:space="preserve">For each unit identified as </w:t>
      </w:r>
      <w:r w:rsidR="00236660" w:rsidRPr="00DA05D4">
        <w:t>“protected units”</w:t>
      </w:r>
      <w:r w:rsidRPr="00DA05D4">
        <w:t>, calculate the number and type of replacement units required under SB 330.</w:t>
      </w:r>
    </w:p>
    <w:p w14:paraId="01D53864" w14:textId="77777777" w:rsidR="001F2B59" w:rsidRPr="00DA05D4" w:rsidRDefault="001F2B59" w:rsidP="0095008A">
      <w:pPr>
        <w:pStyle w:val="ListParagraph"/>
        <w:numPr>
          <w:ilvl w:val="0"/>
          <w:numId w:val="11"/>
        </w:numPr>
      </w:pPr>
      <w:r w:rsidRPr="00DA05D4">
        <w:t>Determine the affordability level, bedroom count, and tenure type (rental or ownership) for replacement units in accordance with state law and any applicable local ordinances.</w:t>
      </w:r>
    </w:p>
    <w:p w14:paraId="6BE0FA9D" w14:textId="77777777" w:rsidR="001F2B59" w:rsidRPr="00DA05D4" w:rsidRDefault="001F2B59" w:rsidP="0095008A">
      <w:pPr>
        <w:pStyle w:val="ListParagraph"/>
        <w:numPr>
          <w:ilvl w:val="0"/>
          <w:numId w:val="11"/>
        </w:numPr>
      </w:pPr>
      <w:r w:rsidRPr="00DA05D4">
        <w:t>Where no verifiable tenant information exists, use the Comprehensive Housing Affordability Strategy (CHAS) data from the U.S. Department of Housing and Urban Development (HUD) to determine the distribution of households by income category in the applicable census tract or block group. Use this distribution to estimate the proportion of units previously occupied by extremely low-, very low-, low-, and moderate-income households.</w:t>
      </w:r>
    </w:p>
    <w:p w14:paraId="30FB5246" w14:textId="77777777" w:rsidR="001F2B59" w:rsidRPr="00DA05D4" w:rsidRDefault="001F2B59" w:rsidP="0095008A">
      <w:pPr>
        <w:pStyle w:val="ListParagraph"/>
        <w:numPr>
          <w:ilvl w:val="0"/>
          <w:numId w:val="11"/>
        </w:numPr>
      </w:pPr>
      <w:r w:rsidRPr="00DA05D4">
        <w:t>Apply this estimated income distribution to the number of unverified units to determine the required number and types of replacement units.</w:t>
      </w:r>
    </w:p>
    <w:p w14:paraId="34900DF0" w14:textId="77777777" w:rsidR="001F2B59" w:rsidRPr="00DA05D4" w:rsidRDefault="001F2B59" w:rsidP="0095008A">
      <w:pPr>
        <w:pStyle w:val="ListParagraph"/>
        <w:numPr>
          <w:ilvl w:val="0"/>
          <w:numId w:val="11"/>
        </w:numPr>
      </w:pPr>
      <w:r w:rsidRPr="00DA05D4">
        <w:t>Incorporate additional factors such as the application of density bonuses, development size, or zoning overlays as required for determining replacement obligations.</w:t>
      </w:r>
    </w:p>
    <w:p w14:paraId="1573871B" w14:textId="77777777" w:rsidR="001F2B59" w:rsidRPr="00DA05D4" w:rsidRDefault="001F2B59" w:rsidP="0095008A">
      <w:pPr>
        <w:pStyle w:val="ListParagraph"/>
        <w:numPr>
          <w:ilvl w:val="0"/>
          <w:numId w:val="11"/>
        </w:numPr>
      </w:pPr>
      <w:r w:rsidRPr="00DA05D4">
        <w:t>Provide a summary matrix or table clearly identifying the number and characteristics of required replacement units.</w:t>
      </w:r>
    </w:p>
    <w:p w14:paraId="6F61875B" w14:textId="2DB8570B" w:rsidR="00291774" w:rsidRPr="00291774" w:rsidRDefault="00291774" w:rsidP="0095008A">
      <w:pPr>
        <w:pStyle w:val="Heading3"/>
      </w:pPr>
      <w:r>
        <w:t>Facilitation of Assistance to Tenants</w:t>
      </w:r>
      <w:r w:rsidRPr="00291774">
        <w:t xml:space="preserve"> </w:t>
      </w:r>
    </w:p>
    <w:p w14:paraId="3648EA65" w14:textId="77777777" w:rsidR="00291774" w:rsidRDefault="00291774" w:rsidP="0095008A">
      <w:r>
        <w:t xml:space="preserve">Working with jurisdiction staff, the selected firm will also facilitate the timely and accurate payment of required benefits, which will include the following steps: </w:t>
      </w:r>
    </w:p>
    <w:p w14:paraId="2EBECD6C" w14:textId="77777777" w:rsidR="00291774" w:rsidRDefault="00291774" w:rsidP="0095008A">
      <w:pPr>
        <w:pStyle w:val="ListParagraph"/>
        <w:numPr>
          <w:ilvl w:val="1"/>
          <w:numId w:val="27"/>
        </w:numPr>
        <w:ind w:left="720"/>
      </w:pPr>
      <w:r w:rsidRPr="00291774">
        <w:t>Communicat</w:t>
      </w:r>
      <w:r>
        <w:t>ing</w:t>
      </w:r>
      <w:r w:rsidRPr="00291774">
        <w:t xml:space="preserve"> with current and former tenant households regarding rights under SB 330 and local laws;</w:t>
      </w:r>
      <w:r>
        <w:t xml:space="preserve"> </w:t>
      </w:r>
    </w:p>
    <w:p w14:paraId="72F64956" w14:textId="0AA8A5E6" w:rsidR="00291774" w:rsidRDefault="00291774" w:rsidP="0095008A">
      <w:pPr>
        <w:pStyle w:val="ListParagraph"/>
        <w:numPr>
          <w:ilvl w:val="1"/>
          <w:numId w:val="27"/>
        </w:numPr>
        <w:ind w:left="720"/>
      </w:pPr>
      <w:r w:rsidRPr="00291774">
        <w:lastRenderedPageBreak/>
        <w:t>Review</w:t>
      </w:r>
      <w:r>
        <w:t>ing</w:t>
      </w:r>
      <w:r w:rsidRPr="00291774">
        <w:t xml:space="preserve"> tenant relocation assistance applications and </w:t>
      </w:r>
      <w:r w:rsidR="008523FA" w:rsidRPr="00291774">
        <w:t>verifying</w:t>
      </w:r>
      <w:r w:rsidRPr="00291774">
        <w:t xml:space="preserve"> tenant eligibility for benefits under SB 330 and local relocation assistance laws; </w:t>
      </w:r>
    </w:p>
    <w:p w14:paraId="2E3D08F7" w14:textId="6ABE3F60" w:rsidR="00291774" w:rsidRDefault="00291774" w:rsidP="0095008A">
      <w:pPr>
        <w:pStyle w:val="ListParagraph"/>
        <w:numPr>
          <w:ilvl w:val="1"/>
          <w:numId w:val="27"/>
        </w:numPr>
        <w:ind w:left="720"/>
      </w:pPr>
      <w:r w:rsidRPr="00291774">
        <w:t>Facilitat</w:t>
      </w:r>
      <w:r>
        <w:t>ing the</w:t>
      </w:r>
      <w:r w:rsidRPr="00291774">
        <w:t xml:space="preserve"> payment of relocation benefits;</w:t>
      </w:r>
      <w:r>
        <w:t xml:space="preserve"> and</w:t>
      </w:r>
    </w:p>
    <w:p w14:paraId="434752DE" w14:textId="02F10E9F" w:rsidR="00291774" w:rsidRPr="00291774" w:rsidRDefault="00291774" w:rsidP="0095008A">
      <w:pPr>
        <w:pStyle w:val="ListParagraph"/>
        <w:numPr>
          <w:ilvl w:val="1"/>
          <w:numId w:val="27"/>
        </w:numPr>
        <w:ind w:left="720"/>
      </w:pPr>
      <w:r w:rsidRPr="00291774">
        <w:t>Facilitat</w:t>
      </w:r>
      <w:r w:rsidR="008523FA">
        <w:t>ing</w:t>
      </w:r>
      <w:r w:rsidRPr="00291774">
        <w:t xml:space="preserve"> communication with tenants regarding</w:t>
      </w:r>
      <w:r w:rsidR="008523FA">
        <w:t xml:space="preserve"> the</w:t>
      </w:r>
      <w:r w:rsidRPr="00291774">
        <w:t xml:space="preserve"> right to return to new development.</w:t>
      </w:r>
    </w:p>
    <w:p w14:paraId="2BBF0633" w14:textId="7F12950B" w:rsidR="003D373E" w:rsidRPr="0008131F" w:rsidRDefault="003D373E" w:rsidP="0095008A">
      <w:r w:rsidRPr="0008131F">
        <w:t xml:space="preserve">For reference, please see the </w:t>
      </w:r>
      <w:hyperlink r:id="rId16" w:history="1">
        <w:r w:rsidRPr="0008131F">
          <w:rPr>
            <w:rStyle w:val="Hyperlink"/>
          </w:rPr>
          <w:t>Guide to California State Replacement Housing Requirements</w:t>
        </w:r>
      </w:hyperlink>
      <w:r w:rsidRPr="0008131F">
        <w:t xml:space="preserve">. </w:t>
      </w:r>
    </w:p>
    <w:p w14:paraId="787A1418" w14:textId="39628AD7" w:rsidR="00B32B2F" w:rsidRDefault="00B32B2F" w:rsidP="0095008A">
      <w:r>
        <w:t>Additional Requirements:</w:t>
      </w:r>
    </w:p>
    <w:p w14:paraId="0C12E543" w14:textId="7D130EC6" w:rsidR="001F2B59" w:rsidRPr="00DA05D4" w:rsidRDefault="001F2B59" w:rsidP="0095008A">
      <w:pPr>
        <w:pStyle w:val="Heading3"/>
      </w:pPr>
      <w:r w:rsidRPr="00DA05D4">
        <w:t>Compliance Reporting</w:t>
      </w:r>
    </w:p>
    <w:p w14:paraId="4BF1F5A2" w14:textId="77777777" w:rsidR="001F2B59" w:rsidRPr="00DA05D4" w:rsidRDefault="001F2B59" w:rsidP="0095008A">
      <w:pPr>
        <w:pStyle w:val="ListParagraph"/>
        <w:numPr>
          <w:ilvl w:val="0"/>
          <w:numId w:val="12"/>
        </w:numPr>
      </w:pPr>
      <w:r w:rsidRPr="00DA05D4">
        <w:t>Prepare and submit reports that clearly outline the findings and identify units that trigger replacement obligations.</w:t>
      </w:r>
    </w:p>
    <w:p w14:paraId="1C692DD5" w14:textId="483FB0BA" w:rsidR="001F2B59" w:rsidRPr="00DA05D4" w:rsidRDefault="001F2B59" w:rsidP="0095008A">
      <w:pPr>
        <w:pStyle w:val="ListParagraph"/>
        <w:numPr>
          <w:ilvl w:val="0"/>
          <w:numId w:val="12"/>
        </w:numPr>
      </w:pPr>
      <w:r w:rsidRPr="00DA05D4">
        <w:t xml:space="preserve">Provide standardized forms or templates that </w:t>
      </w:r>
      <w:r w:rsidR="005B4ED8" w:rsidRPr="00DA05D4">
        <w:t>the jurisdiction</w:t>
      </w:r>
      <w:r w:rsidRPr="00DA05D4">
        <w:t xml:space="preserve"> can use to support SB 330 determinations and monitor compliance over time.</w:t>
      </w:r>
    </w:p>
    <w:p w14:paraId="0A100007" w14:textId="77777777" w:rsidR="001F2B59" w:rsidRPr="00DA05D4" w:rsidRDefault="001F2B59" w:rsidP="0095008A">
      <w:pPr>
        <w:pStyle w:val="ListParagraph"/>
        <w:numPr>
          <w:ilvl w:val="0"/>
          <w:numId w:val="12"/>
        </w:numPr>
      </w:pPr>
      <w:r w:rsidRPr="00DA05D4">
        <w:t>Offer audit support and respond to public or legal inquiries regarding methodology and findings.</w:t>
      </w:r>
    </w:p>
    <w:p w14:paraId="22DDB023" w14:textId="2B581667" w:rsidR="001F2B59" w:rsidRPr="00DA05D4" w:rsidRDefault="001F2B59" w:rsidP="0095008A">
      <w:pPr>
        <w:pStyle w:val="Heading3"/>
      </w:pPr>
      <w:r w:rsidRPr="00DA05D4">
        <w:t>Optional Additional Services</w:t>
      </w:r>
    </w:p>
    <w:p w14:paraId="2DBAECE8" w14:textId="7BDE1DAA" w:rsidR="001F2B59" w:rsidRPr="00DA05D4" w:rsidRDefault="001F2B59" w:rsidP="0095008A">
      <w:pPr>
        <w:pStyle w:val="ListParagraph"/>
        <w:numPr>
          <w:ilvl w:val="0"/>
          <w:numId w:val="13"/>
        </w:numPr>
      </w:pPr>
      <w:r w:rsidRPr="00DA05D4">
        <w:t>Support during public hearings or administrative appeals related to SB 330 determinations.</w:t>
      </w:r>
    </w:p>
    <w:p w14:paraId="771F50FA" w14:textId="77777777" w:rsidR="001F2B59" w:rsidRPr="00DA05D4" w:rsidRDefault="001F2B59" w:rsidP="0095008A">
      <w:pPr>
        <w:pStyle w:val="ListParagraph"/>
        <w:numPr>
          <w:ilvl w:val="0"/>
          <w:numId w:val="13"/>
        </w:numPr>
      </w:pPr>
      <w:r w:rsidRPr="00DA05D4">
        <w:t>Creation of a searchable database or archive of historical occupancy/income findings.</w:t>
      </w:r>
    </w:p>
    <w:p w14:paraId="4D8DBB8D" w14:textId="2B5859C6" w:rsidR="001F2B59" w:rsidRPr="00DA05D4" w:rsidRDefault="001F2B59" w:rsidP="00CF1829">
      <w:pPr>
        <w:pStyle w:val="ListParagraph"/>
        <w:numPr>
          <w:ilvl w:val="0"/>
          <w:numId w:val="13"/>
        </w:numPr>
        <w:spacing w:after="240"/>
      </w:pPr>
      <w:r w:rsidRPr="00DA05D4">
        <w:t xml:space="preserve">Multilingual outreach to </w:t>
      </w:r>
      <w:r w:rsidR="00E20C85">
        <w:t>current and former</w:t>
      </w:r>
      <w:r w:rsidR="00E20C85" w:rsidRPr="00DA05D4">
        <w:t xml:space="preserve"> </w:t>
      </w:r>
      <w:r w:rsidRPr="00DA05D4">
        <w:t>tenants or community-based organizations for data collection.</w:t>
      </w:r>
    </w:p>
    <w:p w14:paraId="5160FD78" w14:textId="77777777" w:rsidR="001F2B59" w:rsidRPr="00DA05D4" w:rsidRDefault="001F2B59" w:rsidP="00CF1829">
      <w:pPr>
        <w:pStyle w:val="Heading2"/>
      </w:pPr>
      <w:r w:rsidRPr="00DA05D4">
        <w:t>3. Proposal Submission Requirements</w:t>
      </w:r>
    </w:p>
    <w:p w14:paraId="10E8B7FE" w14:textId="77777777" w:rsidR="001F2B59" w:rsidRPr="00DA05D4" w:rsidRDefault="001F2B59" w:rsidP="0095008A">
      <w:r w:rsidRPr="00DA05D4">
        <w:t>Interested firms must submit proposals including the following information:</w:t>
      </w:r>
    </w:p>
    <w:p w14:paraId="4AE7451E" w14:textId="74CAA7B9" w:rsidR="001F2B59" w:rsidRPr="00DA05D4" w:rsidRDefault="001F2B59" w:rsidP="0095008A">
      <w:pPr>
        <w:pStyle w:val="ListParagraph"/>
        <w:numPr>
          <w:ilvl w:val="0"/>
          <w:numId w:val="14"/>
        </w:numPr>
      </w:pPr>
      <w:r w:rsidRPr="0095008A">
        <w:rPr>
          <w:b/>
          <w:bCs/>
        </w:rPr>
        <w:t>Company Background:</w:t>
      </w:r>
      <w:r w:rsidRPr="00DA05D4">
        <w:t xml:space="preserve"> Overview of the firm, years in business and relevant experience with affordable housing and SB 330 or similar compliance services.</w:t>
      </w:r>
    </w:p>
    <w:p w14:paraId="2553726E" w14:textId="1D916CBB" w:rsidR="001F2B59" w:rsidRPr="00DA05D4" w:rsidRDefault="001F2B59" w:rsidP="0095008A">
      <w:pPr>
        <w:pStyle w:val="ListParagraph"/>
        <w:numPr>
          <w:ilvl w:val="0"/>
          <w:numId w:val="14"/>
        </w:numPr>
      </w:pPr>
      <w:r w:rsidRPr="0095008A">
        <w:rPr>
          <w:b/>
          <w:bCs/>
        </w:rPr>
        <w:t>Approach &amp; Methodology:</w:t>
      </w:r>
      <w:r w:rsidRPr="00DA05D4">
        <w:t xml:space="preserve"> Description of the process for identifying prior tenant income levels and calculating replacement obligations, including tools, sources and safeguards for data accuracy. Include how CHAS data and alternative verification strategies will be used when tenant information is unavailable.</w:t>
      </w:r>
    </w:p>
    <w:p w14:paraId="0D59BA55" w14:textId="77777777" w:rsidR="001F2B59" w:rsidRPr="00DA05D4" w:rsidRDefault="001F2B59" w:rsidP="0095008A">
      <w:pPr>
        <w:pStyle w:val="ListParagraph"/>
        <w:numPr>
          <w:ilvl w:val="0"/>
          <w:numId w:val="14"/>
        </w:numPr>
      </w:pPr>
      <w:r w:rsidRPr="0095008A">
        <w:rPr>
          <w:b/>
          <w:bCs/>
        </w:rPr>
        <w:t>Experience &amp; Qualifications:</w:t>
      </w:r>
      <w:r w:rsidRPr="00DA05D4">
        <w:t xml:space="preserve"> Examples of past work with cities, counties, or housing authorities on similar verification efforts.</w:t>
      </w:r>
    </w:p>
    <w:p w14:paraId="464E1696" w14:textId="77777777" w:rsidR="001F2B59" w:rsidRPr="00DA05D4" w:rsidRDefault="001F2B59" w:rsidP="0095008A">
      <w:pPr>
        <w:pStyle w:val="ListParagraph"/>
        <w:numPr>
          <w:ilvl w:val="0"/>
          <w:numId w:val="14"/>
        </w:numPr>
      </w:pPr>
      <w:r w:rsidRPr="0095008A">
        <w:rPr>
          <w:b/>
          <w:bCs/>
        </w:rPr>
        <w:t>Pricing Structure:</w:t>
      </w:r>
      <w:r w:rsidRPr="00DA05D4">
        <w:t xml:space="preserve"> Detailed cost proposal, including per-unit or per-project verification fees and any other costs.</w:t>
      </w:r>
    </w:p>
    <w:p w14:paraId="77FA43CD" w14:textId="2E0D9818" w:rsidR="001F2B59" w:rsidRPr="00DA05D4" w:rsidRDefault="001F2B59" w:rsidP="00CF1829">
      <w:pPr>
        <w:pStyle w:val="ListParagraph"/>
        <w:numPr>
          <w:ilvl w:val="0"/>
          <w:numId w:val="14"/>
        </w:numPr>
        <w:spacing w:after="240"/>
      </w:pPr>
      <w:r w:rsidRPr="0095008A">
        <w:rPr>
          <w:b/>
          <w:bCs/>
        </w:rPr>
        <w:t>References:</w:t>
      </w:r>
      <w:r w:rsidRPr="00DA05D4">
        <w:t xml:space="preserve"> Contact information for at least three public sector clients.</w:t>
      </w:r>
    </w:p>
    <w:p w14:paraId="5707F620" w14:textId="77777777" w:rsidR="001F2B59" w:rsidRPr="00DA05D4" w:rsidRDefault="001F2B59" w:rsidP="00CF1829">
      <w:pPr>
        <w:pStyle w:val="Heading2"/>
      </w:pPr>
      <w:r w:rsidRPr="00DA05D4">
        <w:t>4. Evaluation Criteria</w:t>
      </w:r>
    </w:p>
    <w:p w14:paraId="6779FDC4" w14:textId="77777777" w:rsidR="001F2B59" w:rsidRPr="00DA05D4" w:rsidRDefault="001F2B59" w:rsidP="0095008A">
      <w:r w:rsidRPr="00DA05D4">
        <w:t>Proposals will be evaluated based on the following:</w:t>
      </w:r>
    </w:p>
    <w:p w14:paraId="4E0947BB" w14:textId="77777777" w:rsidR="001F2B59" w:rsidRPr="00DA05D4" w:rsidRDefault="001F2B59" w:rsidP="0095008A">
      <w:pPr>
        <w:pStyle w:val="ListParagraph"/>
        <w:numPr>
          <w:ilvl w:val="0"/>
          <w:numId w:val="15"/>
        </w:numPr>
      </w:pPr>
      <w:r w:rsidRPr="0095008A">
        <w:rPr>
          <w:b/>
          <w:bCs/>
        </w:rPr>
        <w:lastRenderedPageBreak/>
        <w:t>Relevant Experience (30%)</w:t>
      </w:r>
      <w:r w:rsidRPr="00DA05D4">
        <w:t xml:space="preserve"> – Demonstrated success in conducting income verifications and SB 330 or similar housing law compliance.</w:t>
      </w:r>
    </w:p>
    <w:p w14:paraId="5511B09E" w14:textId="77777777" w:rsidR="001F2B59" w:rsidRPr="00DA05D4" w:rsidRDefault="001F2B59" w:rsidP="0095008A">
      <w:pPr>
        <w:pStyle w:val="ListParagraph"/>
        <w:numPr>
          <w:ilvl w:val="0"/>
          <w:numId w:val="15"/>
        </w:numPr>
      </w:pPr>
      <w:r w:rsidRPr="0095008A">
        <w:rPr>
          <w:b/>
          <w:bCs/>
        </w:rPr>
        <w:t>Methodology (25%)</w:t>
      </w:r>
      <w:r w:rsidRPr="00DA05D4">
        <w:t xml:space="preserve"> – Thoroughness and reliability of the approach for verifying historical tenant incomes and calculating replacement housing obligations.</w:t>
      </w:r>
    </w:p>
    <w:p w14:paraId="22B17584" w14:textId="77777777" w:rsidR="001F2B59" w:rsidRPr="00DA05D4" w:rsidRDefault="001F2B59" w:rsidP="0095008A">
      <w:pPr>
        <w:pStyle w:val="ListParagraph"/>
        <w:numPr>
          <w:ilvl w:val="0"/>
          <w:numId w:val="15"/>
        </w:numPr>
      </w:pPr>
      <w:r w:rsidRPr="0095008A">
        <w:rPr>
          <w:b/>
          <w:bCs/>
        </w:rPr>
        <w:t>Cost (20%)</w:t>
      </w:r>
      <w:r w:rsidRPr="00DA05D4">
        <w:t xml:space="preserve"> – Overall cost competitiveness and transparency.</w:t>
      </w:r>
    </w:p>
    <w:p w14:paraId="0CF613CF" w14:textId="77777777" w:rsidR="001F2B59" w:rsidRPr="00DA05D4" w:rsidRDefault="001F2B59" w:rsidP="0095008A">
      <w:pPr>
        <w:pStyle w:val="ListParagraph"/>
        <w:numPr>
          <w:ilvl w:val="0"/>
          <w:numId w:val="15"/>
        </w:numPr>
      </w:pPr>
      <w:r w:rsidRPr="0095008A">
        <w:rPr>
          <w:b/>
          <w:bCs/>
        </w:rPr>
        <w:t>Tools &amp; Technology (15%)</w:t>
      </w:r>
      <w:r w:rsidRPr="00DA05D4">
        <w:t xml:space="preserve"> – Effective use of technology to ensure secure and efficient data handling.</w:t>
      </w:r>
    </w:p>
    <w:p w14:paraId="00380322" w14:textId="719F14E4" w:rsidR="001F2B59" w:rsidRPr="00DA05D4" w:rsidRDefault="001F2B59" w:rsidP="0095008A">
      <w:pPr>
        <w:pStyle w:val="ListParagraph"/>
        <w:numPr>
          <w:ilvl w:val="0"/>
          <w:numId w:val="15"/>
        </w:numPr>
      </w:pPr>
      <w:r w:rsidRPr="0095008A">
        <w:rPr>
          <w:b/>
          <w:bCs/>
        </w:rPr>
        <w:t>References (10%)</w:t>
      </w:r>
      <w:r w:rsidRPr="00DA05D4">
        <w:t xml:space="preserve"> – Feedback and results from similar past engagements.</w:t>
      </w:r>
    </w:p>
    <w:p w14:paraId="7FDCD902" w14:textId="77777777" w:rsidR="001F2B59" w:rsidRPr="00DA05D4" w:rsidRDefault="001F2B59" w:rsidP="00CF1829">
      <w:pPr>
        <w:pStyle w:val="Heading2"/>
      </w:pPr>
      <w:r w:rsidRPr="00DA05D4">
        <w:t>5. Deliverables &amp; Performance Expectations</w:t>
      </w:r>
    </w:p>
    <w:p w14:paraId="567E21A1" w14:textId="77777777" w:rsidR="001F2B59" w:rsidRPr="00DA05D4" w:rsidRDefault="001F2B59" w:rsidP="0095008A">
      <w:r w:rsidRPr="00DA05D4">
        <w:t>The selected firm will be expected to:</w:t>
      </w:r>
    </w:p>
    <w:p w14:paraId="3FDD081D" w14:textId="77777777" w:rsidR="001F2B59" w:rsidRPr="00DA05D4" w:rsidRDefault="001F2B59" w:rsidP="0095008A">
      <w:pPr>
        <w:pStyle w:val="ListParagraph"/>
        <w:numPr>
          <w:ilvl w:val="0"/>
          <w:numId w:val="16"/>
        </w:numPr>
      </w:pPr>
      <w:r w:rsidRPr="00DA05D4">
        <w:t xml:space="preserve">Complete verifications and replacement obligation calculations within </w:t>
      </w:r>
      <w:r w:rsidRPr="00C602BF">
        <w:rPr>
          <w:highlight w:val="yellow"/>
        </w:rPr>
        <w:t>[X]</w:t>
      </w:r>
      <w:r w:rsidRPr="00DA05D4">
        <w:t xml:space="preserve"> business days of receiving a request.</w:t>
      </w:r>
    </w:p>
    <w:p w14:paraId="1D8D0639" w14:textId="77777777" w:rsidR="001F2B59" w:rsidRPr="00DA05D4" w:rsidRDefault="001F2B59" w:rsidP="0095008A">
      <w:pPr>
        <w:pStyle w:val="ListParagraph"/>
        <w:numPr>
          <w:ilvl w:val="0"/>
          <w:numId w:val="16"/>
        </w:numPr>
      </w:pPr>
      <w:r w:rsidRPr="00DA05D4">
        <w:t>Provide detailed reports summarizing findings for each unit.</w:t>
      </w:r>
    </w:p>
    <w:p w14:paraId="46346956" w14:textId="77777777" w:rsidR="001F2B59" w:rsidRPr="00DA05D4" w:rsidRDefault="001F2B59" w:rsidP="0095008A">
      <w:pPr>
        <w:pStyle w:val="ListParagraph"/>
        <w:numPr>
          <w:ilvl w:val="0"/>
          <w:numId w:val="16"/>
        </w:numPr>
      </w:pPr>
      <w:r w:rsidRPr="00DA05D4">
        <w:t>Maintain confidential and secure handling of all sensitive tenant information.</w:t>
      </w:r>
    </w:p>
    <w:p w14:paraId="6C7978EE" w14:textId="60B758E9" w:rsidR="001F2B59" w:rsidRPr="00DA05D4" w:rsidRDefault="001F2B59" w:rsidP="00CF1829">
      <w:pPr>
        <w:pStyle w:val="ListParagraph"/>
        <w:numPr>
          <w:ilvl w:val="0"/>
          <w:numId w:val="16"/>
        </w:numPr>
        <w:spacing w:after="240"/>
      </w:pPr>
      <w:r w:rsidRPr="00DA05D4">
        <w:t>Ensure all services meet or exceed SB 330 requirements and align with applicable state and local regulations.</w:t>
      </w:r>
    </w:p>
    <w:p w14:paraId="0B2128D1" w14:textId="77777777" w:rsidR="001F2B59" w:rsidRPr="00DA05D4" w:rsidRDefault="001F2B59" w:rsidP="00CF1829">
      <w:pPr>
        <w:pStyle w:val="Heading2"/>
      </w:pPr>
      <w:r w:rsidRPr="00DA05D4">
        <w:t>6. Timeline &amp; Submission Details</w:t>
      </w:r>
    </w:p>
    <w:p w14:paraId="12279233" w14:textId="77777777" w:rsidR="001F2B59" w:rsidRPr="00DA05D4" w:rsidRDefault="001F2B59" w:rsidP="0095008A">
      <w:pPr>
        <w:pStyle w:val="ListParagraph"/>
        <w:numPr>
          <w:ilvl w:val="0"/>
          <w:numId w:val="17"/>
        </w:numPr>
      </w:pPr>
      <w:r w:rsidRPr="00DA05D4">
        <w:t>Proposal Due Date: [</w:t>
      </w:r>
      <w:r w:rsidRPr="00C602BF">
        <w:rPr>
          <w:highlight w:val="yellow"/>
        </w:rPr>
        <w:t>Insert Date</w:t>
      </w:r>
      <w:r w:rsidRPr="00DA05D4">
        <w:t>]</w:t>
      </w:r>
    </w:p>
    <w:p w14:paraId="132071D1" w14:textId="77777777" w:rsidR="001F2B59" w:rsidRPr="00DA05D4" w:rsidRDefault="001F2B59" w:rsidP="0095008A">
      <w:pPr>
        <w:pStyle w:val="ListParagraph"/>
        <w:numPr>
          <w:ilvl w:val="0"/>
          <w:numId w:val="17"/>
        </w:numPr>
      </w:pPr>
      <w:r w:rsidRPr="00DA05D4">
        <w:t>Selection Notification: [</w:t>
      </w:r>
      <w:r w:rsidRPr="00C602BF">
        <w:rPr>
          <w:highlight w:val="yellow"/>
        </w:rPr>
        <w:t>Insert Date</w:t>
      </w:r>
      <w:r w:rsidRPr="00DA05D4">
        <w:t>]</w:t>
      </w:r>
    </w:p>
    <w:p w14:paraId="5EBB16BF" w14:textId="77777777" w:rsidR="001F2B59" w:rsidRPr="00DA05D4" w:rsidRDefault="001F2B59" w:rsidP="0095008A">
      <w:pPr>
        <w:pStyle w:val="ListParagraph"/>
        <w:numPr>
          <w:ilvl w:val="0"/>
          <w:numId w:val="17"/>
        </w:numPr>
      </w:pPr>
      <w:r w:rsidRPr="00DA05D4">
        <w:t>Contract Start Date: [</w:t>
      </w:r>
      <w:r w:rsidRPr="00C602BF">
        <w:rPr>
          <w:highlight w:val="yellow"/>
        </w:rPr>
        <w:t>Insert Date</w:t>
      </w:r>
      <w:r w:rsidRPr="00DA05D4">
        <w:t>]</w:t>
      </w:r>
    </w:p>
    <w:p w14:paraId="4A648397" w14:textId="77777777" w:rsidR="001F2B59" w:rsidRPr="00DA05D4" w:rsidRDefault="001F2B59" w:rsidP="0095008A">
      <w:pPr>
        <w:pStyle w:val="ListParagraph"/>
        <w:numPr>
          <w:ilvl w:val="0"/>
          <w:numId w:val="17"/>
        </w:numPr>
      </w:pPr>
      <w:r w:rsidRPr="0095008A">
        <w:rPr>
          <w:b/>
          <w:bCs/>
        </w:rPr>
        <w:t>Submission Email/Address:</w:t>
      </w:r>
      <w:r w:rsidRPr="00DA05D4">
        <w:t xml:space="preserve"> [</w:t>
      </w:r>
      <w:r w:rsidRPr="00C602BF">
        <w:rPr>
          <w:highlight w:val="yellow"/>
        </w:rPr>
        <w:t>Insert Contact Information</w:t>
      </w:r>
      <w:r w:rsidRPr="00DA05D4">
        <w:t>]</w:t>
      </w:r>
    </w:p>
    <w:p w14:paraId="14643B60" w14:textId="08DF174E" w:rsidR="001F2B59" w:rsidRPr="00DA05D4" w:rsidRDefault="001F2B59" w:rsidP="00CF1829">
      <w:pPr>
        <w:spacing w:after="240"/>
      </w:pPr>
      <w:r w:rsidRPr="00DA05D4">
        <w:t xml:space="preserve">For questions, please contact </w:t>
      </w:r>
      <w:r w:rsidRPr="00C602BF">
        <w:rPr>
          <w:highlight w:val="yellow"/>
        </w:rPr>
        <w:t>[Jurisdiction Contact Name]</w:t>
      </w:r>
      <w:r w:rsidRPr="00DA05D4">
        <w:t xml:space="preserve"> at </w:t>
      </w:r>
      <w:r w:rsidRPr="00C602BF">
        <w:rPr>
          <w:highlight w:val="yellow"/>
        </w:rPr>
        <w:t>[Email/Phone].</w:t>
      </w:r>
    </w:p>
    <w:p w14:paraId="64469130" w14:textId="77777777" w:rsidR="001F2B59" w:rsidRPr="00DA05D4" w:rsidRDefault="001F2B59" w:rsidP="00CF1829">
      <w:pPr>
        <w:pBdr>
          <w:top w:val="single" w:sz="4" w:space="1" w:color="auto"/>
        </w:pBdr>
      </w:pPr>
      <w:r w:rsidRPr="00C602BF">
        <w:rPr>
          <w:highlight w:val="yellow"/>
        </w:rPr>
        <w:t>[Jurisdiction Name</w:t>
      </w:r>
      <w:r w:rsidRPr="00DA05D4">
        <w:t>] reserves the right to reject any or all proposals and to negotiate terms with the selected firm.</w:t>
      </w:r>
    </w:p>
    <w:p w14:paraId="5969B797" w14:textId="77777777" w:rsidR="001F2B59" w:rsidRPr="00DA05D4" w:rsidRDefault="001F2B59" w:rsidP="0095008A"/>
    <w:sectPr w:rsidR="001F2B59" w:rsidRPr="00DA05D4" w:rsidSect="007C144D">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iana Elrod" w:date="2025-11-10T12:49:00Z" w:initials="DE">
    <w:p w14:paraId="217CAA49" w14:textId="77777777" w:rsidR="00B03179" w:rsidRDefault="00B03179" w:rsidP="00B03179">
      <w:pPr>
        <w:pStyle w:val="CommentText"/>
      </w:pPr>
      <w:r>
        <w:rPr>
          <w:rStyle w:val="CommentReference"/>
        </w:rPr>
        <w:annotationRef/>
      </w:r>
      <w:r>
        <w:rPr>
          <w:b/>
          <w:bCs/>
          <w:color w:val="333333"/>
        </w:rPr>
        <w:t xml:space="preserve">Instructions for customizing this handout: </w:t>
      </w:r>
    </w:p>
    <w:p w14:paraId="469D7F19" w14:textId="77777777" w:rsidR="00B03179" w:rsidRDefault="00B03179" w:rsidP="00B03179">
      <w:pPr>
        <w:pStyle w:val="CommentText"/>
      </w:pPr>
    </w:p>
    <w:p w14:paraId="2321C4FD" w14:textId="77777777" w:rsidR="00B03179" w:rsidRDefault="00B03179" w:rsidP="00B03179">
      <w:pPr>
        <w:pStyle w:val="CommentText"/>
      </w:pPr>
      <w:r>
        <w:rPr>
          <w:b/>
          <w:bCs/>
          <w:color w:val="333333"/>
        </w:rPr>
        <w:t xml:space="preserve">Highlighting: </w:t>
      </w:r>
    </w:p>
    <w:p w14:paraId="618EEEC2" w14:textId="77777777" w:rsidR="00B03179" w:rsidRDefault="00B03179" w:rsidP="00B03179">
      <w:pPr>
        <w:pStyle w:val="CommentText"/>
      </w:pPr>
      <w:r>
        <w:rPr>
          <w:color w:val="333333"/>
        </w:rPr>
        <w:t xml:space="preserve">Text that is in brackets and highlighted needs to be reviewed and should be customized with local details. </w:t>
      </w:r>
    </w:p>
    <w:p w14:paraId="436A61F1" w14:textId="77777777" w:rsidR="00B03179" w:rsidRDefault="00B03179" w:rsidP="00B03179">
      <w:pPr>
        <w:pStyle w:val="CommentText"/>
      </w:pPr>
      <w:r>
        <w:rPr>
          <w:color w:val="333333"/>
          <w:highlight w:val="yellow"/>
        </w:rPr>
        <w:t xml:space="preserve">Yellow highlighted text is informational or optional text that must be reviewed and updated as needed. </w:t>
      </w:r>
    </w:p>
    <w:p w14:paraId="633C2FBE" w14:textId="77777777" w:rsidR="00B03179" w:rsidRDefault="00B03179" w:rsidP="00B03179">
      <w:pPr>
        <w:pStyle w:val="CommentText"/>
      </w:pPr>
      <w:r>
        <w:rPr>
          <w:color w:val="333333"/>
        </w:rPr>
        <w:t xml:space="preserve">Remove brackets and highlighting after updating to local information. </w:t>
      </w:r>
    </w:p>
    <w:p w14:paraId="17007A05" w14:textId="77777777" w:rsidR="00B03179" w:rsidRDefault="00B03179" w:rsidP="00B03179">
      <w:pPr>
        <w:pStyle w:val="CommentText"/>
      </w:pPr>
    </w:p>
    <w:p w14:paraId="0855DE2C" w14:textId="77777777" w:rsidR="00B03179" w:rsidRDefault="00B03179" w:rsidP="00B03179">
      <w:pPr>
        <w:pStyle w:val="CommentText"/>
      </w:pPr>
      <w:r>
        <w:rPr>
          <w:b/>
          <w:bCs/>
          <w:color w:val="333333"/>
        </w:rPr>
        <w:t>Custom Text:</w:t>
      </w:r>
    </w:p>
    <w:p w14:paraId="6138F4FB" w14:textId="77777777" w:rsidR="00B03179" w:rsidRDefault="00B03179" w:rsidP="00B03179">
      <w:pPr>
        <w:pStyle w:val="CommentText"/>
      </w:pPr>
      <w:r>
        <w:rPr>
          <w:color w:val="333333"/>
        </w:rPr>
        <w:t xml:space="preserve">You may also change text as needed throughout the document. </w:t>
      </w:r>
    </w:p>
    <w:p w14:paraId="611B2776" w14:textId="77777777" w:rsidR="00B03179" w:rsidRDefault="00B03179" w:rsidP="00B03179">
      <w:pPr>
        <w:pStyle w:val="CommentText"/>
      </w:pPr>
    </w:p>
    <w:p w14:paraId="69C5B162" w14:textId="77777777" w:rsidR="00B03179" w:rsidRDefault="00B03179" w:rsidP="00B03179">
      <w:pPr>
        <w:pStyle w:val="CommentText"/>
      </w:pPr>
      <w:r>
        <w:rPr>
          <w:b/>
          <w:bCs/>
          <w:color w:val="333333"/>
        </w:rPr>
        <w:t xml:space="preserve">Accessibility: </w:t>
      </w:r>
    </w:p>
    <w:p w14:paraId="3EB9C643" w14:textId="77777777" w:rsidR="00B03179" w:rsidRDefault="00B03179" w:rsidP="00B03179">
      <w:pPr>
        <w:pStyle w:val="CommentText"/>
      </w:pPr>
      <w:r>
        <w:rPr>
          <w:color w:val="333333"/>
        </w:rPr>
        <w:t xml:space="preserve">This handout is 508-compliant. Significant changes should be checked to ensure accessibility of the final document.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B9C6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132A21" w16cex:dateUtc="2025-11-10T2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B9C643" w16cid:durableId="5F132A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65105" w14:textId="77777777" w:rsidR="00932FF6" w:rsidRDefault="00932FF6" w:rsidP="0095008A">
      <w:r>
        <w:separator/>
      </w:r>
    </w:p>
  </w:endnote>
  <w:endnote w:type="continuationSeparator" w:id="0">
    <w:p w14:paraId="6C255844" w14:textId="77777777" w:rsidR="00932FF6" w:rsidRDefault="00932FF6" w:rsidP="00950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917270"/>
      <w:docPartObj>
        <w:docPartGallery w:val="Page Numbers (Bottom of Page)"/>
        <w:docPartUnique/>
      </w:docPartObj>
    </w:sdtPr>
    <w:sdtEndPr>
      <w:rPr>
        <w:noProof/>
      </w:rPr>
    </w:sdtEndPr>
    <w:sdtContent>
      <w:p w14:paraId="39E1909E" w14:textId="4F7EB04F" w:rsidR="005904CC" w:rsidRDefault="005904CC">
        <w:pPr>
          <w:pStyle w:val="Footer"/>
        </w:pPr>
        <w:r>
          <w:fldChar w:fldCharType="begin"/>
        </w:r>
        <w:r>
          <w:instrText xml:space="preserve"> PAGE   \* MERGEFORMAT </w:instrText>
        </w:r>
        <w:r>
          <w:fldChar w:fldCharType="separate"/>
        </w:r>
        <w:r>
          <w:rPr>
            <w:noProof/>
          </w:rPr>
          <w:t>2</w:t>
        </w:r>
        <w:r>
          <w:rPr>
            <w:noProof/>
          </w:rPr>
          <w:fldChar w:fldCharType="end"/>
        </w:r>
      </w:p>
    </w:sdtContent>
  </w:sdt>
  <w:p w14:paraId="285FF4D6" w14:textId="77777777" w:rsidR="006D6B87" w:rsidRDefault="006D6B87" w:rsidP="00950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B01AA" w14:textId="77777777" w:rsidR="00932FF6" w:rsidRDefault="00932FF6" w:rsidP="0095008A">
      <w:r>
        <w:separator/>
      </w:r>
    </w:p>
  </w:footnote>
  <w:footnote w:type="continuationSeparator" w:id="0">
    <w:p w14:paraId="22A1C70D" w14:textId="77777777" w:rsidR="00932FF6" w:rsidRDefault="00932FF6" w:rsidP="0095008A">
      <w:r>
        <w:continuationSeparator/>
      </w:r>
    </w:p>
  </w:footnote>
  <w:footnote w:id="1">
    <w:p w14:paraId="2D877E66" w14:textId="4FB6D55B" w:rsidR="00236660" w:rsidRDefault="00236660" w:rsidP="0095008A">
      <w:pPr>
        <w:pStyle w:val="FootnoteText"/>
      </w:pPr>
      <w:r>
        <w:rPr>
          <w:rStyle w:val="FootnoteReference"/>
        </w:rPr>
        <w:footnoteRef/>
      </w:r>
      <w:r>
        <w:t>Note: If an existing tenant is not low-income but resides in a protected unit, that tenant is not required to be offered relocation assistance or right to return.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41B"/>
    <w:multiLevelType w:val="multilevel"/>
    <w:tmpl w:val="E4D8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74F8D"/>
    <w:multiLevelType w:val="multilevel"/>
    <w:tmpl w:val="3FE6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73454"/>
    <w:multiLevelType w:val="multilevel"/>
    <w:tmpl w:val="61E28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5E491A"/>
    <w:multiLevelType w:val="multilevel"/>
    <w:tmpl w:val="78C6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F5B74"/>
    <w:multiLevelType w:val="hybridMultilevel"/>
    <w:tmpl w:val="60EA5E8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B64267"/>
    <w:multiLevelType w:val="multilevel"/>
    <w:tmpl w:val="5CF6E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346F9F"/>
    <w:multiLevelType w:val="hybridMultilevel"/>
    <w:tmpl w:val="EA82F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563F9"/>
    <w:multiLevelType w:val="multilevel"/>
    <w:tmpl w:val="4926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D21489"/>
    <w:multiLevelType w:val="hybridMultilevel"/>
    <w:tmpl w:val="F482D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FF27D4"/>
    <w:multiLevelType w:val="multilevel"/>
    <w:tmpl w:val="6850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BD3E58"/>
    <w:multiLevelType w:val="multilevel"/>
    <w:tmpl w:val="D102B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7602FA"/>
    <w:multiLevelType w:val="multilevel"/>
    <w:tmpl w:val="B2145E7C"/>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3C891252"/>
    <w:multiLevelType w:val="multilevel"/>
    <w:tmpl w:val="22AE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4F5BF0"/>
    <w:multiLevelType w:val="multilevel"/>
    <w:tmpl w:val="8DDA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7050BB"/>
    <w:multiLevelType w:val="multilevel"/>
    <w:tmpl w:val="A33EEC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F348BC"/>
    <w:multiLevelType w:val="multilevel"/>
    <w:tmpl w:val="2A8E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D06D14"/>
    <w:multiLevelType w:val="hybridMultilevel"/>
    <w:tmpl w:val="1146227A"/>
    <w:lvl w:ilvl="0" w:tplc="F1C6E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676C4"/>
    <w:multiLevelType w:val="multilevel"/>
    <w:tmpl w:val="2F04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E835B7"/>
    <w:multiLevelType w:val="multilevel"/>
    <w:tmpl w:val="EB38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406845"/>
    <w:multiLevelType w:val="multilevel"/>
    <w:tmpl w:val="F63273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5A1622"/>
    <w:multiLevelType w:val="multilevel"/>
    <w:tmpl w:val="A0E2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EB4D75"/>
    <w:multiLevelType w:val="multilevel"/>
    <w:tmpl w:val="8C727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EC00D9"/>
    <w:multiLevelType w:val="hybridMultilevel"/>
    <w:tmpl w:val="F5149456"/>
    <w:lvl w:ilvl="0" w:tplc="3396865A">
      <w:start w:val="1"/>
      <w:numFmt w:val="upperLetter"/>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662FB3"/>
    <w:multiLevelType w:val="multilevel"/>
    <w:tmpl w:val="6130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1D1FC3"/>
    <w:multiLevelType w:val="hybridMultilevel"/>
    <w:tmpl w:val="61A0AD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92705D"/>
    <w:multiLevelType w:val="hybridMultilevel"/>
    <w:tmpl w:val="BCC0C2D4"/>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5F9214B"/>
    <w:multiLevelType w:val="multilevel"/>
    <w:tmpl w:val="F76A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3097555">
    <w:abstractNumId w:val="10"/>
  </w:num>
  <w:num w:numId="2" w16cid:durableId="1529830934">
    <w:abstractNumId w:val="12"/>
  </w:num>
  <w:num w:numId="3" w16cid:durableId="1392536829">
    <w:abstractNumId w:val="17"/>
  </w:num>
  <w:num w:numId="4" w16cid:durableId="546990281">
    <w:abstractNumId w:val="0"/>
  </w:num>
  <w:num w:numId="5" w16cid:durableId="346449556">
    <w:abstractNumId w:val="2"/>
  </w:num>
  <w:num w:numId="6" w16cid:durableId="153106610">
    <w:abstractNumId w:val="1"/>
  </w:num>
  <w:num w:numId="7" w16cid:durableId="145976301">
    <w:abstractNumId w:val="7"/>
  </w:num>
  <w:num w:numId="8" w16cid:durableId="1345202627">
    <w:abstractNumId w:val="15"/>
  </w:num>
  <w:num w:numId="9" w16cid:durableId="1406492376">
    <w:abstractNumId w:val="21"/>
  </w:num>
  <w:num w:numId="10" w16cid:durableId="2080637107">
    <w:abstractNumId w:val="19"/>
  </w:num>
  <w:num w:numId="11" w16cid:durableId="915439182">
    <w:abstractNumId w:val="26"/>
  </w:num>
  <w:num w:numId="12" w16cid:durableId="1457287753">
    <w:abstractNumId w:val="18"/>
  </w:num>
  <w:num w:numId="13" w16cid:durableId="77484058">
    <w:abstractNumId w:val="9"/>
  </w:num>
  <w:num w:numId="14" w16cid:durableId="2086806087">
    <w:abstractNumId w:val="5"/>
  </w:num>
  <w:num w:numId="15" w16cid:durableId="1997144450">
    <w:abstractNumId w:val="20"/>
  </w:num>
  <w:num w:numId="16" w16cid:durableId="870149474">
    <w:abstractNumId w:val="3"/>
  </w:num>
  <w:num w:numId="17" w16cid:durableId="1810898802">
    <w:abstractNumId w:val="13"/>
  </w:num>
  <w:num w:numId="18" w16cid:durableId="1406534979">
    <w:abstractNumId w:val="23"/>
  </w:num>
  <w:num w:numId="19" w16cid:durableId="1662737115">
    <w:abstractNumId w:val="11"/>
  </w:num>
  <w:num w:numId="20" w16cid:durableId="1154880894">
    <w:abstractNumId w:val="22"/>
  </w:num>
  <w:num w:numId="21" w16cid:durableId="617368763">
    <w:abstractNumId w:val="16"/>
  </w:num>
  <w:num w:numId="22" w16cid:durableId="1402873279">
    <w:abstractNumId w:val="14"/>
  </w:num>
  <w:num w:numId="23" w16cid:durableId="874123517">
    <w:abstractNumId w:val="25"/>
  </w:num>
  <w:num w:numId="24" w16cid:durableId="9795722">
    <w:abstractNumId w:val="8"/>
  </w:num>
  <w:num w:numId="25" w16cid:durableId="610940570">
    <w:abstractNumId w:val="24"/>
  </w:num>
  <w:num w:numId="26" w16cid:durableId="1411847993">
    <w:abstractNumId w:val="6"/>
  </w:num>
  <w:num w:numId="27" w16cid:durableId="107408890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 Elrod">
    <w15:presenceInfo w15:providerId="Windows Live" w15:userId="c6e54620e7d945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B59"/>
    <w:rsid w:val="000003EE"/>
    <w:rsid w:val="00034127"/>
    <w:rsid w:val="00036038"/>
    <w:rsid w:val="00037076"/>
    <w:rsid w:val="0008131F"/>
    <w:rsid w:val="00084400"/>
    <w:rsid w:val="00104768"/>
    <w:rsid w:val="00184226"/>
    <w:rsid w:val="001F2B59"/>
    <w:rsid w:val="00213352"/>
    <w:rsid w:val="002163A9"/>
    <w:rsid w:val="00217C42"/>
    <w:rsid w:val="00236660"/>
    <w:rsid w:val="002720C2"/>
    <w:rsid w:val="00277047"/>
    <w:rsid w:val="00291774"/>
    <w:rsid w:val="002B1827"/>
    <w:rsid w:val="002C6310"/>
    <w:rsid w:val="002E2387"/>
    <w:rsid w:val="002E64FC"/>
    <w:rsid w:val="002F6C5B"/>
    <w:rsid w:val="00326183"/>
    <w:rsid w:val="00327938"/>
    <w:rsid w:val="00327C0D"/>
    <w:rsid w:val="00361D9A"/>
    <w:rsid w:val="003D373E"/>
    <w:rsid w:val="003F0424"/>
    <w:rsid w:val="00416929"/>
    <w:rsid w:val="00460518"/>
    <w:rsid w:val="00495543"/>
    <w:rsid w:val="004C723B"/>
    <w:rsid w:val="00525377"/>
    <w:rsid w:val="005904CC"/>
    <w:rsid w:val="005B4ED8"/>
    <w:rsid w:val="005B7DFE"/>
    <w:rsid w:val="005C52DE"/>
    <w:rsid w:val="00626AFF"/>
    <w:rsid w:val="00650490"/>
    <w:rsid w:val="006D402B"/>
    <w:rsid w:val="006D6B87"/>
    <w:rsid w:val="00731CE6"/>
    <w:rsid w:val="00743685"/>
    <w:rsid w:val="007C144D"/>
    <w:rsid w:val="008523FA"/>
    <w:rsid w:val="00931869"/>
    <w:rsid w:val="00932FF6"/>
    <w:rsid w:val="00935DBB"/>
    <w:rsid w:val="0095008A"/>
    <w:rsid w:val="009931D4"/>
    <w:rsid w:val="009C16A6"/>
    <w:rsid w:val="00A11600"/>
    <w:rsid w:val="00A462BA"/>
    <w:rsid w:val="00A56D07"/>
    <w:rsid w:val="00A7771D"/>
    <w:rsid w:val="00A926EF"/>
    <w:rsid w:val="00AD15F1"/>
    <w:rsid w:val="00AF61BD"/>
    <w:rsid w:val="00B03179"/>
    <w:rsid w:val="00B13C3D"/>
    <w:rsid w:val="00B32B2F"/>
    <w:rsid w:val="00BE1EA2"/>
    <w:rsid w:val="00BE3DF0"/>
    <w:rsid w:val="00C602BF"/>
    <w:rsid w:val="00C72D19"/>
    <w:rsid w:val="00CF1829"/>
    <w:rsid w:val="00D16C80"/>
    <w:rsid w:val="00D44906"/>
    <w:rsid w:val="00D914E3"/>
    <w:rsid w:val="00D92433"/>
    <w:rsid w:val="00DA05D4"/>
    <w:rsid w:val="00DB2085"/>
    <w:rsid w:val="00DB625D"/>
    <w:rsid w:val="00E05562"/>
    <w:rsid w:val="00E1143C"/>
    <w:rsid w:val="00E20C85"/>
    <w:rsid w:val="00E66FA7"/>
    <w:rsid w:val="00E73A7F"/>
    <w:rsid w:val="00E75112"/>
    <w:rsid w:val="00EE07B2"/>
    <w:rsid w:val="00EE386C"/>
    <w:rsid w:val="00F0195B"/>
    <w:rsid w:val="00F36E73"/>
    <w:rsid w:val="00F72310"/>
    <w:rsid w:val="00FA44A4"/>
    <w:rsid w:val="00FA74AE"/>
    <w:rsid w:val="00FC5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7A440"/>
  <w15:chartTrackingRefBased/>
  <w15:docId w15:val="{E9AF1134-110C-40A6-B16D-0A48EE5D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08A"/>
    <w:pPr>
      <w:spacing w:line="240" w:lineRule="auto"/>
    </w:pPr>
    <w:rPr>
      <w:rFonts w:cstheme="minorHAnsi"/>
    </w:rPr>
  </w:style>
  <w:style w:type="paragraph" w:styleId="Heading1">
    <w:name w:val="heading 1"/>
    <w:basedOn w:val="Title"/>
    <w:next w:val="Normal"/>
    <w:link w:val="Heading1Char"/>
    <w:uiPriority w:val="9"/>
    <w:qFormat/>
    <w:rsid w:val="0008131F"/>
    <w:pPr>
      <w:spacing w:after="240"/>
      <w:outlineLvl w:val="0"/>
    </w:pPr>
    <w:rPr>
      <w:sz w:val="28"/>
      <w:szCs w:val="28"/>
    </w:rPr>
  </w:style>
  <w:style w:type="paragraph" w:styleId="Heading2">
    <w:name w:val="heading 2"/>
    <w:basedOn w:val="Normal"/>
    <w:next w:val="Normal"/>
    <w:link w:val="Heading2Char"/>
    <w:uiPriority w:val="9"/>
    <w:unhideWhenUsed/>
    <w:qFormat/>
    <w:rsid w:val="00CF1829"/>
    <w:pPr>
      <w:pBdr>
        <w:top w:val="single" w:sz="4" w:space="9" w:color="auto"/>
      </w:pBdr>
      <w:outlineLvl w:val="1"/>
    </w:pPr>
    <w:rPr>
      <w:b/>
      <w:bCs/>
      <w:sz w:val="22"/>
      <w:szCs w:val="22"/>
    </w:rPr>
  </w:style>
  <w:style w:type="paragraph" w:styleId="Heading3">
    <w:name w:val="heading 3"/>
    <w:basedOn w:val="ListParagraph"/>
    <w:next w:val="Normal"/>
    <w:link w:val="Heading3Char"/>
    <w:uiPriority w:val="9"/>
    <w:unhideWhenUsed/>
    <w:qFormat/>
    <w:rsid w:val="007C144D"/>
    <w:pPr>
      <w:numPr>
        <w:numId w:val="20"/>
      </w:numPr>
      <w:ind w:left="360"/>
      <w:contextualSpacing w:val="0"/>
      <w:outlineLvl w:val="2"/>
    </w:pPr>
    <w:rPr>
      <w:b/>
      <w:bCs/>
      <w:sz w:val="22"/>
      <w:szCs w:val="22"/>
    </w:rPr>
  </w:style>
  <w:style w:type="paragraph" w:styleId="Heading4">
    <w:name w:val="heading 4"/>
    <w:basedOn w:val="Normal"/>
    <w:next w:val="Normal"/>
    <w:link w:val="Heading4Char"/>
    <w:uiPriority w:val="9"/>
    <w:semiHidden/>
    <w:unhideWhenUsed/>
    <w:qFormat/>
    <w:rsid w:val="001F2B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2B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2B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B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B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B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31F"/>
    <w:rPr>
      <w:rFonts w:cstheme="minorHAnsi"/>
      <w:b/>
      <w:bCs/>
      <w:sz w:val="28"/>
      <w:szCs w:val="28"/>
    </w:rPr>
  </w:style>
  <w:style w:type="character" w:customStyle="1" w:styleId="Heading2Char">
    <w:name w:val="Heading 2 Char"/>
    <w:basedOn w:val="DefaultParagraphFont"/>
    <w:link w:val="Heading2"/>
    <w:uiPriority w:val="9"/>
    <w:rsid w:val="00CF1829"/>
    <w:rPr>
      <w:rFonts w:cstheme="minorHAnsi"/>
      <w:b/>
      <w:bCs/>
      <w:sz w:val="22"/>
      <w:szCs w:val="22"/>
    </w:rPr>
  </w:style>
  <w:style w:type="character" w:customStyle="1" w:styleId="Heading3Char">
    <w:name w:val="Heading 3 Char"/>
    <w:basedOn w:val="DefaultParagraphFont"/>
    <w:link w:val="Heading3"/>
    <w:uiPriority w:val="9"/>
    <w:rsid w:val="007C144D"/>
    <w:rPr>
      <w:rFonts w:cstheme="minorHAnsi"/>
      <w:b/>
      <w:bCs/>
      <w:sz w:val="22"/>
      <w:szCs w:val="22"/>
    </w:rPr>
  </w:style>
  <w:style w:type="character" w:customStyle="1" w:styleId="Heading4Char">
    <w:name w:val="Heading 4 Char"/>
    <w:basedOn w:val="DefaultParagraphFont"/>
    <w:link w:val="Heading4"/>
    <w:uiPriority w:val="9"/>
    <w:semiHidden/>
    <w:rsid w:val="001F2B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2B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2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B59"/>
    <w:rPr>
      <w:rFonts w:eastAsiaTheme="majorEastAsia" w:cstheme="majorBidi"/>
      <w:color w:val="272727" w:themeColor="text1" w:themeTint="D8"/>
    </w:rPr>
  </w:style>
  <w:style w:type="paragraph" w:styleId="Title">
    <w:name w:val="Title"/>
    <w:basedOn w:val="Normal"/>
    <w:next w:val="Normal"/>
    <w:link w:val="TitleChar"/>
    <w:uiPriority w:val="10"/>
    <w:qFormat/>
    <w:rsid w:val="00650490"/>
    <w:pPr>
      <w:jc w:val="center"/>
    </w:pPr>
    <w:rPr>
      <w:b/>
      <w:bCs/>
    </w:rPr>
  </w:style>
  <w:style w:type="character" w:customStyle="1" w:styleId="TitleChar">
    <w:name w:val="Title Char"/>
    <w:basedOn w:val="DefaultParagraphFont"/>
    <w:link w:val="Title"/>
    <w:uiPriority w:val="10"/>
    <w:rsid w:val="00650490"/>
    <w:rPr>
      <w:rFonts w:cstheme="minorHAnsi"/>
      <w:b/>
      <w:bCs/>
    </w:rPr>
  </w:style>
  <w:style w:type="paragraph" w:styleId="Subtitle">
    <w:name w:val="Subtitle"/>
    <w:basedOn w:val="Normal"/>
    <w:next w:val="Normal"/>
    <w:link w:val="SubtitleChar"/>
    <w:uiPriority w:val="11"/>
    <w:qFormat/>
    <w:rsid w:val="001F2B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B59"/>
    <w:pPr>
      <w:spacing w:before="160"/>
      <w:jc w:val="center"/>
    </w:pPr>
    <w:rPr>
      <w:i/>
      <w:iCs/>
      <w:color w:val="404040" w:themeColor="text1" w:themeTint="BF"/>
    </w:rPr>
  </w:style>
  <w:style w:type="character" w:customStyle="1" w:styleId="QuoteChar">
    <w:name w:val="Quote Char"/>
    <w:basedOn w:val="DefaultParagraphFont"/>
    <w:link w:val="Quote"/>
    <w:uiPriority w:val="29"/>
    <w:rsid w:val="001F2B59"/>
    <w:rPr>
      <w:i/>
      <w:iCs/>
      <w:color w:val="404040" w:themeColor="text1" w:themeTint="BF"/>
    </w:rPr>
  </w:style>
  <w:style w:type="paragraph" w:styleId="ListParagraph">
    <w:name w:val="List Paragraph"/>
    <w:basedOn w:val="Normal"/>
    <w:uiPriority w:val="34"/>
    <w:qFormat/>
    <w:rsid w:val="001F2B59"/>
    <w:pPr>
      <w:ind w:left="720"/>
      <w:contextualSpacing/>
    </w:pPr>
  </w:style>
  <w:style w:type="character" w:styleId="IntenseEmphasis">
    <w:name w:val="Intense Emphasis"/>
    <w:basedOn w:val="DefaultParagraphFont"/>
    <w:uiPriority w:val="21"/>
    <w:qFormat/>
    <w:rsid w:val="001F2B59"/>
    <w:rPr>
      <w:i/>
      <w:iCs/>
      <w:color w:val="2F5496" w:themeColor="accent1" w:themeShade="BF"/>
    </w:rPr>
  </w:style>
  <w:style w:type="paragraph" w:styleId="IntenseQuote">
    <w:name w:val="Intense Quote"/>
    <w:basedOn w:val="Normal"/>
    <w:next w:val="Normal"/>
    <w:link w:val="IntenseQuoteChar"/>
    <w:uiPriority w:val="30"/>
    <w:qFormat/>
    <w:rsid w:val="001F2B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2B59"/>
    <w:rPr>
      <w:i/>
      <w:iCs/>
      <w:color w:val="2F5496" w:themeColor="accent1" w:themeShade="BF"/>
    </w:rPr>
  </w:style>
  <w:style w:type="character" w:styleId="IntenseReference">
    <w:name w:val="Intense Reference"/>
    <w:basedOn w:val="DefaultParagraphFont"/>
    <w:uiPriority w:val="32"/>
    <w:qFormat/>
    <w:rsid w:val="001F2B59"/>
    <w:rPr>
      <w:b/>
      <w:bCs/>
      <w:smallCaps/>
      <w:color w:val="2F5496" w:themeColor="accent1" w:themeShade="BF"/>
      <w:spacing w:val="5"/>
    </w:rPr>
  </w:style>
  <w:style w:type="paragraph" w:styleId="Header">
    <w:name w:val="header"/>
    <w:basedOn w:val="Normal"/>
    <w:link w:val="HeaderChar"/>
    <w:uiPriority w:val="99"/>
    <w:unhideWhenUsed/>
    <w:rsid w:val="006D6B87"/>
    <w:pPr>
      <w:tabs>
        <w:tab w:val="center" w:pos="4680"/>
        <w:tab w:val="right" w:pos="9360"/>
      </w:tabs>
      <w:spacing w:after="0"/>
    </w:pPr>
  </w:style>
  <w:style w:type="character" w:customStyle="1" w:styleId="HeaderChar">
    <w:name w:val="Header Char"/>
    <w:basedOn w:val="DefaultParagraphFont"/>
    <w:link w:val="Header"/>
    <w:uiPriority w:val="99"/>
    <w:rsid w:val="006D6B87"/>
  </w:style>
  <w:style w:type="paragraph" w:styleId="Footer">
    <w:name w:val="footer"/>
    <w:basedOn w:val="Normal"/>
    <w:link w:val="FooterChar"/>
    <w:uiPriority w:val="99"/>
    <w:unhideWhenUsed/>
    <w:rsid w:val="006D6B87"/>
    <w:pPr>
      <w:tabs>
        <w:tab w:val="center" w:pos="4680"/>
        <w:tab w:val="right" w:pos="9360"/>
      </w:tabs>
      <w:spacing w:after="0"/>
    </w:pPr>
  </w:style>
  <w:style w:type="character" w:customStyle="1" w:styleId="FooterChar">
    <w:name w:val="Footer Char"/>
    <w:basedOn w:val="DefaultParagraphFont"/>
    <w:link w:val="Footer"/>
    <w:uiPriority w:val="99"/>
    <w:rsid w:val="006D6B87"/>
  </w:style>
  <w:style w:type="paragraph" w:styleId="Revision">
    <w:name w:val="Revision"/>
    <w:hidden/>
    <w:uiPriority w:val="99"/>
    <w:semiHidden/>
    <w:rsid w:val="00A926EF"/>
    <w:pPr>
      <w:spacing w:after="0" w:line="240" w:lineRule="auto"/>
    </w:pPr>
  </w:style>
  <w:style w:type="character" w:styleId="CommentReference">
    <w:name w:val="annotation reference"/>
    <w:basedOn w:val="DefaultParagraphFont"/>
    <w:uiPriority w:val="99"/>
    <w:semiHidden/>
    <w:unhideWhenUsed/>
    <w:rsid w:val="00DB625D"/>
    <w:rPr>
      <w:sz w:val="16"/>
      <w:szCs w:val="16"/>
    </w:rPr>
  </w:style>
  <w:style w:type="paragraph" w:styleId="CommentText">
    <w:name w:val="annotation text"/>
    <w:basedOn w:val="Normal"/>
    <w:link w:val="CommentTextChar"/>
    <w:uiPriority w:val="99"/>
    <w:unhideWhenUsed/>
    <w:rsid w:val="00DB625D"/>
    <w:rPr>
      <w:sz w:val="20"/>
      <w:szCs w:val="20"/>
    </w:rPr>
  </w:style>
  <w:style w:type="character" w:customStyle="1" w:styleId="CommentTextChar">
    <w:name w:val="Comment Text Char"/>
    <w:basedOn w:val="DefaultParagraphFont"/>
    <w:link w:val="CommentText"/>
    <w:uiPriority w:val="99"/>
    <w:rsid w:val="00DB625D"/>
    <w:rPr>
      <w:sz w:val="20"/>
      <w:szCs w:val="20"/>
    </w:rPr>
  </w:style>
  <w:style w:type="paragraph" w:styleId="CommentSubject">
    <w:name w:val="annotation subject"/>
    <w:basedOn w:val="CommentText"/>
    <w:next w:val="CommentText"/>
    <w:link w:val="CommentSubjectChar"/>
    <w:uiPriority w:val="99"/>
    <w:semiHidden/>
    <w:unhideWhenUsed/>
    <w:rsid w:val="00DB625D"/>
    <w:rPr>
      <w:b/>
      <w:bCs/>
    </w:rPr>
  </w:style>
  <w:style w:type="character" w:customStyle="1" w:styleId="CommentSubjectChar">
    <w:name w:val="Comment Subject Char"/>
    <w:basedOn w:val="CommentTextChar"/>
    <w:link w:val="CommentSubject"/>
    <w:uiPriority w:val="99"/>
    <w:semiHidden/>
    <w:rsid w:val="00DB625D"/>
    <w:rPr>
      <w:b/>
      <w:bCs/>
      <w:sz w:val="20"/>
      <w:szCs w:val="20"/>
    </w:rPr>
  </w:style>
  <w:style w:type="character" w:styleId="Hyperlink">
    <w:name w:val="Hyperlink"/>
    <w:uiPriority w:val="99"/>
    <w:unhideWhenUsed/>
    <w:rsid w:val="0095008A"/>
  </w:style>
  <w:style w:type="character" w:styleId="UnresolvedMention">
    <w:name w:val="Unresolved Mention"/>
    <w:basedOn w:val="DefaultParagraphFont"/>
    <w:uiPriority w:val="99"/>
    <w:semiHidden/>
    <w:unhideWhenUsed/>
    <w:rsid w:val="00DB625D"/>
    <w:rPr>
      <w:color w:val="605E5C"/>
      <w:shd w:val="clear" w:color="auto" w:fill="E1DFDD"/>
    </w:rPr>
  </w:style>
  <w:style w:type="paragraph" w:styleId="FootnoteText">
    <w:name w:val="footnote text"/>
    <w:basedOn w:val="Normal"/>
    <w:link w:val="FootnoteTextChar"/>
    <w:uiPriority w:val="99"/>
    <w:unhideWhenUsed/>
    <w:rsid w:val="00236660"/>
    <w:pPr>
      <w:spacing w:after="0"/>
    </w:pPr>
    <w:rPr>
      <w:sz w:val="20"/>
      <w:szCs w:val="20"/>
    </w:rPr>
  </w:style>
  <w:style w:type="character" w:customStyle="1" w:styleId="FootnoteTextChar">
    <w:name w:val="Footnote Text Char"/>
    <w:basedOn w:val="DefaultParagraphFont"/>
    <w:link w:val="FootnoteText"/>
    <w:uiPriority w:val="99"/>
    <w:rsid w:val="00236660"/>
    <w:rPr>
      <w:sz w:val="20"/>
      <w:szCs w:val="20"/>
    </w:rPr>
  </w:style>
  <w:style w:type="character" w:styleId="FootnoteReference">
    <w:name w:val="footnote reference"/>
    <w:basedOn w:val="DefaultParagraphFont"/>
    <w:uiPriority w:val="99"/>
    <w:semiHidden/>
    <w:unhideWhenUsed/>
    <w:rsid w:val="00236660"/>
    <w:rPr>
      <w:vertAlign w:val="superscript"/>
    </w:rPr>
  </w:style>
  <w:style w:type="character" w:styleId="FollowedHyperlink">
    <w:name w:val="FollowedHyperlink"/>
    <w:basedOn w:val="DefaultParagraphFont"/>
    <w:uiPriority w:val="99"/>
    <w:semiHidden/>
    <w:unhideWhenUsed/>
    <w:rsid w:val="0095008A"/>
    <w:rPr>
      <w:color w:val="954F72" w:themeColor="followedHyperlink"/>
      <w:u w:val="single"/>
    </w:rPr>
  </w:style>
  <w:style w:type="character" w:customStyle="1" w:styleId="normaltextrun">
    <w:name w:val="normaltextrun"/>
    <w:basedOn w:val="DefaultParagraphFont"/>
    <w:rsid w:val="0008131F"/>
  </w:style>
  <w:style w:type="character" w:customStyle="1" w:styleId="eop">
    <w:name w:val="eop"/>
    <w:basedOn w:val="DefaultParagraphFont"/>
    <w:rsid w:val="0008131F"/>
  </w:style>
  <w:style w:type="character" w:styleId="Strong">
    <w:name w:val="Strong"/>
    <w:basedOn w:val="DefaultParagraphFont"/>
    <w:uiPriority w:val="22"/>
    <w:qFormat/>
    <w:rsid w:val="000813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4016">
      <w:bodyDiv w:val="1"/>
      <w:marLeft w:val="0"/>
      <w:marRight w:val="0"/>
      <w:marTop w:val="0"/>
      <w:marBottom w:val="0"/>
      <w:divBdr>
        <w:top w:val="none" w:sz="0" w:space="0" w:color="auto"/>
        <w:left w:val="none" w:sz="0" w:space="0" w:color="auto"/>
        <w:bottom w:val="none" w:sz="0" w:space="0" w:color="auto"/>
        <w:right w:val="none" w:sz="0" w:space="0" w:color="auto"/>
      </w:divBdr>
    </w:div>
    <w:div w:id="97024371">
      <w:bodyDiv w:val="1"/>
      <w:marLeft w:val="0"/>
      <w:marRight w:val="0"/>
      <w:marTop w:val="0"/>
      <w:marBottom w:val="0"/>
      <w:divBdr>
        <w:top w:val="none" w:sz="0" w:space="0" w:color="auto"/>
        <w:left w:val="none" w:sz="0" w:space="0" w:color="auto"/>
        <w:bottom w:val="none" w:sz="0" w:space="0" w:color="auto"/>
        <w:right w:val="none" w:sz="0" w:space="0" w:color="auto"/>
      </w:divBdr>
    </w:div>
    <w:div w:id="183598667">
      <w:bodyDiv w:val="1"/>
      <w:marLeft w:val="0"/>
      <w:marRight w:val="0"/>
      <w:marTop w:val="0"/>
      <w:marBottom w:val="0"/>
      <w:divBdr>
        <w:top w:val="none" w:sz="0" w:space="0" w:color="auto"/>
        <w:left w:val="none" w:sz="0" w:space="0" w:color="auto"/>
        <w:bottom w:val="none" w:sz="0" w:space="0" w:color="auto"/>
        <w:right w:val="none" w:sz="0" w:space="0" w:color="auto"/>
      </w:divBdr>
      <w:divsChild>
        <w:div w:id="281612078">
          <w:marLeft w:val="0"/>
          <w:marRight w:val="0"/>
          <w:marTop w:val="0"/>
          <w:marBottom w:val="0"/>
          <w:divBdr>
            <w:top w:val="none" w:sz="0" w:space="0" w:color="auto"/>
            <w:left w:val="none" w:sz="0" w:space="0" w:color="auto"/>
            <w:bottom w:val="none" w:sz="0" w:space="0" w:color="auto"/>
            <w:right w:val="none" w:sz="0" w:space="0" w:color="auto"/>
          </w:divBdr>
        </w:div>
        <w:div w:id="1401517706">
          <w:marLeft w:val="0"/>
          <w:marRight w:val="0"/>
          <w:marTop w:val="0"/>
          <w:marBottom w:val="0"/>
          <w:divBdr>
            <w:top w:val="none" w:sz="0" w:space="0" w:color="auto"/>
            <w:left w:val="none" w:sz="0" w:space="0" w:color="auto"/>
            <w:bottom w:val="none" w:sz="0" w:space="0" w:color="auto"/>
            <w:right w:val="none" w:sz="0" w:space="0" w:color="auto"/>
          </w:divBdr>
        </w:div>
        <w:div w:id="1614628185">
          <w:marLeft w:val="0"/>
          <w:marRight w:val="0"/>
          <w:marTop w:val="0"/>
          <w:marBottom w:val="0"/>
          <w:divBdr>
            <w:top w:val="none" w:sz="0" w:space="0" w:color="auto"/>
            <w:left w:val="none" w:sz="0" w:space="0" w:color="auto"/>
            <w:bottom w:val="none" w:sz="0" w:space="0" w:color="auto"/>
            <w:right w:val="none" w:sz="0" w:space="0" w:color="auto"/>
          </w:divBdr>
        </w:div>
        <w:div w:id="1905334368">
          <w:marLeft w:val="0"/>
          <w:marRight w:val="0"/>
          <w:marTop w:val="0"/>
          <w:marBottom w:val="0"/>
          <w:divBdr>
            <w:top w:val="none" w:sz="0" w:space="0" w:color="auto"/>
            <w:left w:val="none" w:sz="0" w:space="0" w:color="auto"/>
            <w:bottom w:val="none" w:sz="0" w:space="0" w:color="auto"/>
            <w:right w:val="none" w:sz="0" w:space="0" w:color="auto"/>
          </w:divBdr>
        </w:div>
        <w:div w:id="1509325614">
          <w:marLeft w:val="0"/>
          <w:marRight w:val="0"/>
          <w:marTop w:val="0"/>
          <w:marBottom w:val="0"/>
          <w:divBdr>
            <w:top w:val="none" w:sz="0" w:space="0" w:color="auto"/>
            <w:left w:val="none" w:sz="0" w:space="0" w:color="auto"/>
            <w:bottom w:val="none" w:sz="0" w:space="0" w:color="auto"/>
            <w:right w:val="none" w:sz="0" w:space="0" w:color="auto"/>
          </w:divBdr>
        </w:div>
        <w:div w:id="43220709">
          <w:marLeft w:val="0"/>
          <w:marRight w:val="0"/>
          <w:marTop w:val="0"/>
          <w:marBottom w:val="0"/>
          <w:divBdr>
            <w:top w:val="none" w:sz="0" w:space="0" w:color="auto"/>
            <w:left w:val="none" w:sz="0" w:space="0" w:color="auto"/>
            <w:bottom w:val="none" w:sz="0" w:space="0" w:color="auto"/>
            <w:right w:val="none" w:sz="0" w:space="0" w:color="auto"/>
          </w:divBdr>
        </w:div>
        <w:div w:id="1352148831">
          <w:marLeft w:val="0"/>
          <w:marRight w:val="0"/>
          <w:marTop w:val="0"/>
          <w:marBottom w:val="0"/>
          <w:divBdr>
            <w:top w:val="none" w:sz="0" w:space="0" w:color="auto"/>
            <w:left w:val="none" w:sz="0" w:space="0" w:color="auto"/>
            <w:bottom w:val="none" w:sz="0" w:space="0" w:color="auto"/>
            <w:right w:val="none" w:sz="0" w:space="0" w:color="auto"/>
          </w:divBdr>
        </w:div>
      </w:divsChild>
    </w:div>
    <w:div w:id="326711938">
      <w:bodyDiv w:val="1"/>
      <w:marLeft w:val="0"/>
      <w:marRight w:val="0"/>
      <w:marTop w:val="0"/>
      <w:marBottom w:val="0"/>
      <w:divBdr>
        <w:top w:val="none" w:sz="0" w:space="0" w:color="auto"/>
        <w:left w:val="none" w:sz="0" w:space="0" w:color="auto"/>
        <w:bottom w:val="none" w:sz="0" w:space="0" w:color="auto"/>
        <w:right w:val="none" w:sz="0" w:space="0" w:color="auto"/>
      </w:divBdr>
      <w:divsChild>
        <w:div w:id="869950021">
          <w:marLeft w:val="0"/>
          <w:marRight w:val="0"/>
          <w:marTop w:val="0"/>
          <w:marBottom w:val="0"/>
          <w:divBdr>
            <w:top w:val="none" w:sz="0" w:space="0" w:color="auto"/>
            <w:left w:val="none" w:sz="0" w:space="0" w:color="auto"/>
            <w:bottom w:val="none" w:sz="0" w:space="0" w:color="auto"/>
            <w:right w:val="none" w:sz="0" w:space="0" w:color="auto"/>
          </w:divBdr>
        </w:div>
        <w:div w:id="510225534">
          <w:marLeft w:val="0"/>
          <w:marRight w:val="0"/>
          <w:marTop w:val="0"/>
          <w:marBottom w:val="0"/>
          <w:divBdr>
            <w:top w:val="none" w:sz="0" w:space="0" w:color="auto"/>
            <w:left w:val="none" w:sz="0" w:space="0" w:color="auto"/>
            <w:bottom w:val="none" w:sz="0" w:space="0" w:color="auto"/>
            <w:right w:val="none" w:sz="0" w:space="0" w:color="auto"/>
          </w:divBdr>
        </w:div>
        <w:div w:id="763382119">
          <w:marLeft w:val="0"/>
          <w:marRight w:val="0"/>
          <w:marTop w:val="0"/>
          <w:marBottom w:val="0"/>
          <w:divBdr>
            <w:top w:val="none" w:sz="0" w:space="0" w:color="auto"/>
            <w:left w:val="none" w:sz="0" w:space="0" w:color="auto"/>
            <w:bottom w:val="none" w:sz="0" w:space="0" w:color="auto"/>
            <w:right w:val="none" w:sz="0" w:space="0" w:color="auto"/>
          </w:divBdr>
        </w:div>
        <w:div w:id="408381687">
          <w:marLeft w:val="0"/>
          <w:marRight w:val="0"/>
          <w:marTop w:val="0"/>
          <w:marBottom w:val="0"/>
          <w:divBdr>
            <w:top w:val="none" w:sz="0" w:space="0" w:color="auto"/>
            <w:left w:val="none" w:sz="0" w:space="0" w:color="auto"/>
            <w:bottom w:val="none" w:sz="0" w:space="0" w:color="auto"/>
            <w:right w:val="none" w:sz="0" w:space="0" w:color="auto"/>
          </w:divBdr>
        </w:div>
        <w:div w:id="838276105">
          <w:marLeft w:val="0"/>
          <w:marRight w:val="0"/>
          <w:marTop w:val="0"/>
          <w:marBottom w:val="0"/>
          <w:divBdr>
            <w:top w:val="none" w:sz="0" w:space="0" w:color="auto"/>
            <w:left w:val="none" w:sz="0" w:space="0" w:color="auto"/>
            <w:bottom w:val="none" w:sz="0" w:space="0" w:color="auto"/>
            <w:right w:val="none" w:sz="0" w:space="0" w:color="auto"/>
          </w:divBdr>
        </w:div>
        <w:div w:id="1027758385">
          <w:marLeft w:val="0"/>
          <w:marRight w:val="0"/>
          <w:marTop w:val="0"/>
          <w:marBottom w:val="0"/>
          <w:divBdr>
            <w:top w:val="none" w:sz="0" w:space="0" w:color="auto"/>
            <w:left w:val="none" w:sz="0" w:space="0" w:color="auto"/>
            <w:bottom w:val="none" w:sz="0" w:space="0" w:color="auto"/>
            <w:right w:val="none" w:sz="0" w:space="0" w:color="auto"/>
          </w:divBdr>
        </w:div>
        <w:div w:id="1438327354">
          <w:marLeft w:val="0"/>
          <w:marRight w:val="0"/>
          <w:marTop w:val="0"/>
          <w:marBottom w:val="0"/>
          <w:divBdr>
            <w:top w:val="none" w:sz="0" w:space="0" w:color="auto"/>
            <w:left w:val="none" w:sz="0" w:space="0" w:color="auto"/>
            <w:bottom w:val="none" w:sz="0" w:space="0" w:color="auto"/>
            <w:right w:val="none" w:sz="0" w:space="0" w:color="auto"/>
          </w:divBdr>
        </w:div>
      </w:divsChild>
    </w:div>
    <w:div w:id="371658233">
      <w:bodyDiv w:val="1"/>
      <w:marLeft w:val="0"/>
      <w:marRight w:val="0"/>
      <w:marTop w:val="0"/>
      <w:marBottom w:val="0"/>
      <w:divBdr>
        <w:top w:val="none" w:sz="0" w:space="0" w:color="auto"/>
        <w:left w:val="none" w:sz="0" w:space="0" w:color="auto"/>
        <w:bottom w:val="none" w:sz="0" w:space="0" w:color="auto"/>
        <w:right w:val="none" w:sz="0" w:space="0" w:color="auto"/>
      </w:divBdr>
      <w:divsChild>
        <w:div w:id="1604454335">
          <w:marLeft w:val="0"/>
          <w:marRight w:val="0"/>
          <w:marTop w:val="0"/>
          <w:marBottom w:val="0"/>
          <w:divBdr>
            <w:top w:val="none" w:sz="0" w:space="0" w:color="auto"/>
            <w:left w:val="none" w:sz="0" w:space="0" w:color="auto"/>
            <w:bottom w:val="none" w:sz="0" w:space="0" w:color="auto"/>
            <w:right w:val="none" w:sz="0" w:space="0" w:color="auto"/>
          </w:divBdr>
        </w:div>
        <w:div w:id="837842614">
          <w:marLeft w:val="0"/>
          <w:marRight w:val="0"/>
          <w:marTop w:val="0"/>
          <w:marBottom w:val="0"/>
          <w:divBdr>
            <w:top w:val="none" w:sz="0" w:space="0" w:color="auto"/>
            <w:left w:val="none" w:sz="0" w:space="0" w:color="auto"/>
            <w:bottom w:val="none" w:sz="0" w:space="0" w:color="auto"/>
            <w:right w:val="none" w:sz="0" w:space="0" w:color="auto"/>
          </w:divBdr>
        </w:div>
        <w:div w:id="637998172">
          <w:marLeft w:val="0"/>
          <w:marRight w:val="0"/>
          <w:marTop w:val="0"/>
          <w:marBottom w:val="0"/>
          <w:divBdr>
            <w:top w:val="none" w:sz="0" w:space="0" w:color="auto"/>
            <w:left w:val="none" w:sz="0" w:space="0" w:color="auto"/>
            <w:bottom w:val="none" w:sz="0" w:space="0" w:color="auto"/>
            <w:right w:val="none" w:sz="0" w:space="0" w:color="auto"/>
          </w:divBdr>
        </w:div>
        <w:div w:id="2040473687">
          <w:marLeft w:val="0"/>
          <w:marRight w:val="0"/>
          <w:marTop w:val="0"/>
          <w:marBottom w:val="0"/>
          <w:divBdr>
            <w:top w:val="none" w:sz="0" w:space="0" w:color="auto"/>
            <w:left w:val="none" w:sz="0" w:space="0" w:color="auto"/>
            <w:bottom w:val="none" w:sz="0" w:space="0" w:color="auto"/>
            <w:right w:val="none" w:sz="0" w:space="0" w:color="auto"/>
          </w:divBdr>
        </w:div>
        <w:div w:id="257257050">
          <w:marLeft w:val="0"/>
          <w:marRight w:val="0"/>
          <w:marTop w:val="0"/>
          <w:marBottom w:val="0"/>
          <w:divBdr>
            <w:top w:val="none" w:sz="0" w:space="0" w:color="auto"/>
            <w:left w:val="none" w:sz="0" w:space="0" w:color="auto"/>
            <w:bottom w:val="none" w:sz="0" w:space="0" w:color="auto"/>
            <w:right w:val="none" w:sz="0" w:space="0" w:color="auto"/>
          </w:divBdr>
        </w:div>
        <w:div w:id="318534797">
          <w:marLeft w:val="0"/>
          <w:marRight w:val="0"/>
          <w:marTop w:val="0"/>
          <w:marBottom w:val="0"/>
          <w:divBdr>
            <w:top w:val="none" w:sz="0" w:space="0" w:color="auto"/>
            <w:left w:val="none" w:sz="0" w:space="0" w:color="auto"/>
            <w:bottom w:val="none" w:sz="0" w:space="0" w:color="auto"/>
            <w:right w:val="none" w:sz="0" w:space="0" w:color="auto"/>
          </w:divBdr>
        </w:div>
        <w:div w:id="2053268027">
          <w:marLeft w:val="0"/>
          <w:marRight w:val="0"/>
          <w:marTop w:val="0"/>
          <w:marBottom w:val="0"/>
          <w:divBdr>
            <w:top w:val="none" w:sz="0" w:space="0" w:color="auto"/>
            <w:left w:val="none" w:sz="0" w:space="0" w:color="auto"/>
            <w:bottom w:val="none" w:sz="0" w:space="0" w:color="auto"/>
            <w:right w:val="none" w:sz="0" w:space="0" w:color="auto"/>
          </w:divBdr>
        </w:div>
      </w:divsChild>
    </w:div>
    <w:div w:id="1193957023">
      <w:bodyDiv w:val="1"/>
      <w:marLeft w:val="0"/>
      <w:marRight w:val="0"/>
      <w:marTop w:val="0"/>
      <w:marBottom w:val="0"/>
      <w:divBdr>
        <w:top w:val="none" w:sz="0" w:space="0" w:color="auto"/>
        <w:left w:val="none" w:sz="0" w:space="0" w:color="auto"/>
        <w:bottom w:val="none" w:sz="0" w:space="0" w:color="auto"/>
        <w:right w:val="none" w:sz="0" w:space="0" w:color="auto"/>
      </w:divBdr>
    </w:div>
    <w:div w:id="2015959970">
      <w:bodyDiv w:val="1"/>
      <w:marLeft w:val="0"/>
      <w:marRight w:val="0"/>
      <w:marTop w:val="0"/>
      <w:marBottom w:val="0"/>
      <w:divBdr>
        <w:top w:val="none" w:sz="0" w:space="0" w:color="auto"/>
        <w:left w:val="none" w:sz="0" w:space="0" w:color="auto"/>
        <w:bottom w:val="none" w:sz="0" w:space="0" w:color="auto"/>
        <w:right w:val="none" w:sz="0" w:space="0" w:color="auto"/>
      </w:divBdr>
      <w:divsChild>
        <w:div w:id="1942491403">
          <w:marLeft w:val="0"/>
          <w:marRight w:val="0"/>
          <w:marTop w:val="0"/>
          <w:marBottom w:val="0"/>
          <w:divBdr>
            <w:top w:val="none" w:sz="0" w:space="0" w:color="auto"/>
            <w:left w:val="none" w:sz="0" w:space="0" w:color="auto"/>
            <w:bottom w:val="none" w:sz="0" w:space="0" w:color="auto"/>
            <w:right w:val="none" w:sz="0" w:space="0" w:color="auto"/>
          </w:divBdr>
        </w:div>
        <w:div w:id="1290088187">
          <w:marLeft w:val="0"/>
          <w:marRight w:val="0"/>
          <w:marTop w:val="0"/>
          <w:marBottom w:val="0"/>
          <w:divBdr>
            <w:top w:val="none" w:sz="0" w:space="0" w:color="auto"/>
            <w:left w:val="none" w:sz="0" w:space="0" w:color="auto"/>
            <w:bottom w:val="none" w:sz="0" w:space="0" w:color="auto"/>
            <w:right w:val="none" w:sz="0" w:space="0" w:color="auto"/>
          </w:divBdr>
        </w:div>
        <w:div w:id="1219435860">
          <w:marLeft w:val="0"/>
          <w:marRight w:val="0"/>
          <w:marTop w:val="0"/>
          <w:marBottom w:val="0"/>
          <w:divBdr>
            <w:top w:val="none" w:sz="0" w:space="0" w:color="auto"/>
            <w:left w:val="none" w:sz="0" w:space="0" w:color="auto"/>
            <w:bottom w:val="none" w:sz="0" w:space="0" w:color="auto"/>
            <w:right w:val="none" w:sz="0" w:space="0" w:color="auto"/>
          </w:divBdr>
        </w:div>
        <w:div w:id="990210251">
          <w:marLeft w:val="0"/>
          <w:marRight w:val="0"/>
          <w:marTop w:val="0"/>
          <w:marBottom w:val="0"/>
          <w:divBdr>
            <w:top w:val="none" w:sz="0" w:space="0" w:color="auto"/>
            <w:left w:val="none" w:sz="0" w:space="0" w:color="auto"/>
            <w:bottom w:val="none" w:sz="0" w:space="0" w:color="auto"/>
            <w:right w:val="none" w:sz="0" w:space="0" w:color="auto"/>
          </w:divBdr>
        </w:div>
        <w:div w:id="187455307">
          <w:marLeft w:val="0"/>
          <w:marRight w:val="0"/>
          <w:marTop w:val="0"/>
          <w:marBottom w:val="0"/>
          <w:divBdr>
            <w:top w:val="none" w:sz="0" w:space="0" w:color="auto"/>
            <w:left w:val="none" w:sz="0" w:space="0" w:color="auto"/>
            <w:bottom w:val="none" w:sz="0" w:space="0" w:color="auto"/>
            <w:right w:val="none" w:sz="0" w:space="0" w:color="auto"/>
          </w:divBdr>
        </w:div>
        <w:div w:id="677318218">
          <w:marLeft w:val="0"/>
          <w:marRight w:val="0"/>
          <w:marTop w:val="0"/>
          <w:marBottom w:val="0"/>
          <w:divBdr>
            <w:top w:val="none" w:sz="0" w:space="0" w:color="auto"/>
            <w:left w:val="none" w:sz="0" w:space="0" w:color="auto"/>
            <w:bottom w:val="none" w:sz="0" w:space="0" w:color="auto"/>
            <w:right w:val="none" w:sz="0" w:space="0" w:color="auto"/>
          </w:divBdr>
        </w:div>
        <w:div w:id="12541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bag.ca.gov/sites/default/files/documents/2025-05/Guide-to-State-Replacement-Housing-Requirements-0507202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IMANDB!4027028.1</documentid>
  <senderid>NSALEHI</senderid>
  <senderemail>NSALEHI@GOLDFARBLIPMAN.COM</senderemail>
  <lastmodified>2025-07-21T12:58:00.0000000-07:00</lastmodified>
  <database>IMANDB</database>
</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0aae70-5e75-4e82-a163-f68d5251b757">
      <Terms xmlns="http://schemas.microsoft.com/office/infopath/2007/PartnerControls"/>
    </lcf76f155ced4ddcb4097134ff3c332f>
    <TaxCatchAll xmlns="426905ed-eb60-4dee-bae3-1eb4ee59850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DDAED76F72E91499DA2BAE144A033D8" ma:contentTypeVersion="13" ma:contentTypeDescription="Create a new document." ma:contentTypeScope="" ma:versionID="9ae2de525fa43b5cf8f29264ff99f3c8">
  <xsd:schema xmlns:xsd="http://www.w3.org/2001/XMLSchema" xmlns:xs="http://www.w3.org/2001/XMLSchema" xmlns:p="http://schemas.microsoft.com/office/2006/metadata/properties" xmlns:ns2="110aae70-5e75-4e82-a163-f68d5251b757" xmlns:ns3="426905ed-eb60-4dee-bae3-1eb4ee598505" targetNamespace="http://schemas.microsoft.com/office/2006/metadata/properties" ma:root="true" ma:fieldsID="80691c9b8df9b7a1326e04aa00653973" ns2:_="" ns3:_="">
    <xsd:import namespace="110aae70-5e75-4e82-a163-f68d5251b757"/>
    <xsd:import namespace="426905ed-eb60-4dee-bae3-1eb4ee5985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aae70-5e75-4e82-a163-f68d5251b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cd0cb3f-5946-44d7-9d7b-f1ee894f69b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6905ed-eb60-4dee-bae3-1eb4ee59850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14e46b-3444-4573-b909-88614f747180}" ma:internalName="TaxCatchAll" ma:showField="CatchAllData" ma:web="426905ed-eb60-4dee-bae3-1eb4ee598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D6E675-9C2F-4C8E-B3F5-C3292BE9BFE4}">
  <ds:schemaRefs>
    <ds:schemaRef ds:uri="http://www.imanage.com/work/xmlschema"/>
  </ds:schemaRefs>
</ds:datastoreItem>
</file>

<file path=customXml/itemProps2.xml><?xml version="1.0" encoding="utf-8"?>
<ds:datastoreItem xmlns:ds="http://schemas.openxmlformats.org/officeDocument/2006/customXml" ds:itemID="{215B30D5-7721-46D2-9998-0ABCA23029C7}">
  <ds:schemaRefs>
    <ds:schemaRef ds:uri="http://schemas.microsoft.com/office/2006/metadata/properties"/>
    <ds:schemaRef ds:uri="http://schemas.microsoft.com/office/infopath/2007/PartnerControls"/>
    <ds:schemaRef ds:uri="110aae70-5e75-4e82-a163-f68d5251b757"/>
    <ds:schemaRef ds:uri="426905ed-eb60-4dee-bae3-1eb4ee598505"/>
  </ds:schemaRefs>
</ds:datastoreItem>
</file>

<file path=customXml/itemProps3.xml><?xml version="1.0" encoding="utf-8"?>
<ds:datastoreItem xmlns:ds="http://schemas.openxmlformats.org/officeDocument/2006/customXml" ds:itemID="{D6B8D292-7173-46A6-9C53-0DF8268C1030}">
  <ds:schemaRefs>
    <ds:schemaRef ds:uri="http://schemas.openxmlformats.org/officeDocument/2006/bibliography"/>
  </ds:schemaRefs>
</ds:datastoreItem>
</file>

<file path=customXml/itemProps4.xml><?xml version="1.0" encoding="utf-8"?>
<ds:datastoreItem xmlns:ds="http://schemas.openxmlformats.org/officeDocument/2006/customXml" ds:itemID="{3BD3D548-EBBC-4A54-A1DD-983100CC8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aae70-5e75-4e82-a163-f68d5251b757"/>
    <ds:schemaRef ds:uri="426905ed-eb60-4dee-bae3-1eb4ee598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097082-4E3F-4485-9490-5AED5EDE45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1212</Words>
  <Characters>7384</Characters>
  <Application>Microsoft Office Word</Application>
  <DocSecurity>0</DocSecurity>
  <Lines>134</Lines>
  <Paragraphs>87</Paragraphs>
  <ScaleCrop>false</ScaleCrop>
  <HeadingPairs>
    <vt:vector size="2" baseType="variant">
      <vt:variant>
        <vt:lpstr>Title</vt:lpstr>
      </vt:variant>
      <vt:variant>
        <vt:i4>1</vt:i4>
      </vt:variant>
    </vt:vector>
  </HeadingPairs>
  <TitlesOfParts>
    <vt:vector size="1" baseType="lpstr">
      <vt:lpstr>Scope of Services for Third-Party Verification</vt:lpstr>
    </vt:vector>
  </TitlesOfParts>
  <Manager/>
  <Company/>
  <LinksUpToDate>false</LinksUpToDate>
  <CharactersWithSpaces>8509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Services for Third-Party Verification</dc:title>
  <dc:subject/>
  <dc:creator>MTC/ABAG</dc:creator>
  <cp:keywords/>
  <dc:description/>
  <cp:lastModifiedBy>Clair McDevitt</cp:lastModifiedBy>
  <cp:revision>3</cp:revision>
  <dcterms:created xsi:type="dcterms:W3CDTF">2026-03-16T23:49:00Z</dcterms:created>
  <dcterms:modified xsi:type="dcterms:W3CDTF">2026-03-16T23:49:00Z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0x0101004DDAED76F72E91499DA2BAE144A033D8</vt:lpwstr>
  </property>
  <property fmtid="{D5CDD505-2E9C-101B-9397-08002B2CF9AE}" pid="3" name="MediaServiceImageTags">
    <vt:lpwstr/>
  </property>
</Properties>
</file>