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F379" w14:textId="3A62E94A" w:rsidR="00503F8C" w:rsidRPr="00D46F83" w:rsidRDefault="00503F8C" w:rsidP="00503F8C">
      <w:pPr>
        <w:pStyle w:val="Boxedtext"/>
      </w:pPr>
      <w:bookmarkStart w:id="0" w:name="_Hlk115448018"/>
      <w:r w:rsidRPr="6608AE5C">
        <w:rPr>
          <w:b/>
          <w:bCs/>
        </w:rPr>
        <w:t>DISCLAIMER:</w:t>
      </w:r>
      <w:r>
        <w:t xml:space="preserve"> </w:t>
      </w:r>
      <w:bookmarkEnd w:id="0"/>
      <w:r>
        <w:t xml:space="preserve">This document is intended solely as a </w:t>
      </w:r>
      <w:r w:rsidR="002B13AC">
        <w:t>template of required conditions of approval for</w:t>
      </w:r>
      <w:r>
        <w:t xml:space="preserve"> project</w:t>
      </w:r>
      <w:r w:rsidR="00E56D94">
        <w:t>s that</w:t>
      </w:r>
      <w:r>
        <w:t xml:space="preserve"> qualifie</w:t>
      </w:r>
      <w:r w:rsidR="00E56D94">
        <w:t>d</w:t>
      </w:r>
      <w:r>
        <w:t xml:space="preserve"> for an exemption from CEQA as an urban infill housing development per Public Resources Code Section 21080.66. It is not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 </w:t>
      </w:r>
    </w:p>
    <w:p w14:paraId="76C4EECD" w14:textId="63385163" w:rsidR="00BE3458" w:rsidRPr="007A04BF" w:rsidRDefault="004E3CD0" w:rsidP="007A04BF">
      <w:pPr>
        <w:pStyle w:val="Heading1"/>
      </w:pPr>
      <w:r>
        <w:t>[</w:t>
      </w:r>
      <w:r w:rsidRPr="004E3CD0">
        <w:rPr>
          <w:highlight w:val="yellow"/>
        </w:rPr>
        <w:t>TEMPLATE</w:t>
      </w:r>
      <w:r>
        <w:t xml:space="preserve">] </w:t>
      </w:r>
      <w:r w:rsidR="002A5B94" w:rsidRPr="007A04BF">
        <w:t>REQUIRED CONDITIONS OF APPROVAL</w:t>
      </w:r>
      <w:r w:rsidR="00B66547" w:rsidRPr="007A04BF">
        <w:br/>
      </w:r>
      <w:r w:rsidR="002A5B94" w:rsidRPr="007A04BF">
        <w:t>(Public Resources Code Section 21080.66)</w:t>
      </w:r>
    </w:p>
    <w:p w14:paraId="325398B8" w14:textId="0FD78939" w:rsidR="00C44CAB" w:rsidRPr="00BB0BDA" w:rsidRDefault="002A5B94" w:rsidP="00023656">
      <w:pPr>
        <w:pStyle w:val="ListParagraph"/>
      </w:pPr>
      <w:r w:rsidRPr="00023656">
        <w:t>[</w:t>
      </w:r>
      <w:r w:rsidR="007A725E" w:rsidRPr="00023656">
        <w:rPr>
          <w:b/>
          <w:bCs/>
          <w:highlight w:val="yellow"/>
        </w:rPr>
        <w:t>Note:</w:t>
      </w:r>
      <w:r w:rsidR="007A725E" w:rsidRPr="00023656">
        <w:rPr>
          <w:highlight w:val="yellow"/>
        </w:rPr>
        <w:t xml:space="preserve"> Include this provision i</w:t>
      </w:r>
      <w:r w:rsidRPr="00023656">
        <w:rPr>
          <w:highlight w:val="yellow"/>
        </w:rPr>
        <w:t>f there is an enforceable agreement</w:t>
      </w:r>
      <w:r w:rsidR="00D70B6B" w:rsidRPr="007D4DE8">
        <w:rPr>
          <w:highlight w:val="yellow"/>
        </w:rPr>
        <w:t>.</w:t>
      </w:r>
      <w:r w:rsidRPr="00023656">
        <w:t xml:space="preserve">] </w:t>
      </w:r>
      <w:r w:rsidRPr="00BB0BDA">
        <w:t>The terms of the enforceable agreement</w:t>
      </w:r>
      <w:r w:rsidRPr="0048691D">
        <w:rPr>
          <w:rStyle w:val="FootnoteReference"/>
        </w:rPr>
        <w:footnoteReference w:id="1"/>
      </w:r>
      <w:r w:rsidRPr="00BB0BDA">
        <w:t xml:space="preserve"> </w:t>
      </w:r>
      <w:proofErr w:type="gramStart"/>
      <w:r w:rsidRPr="00BB0BDA">
        <w:t>entered into</w:t>
      </w:r>
      <w:proofErr w:type="gramEnd"/>
      <w:r w:rsidRPr="00BB0BDA">
        <w:t xml:space="preserve"> on [</w:t>
      </w:r>
      <w:r w:rsidRPr="00023656">
        <w:rPr>
          <w:highlight w:val="yellow"/>
        </w:rPr>
        <w:t>date</w:t>
      </w:r>
      <w:r w:rsidRPr="00BB0BDA">
        <w:t>] by and among the [</w:t>
      </w:r>
      <w:r w:rsidRPr="00023656">
        <w:rPr>
          <w:highlight w:val="yellow"/>
        </w:rPr>
        <w:t>name of tribe</w:t>
      </w:r>
      <w:r w:rsidRPr="00BB0BDA">
        <w:t>], [</w:t>
      </w:r>
      <w:r w:rsidRPr="00023656">
        <w:rPr>
          <w:highlight w:val="yellow"/>
        </w:rPr>
        <w:t>name of applicant</w:t>
      </w:r>
      <w:r w:rsidRPr="00BB0BDA">
        <w:t>], and [</w:t>
      </w:r>
      <w:r w:rsidRPr="00023656">
        <w:rPr>
          <w:highlight w:val="yellow"/>
        </w:rPr>
        <w:t xml:space="preserve">City/County of </w:t>
      </w:r>
      <w:r w:rsidR="007A725E" w:rsidRPr="00023656">
        <w:rPr>
          <w:highlight w:val="yellow"/>
        </w:rPr>
        <w:t>XX</w:t>
      </w:r>
      <w:r w:rsidRPr="00BB0BDA">
        <w:t xml:space="preserve">] and attached as Exhibit </w:t>
      </w:r>
      <w:r w:rsidR="000512FB" w:rsidRPr="00BB0BDA">
        <w:t>[</w:t>
      </w:r>
      <w:r w:rsidR="000512FB" w:rsidRPr="00023656">
        <w:rPr>
          <w:highlight w:val="yellow"/>
        </w:rPr>
        <w:t>XX</w:t>
      </w:r>
      <w:r w:rsidR="000512FB" w:rsidRPr="00BB0BDA">
        <w:t>]</w:t>
      </w:r>
      <w:r w:rsidRPr="00BB0BDA">
        <w:t xml:space="preserve"> are incorporated into these conditions of approval and are enforceable against the applicant by the </w:t>
      </w:r>
      <w:r w:rsidR="000512FB" w:rsidRPr="00BB0BDA">
        <w:t>[</w:t>
      </w:r>
      <w:r w:rsidRPr="00023656">
        <w:rPr>
          <w:highlight w:val="yellow"/>
        </w:rPr>
        <w:t>City/County</w:t>
      </w:r>
      <w:r w:rsidRPr="00BB0BDA">
        <w:t>] and the [</w:t>
      </w:r>
      <w:r w:rsidRPr="00023656">
        <w:rPr>
          <w:highlight w:val="yellow"/>
        </w:rPr>
        <w:t>name of tribe</w:t>
      </w:r>
      <w:r w:rsidRPr="00BB0BDA">
        <w:t>].</w:t>
      </w:r>
    </w:p>
    <w:p w14:paraId="63A9F42C" w14:textId="3F4B1607" w:rsidR="00C44CAB" w:rsidRPr="00BB0BDA" w:rsidRDefault="00857571" w:rsidP="008869DC">
      <w:pPr>
        <w:pStyle w:val="ListParagraph"/>
      </w:pPr>
      <w:r>
        <w:t>[</w:t>
      </w:r>
      <w:r w:rsidRPr="008869DC">
        <w:rPr>
          <w:b/>
          <w:bCs/>
          <w:highlight w:val="yellow"/>
        </w:rPr>
        <w:t>Note:</w:t>
      </w:r>
      <w:r w:rsidRPr="008869DC">
        <w:rPr>
          <w:highlight w:val="yellow"/>
        </w:rPr>
        <w:t xml:space="preserve"> </w:t>
      </w:r>
      <w:r w:rsidR="30630663" w:rsidRPr="008869DC">
        <w:rPr>
          <w:highlight w:val="yellow"/>
        </w:rPr>
        <w:t>T</w:t>
      </w:r>
      <w:r w:rsidR="41C791E0" w:rsidRPr="008869DC">
        <w:rPr>
          <w:highlight w:val="yellow"/>
        </w:rPr>
        <w:t>he following provisions regarding tribal consultation</w:t>
      </w:r>
      <w:r w:rsidR="62ADFE4A" w:rsidRPr="008869DC">
        <w:rPr>
          <w:highlight w:val="yellow"/>
        </w:rPr>
        <w:t xml:space="preserve"> </w:t>
      </w:r>
      <w:r w:rsidR="18D763DB" w:rsidRPr="008869DC">
        <w:rPr>
          <w:highlight w:val="yellow"/>
        </w:rPr>
        <w:t xml:space="preserve">shall be included </w:t>
      </w:r>
      <w:r w:rsidR="62ADFE4A" w:rsidRPr="008869DC">
        <w:rPr>
          <w:highlight w:val="yellow"/>
        </w:rPr>
        <w:t>unless both the tribe and project proponent agree not to include the measures.</w:t>
      </w:r>
      <w:r w:rsidR="3A915AD4" w:rsidRPr="000D541E">
        <w:t>]</w:t>
      </w:r>
    </w:p>
    <w:p w14:paraId="1561D917" w14:textId="1134787A" w:rsidR="00C44CAB" w:rsidRPr="00BB0BDA" w:rsidRDefault="002A5B94" w:rsidP="008869DC">
      <w:pPr>
        <w:pStyle w:val="ListParagraph"/>
        <w:numPr>
          <w:ilvl w:val="1"/>
          <w:numId w:val="18"/>
        </w:numPr>
      </w:pPr>
      <w:r w:rsidRPr="00023656">
        <w:t xml:space="preserve"> </w:t>
      </w:r>
      <w:r>
        <w:t>The project shall include tribal monitoring during all ground-disturbing activities, as follows:</w:t>
      </w:r>
    </w:p>
    <w:p w14:paraId="13A446FA" w14:textId="77777777" w:rsidR="000A7F5E" w:rsidRPr="00BB0BDA" w:rsidRDefault="002A5B94" w:rsidP="008869DC">
      <w:pPr>
        <w:pStyle w:val="ListParagraph"/>
        <w:numPr>
          <w:ilvl w:val="2"/>
          <w:numId w:val="18"/>
        </w:numPr>
      </w:pPr>
      <w:r w:rsidRPr="00BB0BDA">
        <w:t>The tribe shall designate the monitor.</w:t>
      </w:r>
    </w:p>
    <w:p w14:paraId="5816CF1E" w14:textId="77777777" w:rsidR="000A7F5E" w:rsidRPr="00BB0BDA" w:rsidRDefault="002A5B94" w:rsidP="008869DC">
      <w:pPr>
        <w:pStyle w:val="ListParagraph"/>
        <w:numPr>
          <w:ilvl w:val="2"/>
          <w:numId w:val="18"/>
        </w:numPr>
      </w:pPr>
      <w:r w:rsidRPr="00BB0BDA">
        <w:t>The tribal monitor shall comply with applicant’s site access and workplace safety requirements.</w:t>
      </w:r>
    </w:p>
    <w:p w14:paraId="2BF63312" w14:textId="5B9FA4BD" w:rsidR="00C44CAB" w:rsidRPr="00BB0BDA" w:rsidRDefault="002A5B94" w:rsidP="008869DC">
      <w:pPr>
        <w:pStyle w:val="ListParagraph"/>
        <w:numPr>
          <w:ilvl w:val="2"/>
          <w:numId w:val="18"/>
        </w:numPr>
      </w:pPr>
      <w:r w:rsidRPr="00BB0BDA">
        <w:t xml:space="preserve">The applicant shall compensate the tribal monitor at a reasonable rate, determined in good faith, that aligns with customary compensation for cultural resource monitoring, </w:t>
      </w:r>
      <w:proofErr w:type="gramStart"/>
      <w:r w:rsidRPr="00BB0BDA">
        <w:t>taking into account</w:t>
      </w:r>
      <w:proofErr w:type="gramEnd"/>
      <w:r w:rsidRPr="00BB0BDA">
        <w:t xml:space="preserve"> factors such as the scope and duration of the project.</w:t>
      </w:r>
    </w:p>
    <w:p w14:paraId="118CF849" w14:textId="1FA6EABF" w:rsidR="00C44CAB" w:rsidRPr="00C44CAB" w:rsidRDefault="002A5B94" w:rsidP="008869DC">
      <w:pPr>
        <w:pStyle w:val="ListParagraph"/>
        <w:numPr>
          <w:ilvl w:val="1"/>
          <w:numId w:val="18"/>
        </w:numPr>
      </w:pPr>
      <w:r>
        <w:lastRenderedPageBreak/>
        <w:t>Tribal cultural resources</w:t>
      </w:r>
      <w:r w:rsidR="00CC2A66">
        <w:rPr>
          <w:rStyle w:val="FootnoteReference"/>
        </w:rPr>
        <w:footnoteReference w:id="2"/>
      </w:r>
      <w:r>
        <w:t xml:space="preserve"> shall be avoided where feasible, in accordance with Public Resources Code Section 21084.3</w:t>
      </w:r>
      <w:r w:rsidR="00842B9B">
        <w:t>(a)</w:t>
      </w:r>
      <w:r>
        <w:t>. In furtherance of this requirement, where feasible, the project applicant shall provide deference to tribal preferences regarding access to spiritual, ceremonial, and burial sites, and incorporate tribal traditional knowledge in the protection and sustainable use of tribal cultural resources and landscapes.</w:t>
      </w:r>
    </w:p>
    <w:p w14:paraId="5B0C316A" w14:textId="4801F29A" w:rsidR="00C44CAB" w:rsidRPr="00BB0BDA" w:rsidRDefault="002A5B94" w:rsidP="008869DC">
      <w:pPr>
        <w:pStyle w:val="ListParagraph"/>
        <w:numPr>
          <w:ilvl w:val="1"/>
          <w:numId w:val="18"/>
        </w:numPr>
      </w:pPr>
      <w:r w:rsidRPr="00BB0BDA">
        <w:t>All treatment and documentation of tribal cultural resources shall be conducted in a culturally appropriate manner, consistent with Public Resources Code Section 21083.9.</w:t>
      </w:r>
      <w:r w:rsidRPr="00F25492">
        <w:rPr>
          <w:rStyle w:val="FootnoteReference"/>
        </w:rPr>
        <w:footnoteReference w:id="3"/>
      </w:r>
    </w:p>
    <w:p w14:paraId="4725EAFE" w14:textId="17D8F996" w:rsidR="00C44CAB" w:rsidRPr="00BB0BDA" w:rsidRDefault="002A5B94" w:rsidP="008869DC">
      <w:pPr>
        <w:pStyle w:val="ListParagraph"/>
        <w:numPr>
          <w:ilvl w:val="1"/>
          <w:numId w:val="18"/>
        </w:numPr>
      </w:pPr>
      <w:r w:rsidRPr="00BB0BDA">
        <w:t>Prior to issuance of any construction permit, a California Historical Resources Information System archaeological records search and a tribal cultural records search shall be completed for the project site.</w:t>
      </w:r>
    </w:p>
    <w:p w14:paraId="7A51B789" w14:textId="4AC5DB40" w:rsidR="00C44CAB" w:rsidRPr="00BB0BDA" w:rsidRDefault="002A5B94" w:rsidP="008869DC">
      <w:pPr>
        <w:pStyle w:val="ListParagraph"/>
        <w:numPr>
          <w:ilvl w:val="1"/>
          <w:numId w:val="18"/>
        </w:numPr>
      </w:pPr>
      <w:r w:rsidRPr="00BB0BDA">
        <w:t>Prior to issuance of any construction permit, a Sacred Lands Inventory request shall be submitted to the Native American Heritage Commission.</w:t>
      </w:r>
    </w:p>
    <w:p w14:paraId="54218512" w14:textId="75105E94" w:rsidR="00C44CAB" w:rsidRPr="00BB0BDA" w:rsidRDefault="54C4B01B" w:rsidP="00B82ECA">
      <w:pPr>
        <w:pStyle w:val="ListParagraph"/>
        <w:numPr>
          <w:ilvl w:val="1"/>
          <w:numId w:val="18"/>
        </w:numPr>
      </w:pPr>
      <w:r>
        <w:t>The project shall comply with Health and Safety Code Section 7050.5 and Public Resources Code Section 5097.98, including immediate work stoppage upon discovery of human remains or burial grounds, and treatment in accordance with applicable law and in consultation with the affected California Native American tribe.</w:t>
      </w:r>
    </w:p>
    <w:p w14:paraId="5190D275" w14:textId="3D9B5AFF" w:rsidR="00C44CAB" w:rsidRPr="00BB0BDA" w:rsidRDefault="5B19600E" w:rsidP="00DE0270">
      <w:pPr>
        <w:pStyle w:val="ListParagraph"/>
        <w:numPr>
          <w:ilvl w:val="1"/>
          <w:numId w:val="18"/>
        </w:numPr>
      </w:pPr>
      <w:r>
        <w:t xml:space="preserve">The project shall apply </w:t>
      </w:r>
      <w:r w:rsidR="002A5B94">
        <w:t>tribal ecological knowledge into any habitat restoration efforts undertaken by the project as applicable to the specific environmental context and conditions of the project.</w:t>
      </w:r>
    </w:p>
    <w:p w14:paraId="1CAD8F4A" w14:textId="646BE410" w:rsidR="00C44CAB" w:rsidRPr="00023656" w:rsidRDefault="002A5B94" w:rsidP="00023656">
      <w:pPr>
        <w:pStyle w:val="ListParagraph"/>
      </w:pPr>
      <w:r w:rsidRPr="00023656">
        <w:t xml:space="preserve">Pursuant to Government Code Section 21080.66(c)(1)(A), </w:t>
      </w:r>
      <w:r w:rsidR="2DB322DE">
        <w:t xml:space="preserve">prior to issuance of a building permit, </w:t>
      </w:r>
      <w:r w:rsidRPr="00023656">
        <w:t>the development proponent shall complete a phase I environmental assessment, as defined in Health and Safety Code</w:t>
      </w:r>
      <w:r w:rsidR="00314E1B">
        <w:t xml:space="preserve"> Section 78090</w:t>
      </w:r>
      <w:r w:rsidRPr="00023656">
        <w:t>. If a recognized environmental condition is found, the development proponent shall complete a preliminary endangerment assessment, as defined in Health and Safety Code</w:t>
      </w:r>
      <w:r w:rsidR="00E1186F">
        <w:t xml:space="preserve"> Section 78095</w:t>
      </w:r>
      <w:r w:rsidRPr="00023656">
        <w:t xml:space="preserve">, </w:t>
      </w:r>
      <w:r w:rsidR="2D61658F">
        <w:t xml:space="preserve">prior to issuance of a building permit, </w:t>
      </w:r>
      <w:r w:rsidRPr="00023656">
        <w:t>prepared by an environmental assessor to determine the existence of any release of a hazardous substance on the site and to determine the potential for exposure of future occupants to significant health hazards from any nearby property or activity. If a release of a hazardous substance is found to exist on the site, the release shall be removed, or any effects of the release shall be mitigated to levels required by current federal and state statutory and regulatory standards before the</w:t>
      </w:r>
      <w:r w:rsidR="00F337AB">
        <w:t xml:space="preserve"> [</w:t>
      </w:r>
      <w:r w:rsidR="00F337AB" w:rsidRPr="008B4545">
        <w:rPr>
          <w:highlight w:val="yellow"/>
        </w:rPr>
        <w:t>City/County</w:t>
      </w:r>
      <w:r w:rsidR="00F337AB" w:rsidRPr="008B4545">
        <w:t>]</w:t>
      </w:r>
      <w:r w:rsidR="00F337AB" w:rsidRPr="00023656">
        <w:t xml:space="preserve"> </w:t>
      </w:r>
      <w:r w:rsidRPr="00023656">
        <w:t xml:space="preserve">issues a certificate of occupancy. If a potential for exposure to significant hazards from surrounding properties or activities is found to exist, the effects of the potential exposure shall be mitigated to levels required by current federal and state statutory and regulatory standards before the </w:t>
      </w:r>
      <w:r w:rsidR="5294A649">
        <w:t>[</w:t>
      </w:r>
      <w:r w:rsidR="008B4545" w:rsidRPr="008B4545">
        <w:rPr>
          <w:highlight w:val="yellow"/>
        </w:rPr>
        <w:t>C</w:t>
      </w:r>
      <w:r w:rsidR="5294A649" w:rsidRPr="008B4545">
        <w:rPr>
          <w:highlight w:val="yellow"/>
        </w:rPr>
        <w:t>ity/</w:t>
      </w:r>
      <w:r w:rsidR="008B4545" w:rsidRPr="008B4545">
        <w:rPr>
          <w:highlight w:val="yellow"/>
        </w:rPr>
        <w:t>C</w:t>
      </w:r>
      <w:r w:rsidR="5294A649" w:rsidRPr="008B4545">
        <w:rPr>
          <w:highlight w:val="yellow"/>
        </w:rPr>
        <w:t>ounty</w:t>
      </w:r>
      <w:r w:rsidR="5294A649" w:rsidRPr="008B4545">
        <w:t>]</w:t>
      </w:r>
      <w:r w:rsidRPr="00023656">
        <w:t xml:space="preserve"> issues a certificate of occupancy.</w:t>
      </w:r>
    </w:p>
    <w:p w14:paraId="77839072" w14:textId="5F1F4EF1" w:rsidR="00330FB8" w:rsidRPr="00D6385B" w:rsidRDefault="00330FB8" w:rsidP="00D6385B">
      <w:pPr>
        <w:pStyle w:val="ListParagraph"/>
      </w:pPr>
      <w:r w:rsidRPr="00D6385B">
        <w:t>[</w:t>
      </w:r>
      <w:r w:rsidRPr="00023656">
        <w:rPr>
          <w:b/>
          <w:bCs/>
          <w:highlight w:val="yellow"/>
        </w:rPr>
        <w:t>Note:</w:t>
      </w:r>
      <w:r w:rsidR="00070261" w:rsidRPr="00D6385B">
        <w:rPr>
          <w:highlight w:val="yellow"/>
        </w:rPr>
        <w:t xml:space="preserve"> Include </w:t>
      </w:r>
      <w:r w:rsidR="002A5B94">
        <w:rPr>
          <w:highlight w:val="yellow"/>
        </w:rPr>
        <w:t>this provision if</w:t>
      </w:r>
      <w:r w:rsidR="00070261" w:rsidRPr="00D6385B">
        <w:rPr>
          <w:highlight w:val="yellow"/>
        </w:rPr>
        <w:t xml:space="preserve"> any housing on the site is located within 500 feet of a freeway</w:t>
      </w:r>
      <w:r w:rsidR="00F8737B">
        <w:rPr>
          <w:highlight w:val="yellow"/>
        </w:rPr>
        <w:t>:</w:t>
      </w:r>
      <w:r w:rsidR="00070261" w:rsidRPr="00D6385B">
        <w:t xml:space="preserve">] </w:t>
      </w:r>
      <w:r w:rsidRPr="00D6385B">
        <w:t>The following shall apply to any building containing residential units within 500 feet of a freeway:</w:t>
      </w:r>
    </w:p>
    <w:p w14:paraId="0D496492" w14:textId="77777777" w:rsidR="00330FB8" w:rsidRPr="00D6385B" w:rsidRDefault="00330FB8" w:rsidP="00D6385B">
      <w:pPr>
        <w:pStyle w:val="ListParagraph"/>
        <w:numPr>
          <w:ilvl w:val="1"/>
          <w:numId w:val="18"/>
        </w:numPr>
      </w:pPr>
      <w:r w:rsidRPr="00D6385B">
        <w:t>The building shall have a centralized heating, ventilation, and air-conditioning system.</w:t>
      </w:r>
    </w:p>
    <w:p w14:paraId="53A3F1F4" w14:textId="77777777" w:rsidR="00330FB8" w:rsidRPr="00D6385B" w:rsidRDefault="00330FB8" w:rsidP="00D6385B">
      <w:pPr>
        <w:pStyle w:val="ListParagraph"/>
        <w:numPr>
          <w:ilvl w:val="1"/>
          <w:numId w:val="18"/>
        </w:numPr>
      </w:pPr>
      <w:r w:rsidRPr="00D6385B">
        <w:t>The outdoor air intakes for the heating, ventilation, and air-conditioning system shall face away from the freeway.</w:t>
      </w:r>
    </w:p>
    <w:p w14:paraId="53861154" w14:textId="77777777" w:rsidR="00330FB8" w:rsidRPr="00D6385B" w:rsidRDefault="00330FB8" w:rsidP="00D6385B">
      <w:pPr>
        <w:pStyle w:val="ListParagraph"/>
        <w:numPr>
          <w:ilvl w:val="1"/>
          <w:numId w:val="18"/>
        </w:numPr>
      </w:pPr>
      <w:r w:rsidRPr="00D6385B">
        <w:t>The building shall provide air filtration media for outside and return air that provides a minimum efficiency reporting value of 16.</w:t>
      </w:r>
    </w:p>
    <w:p w14:paraId="5953AEBD" w14:textId="77777777" w:rsidR="00330FB8" w:rsidRPr="00D6385B" w:rsidRDefault="00330FB8" w:rsidP="00D6385B">
      <w:pPr>
        <w:pStyle w:val="ListParagraph"/>
        <w:numPr>
          <w:ilvl w:val="1"/>
          <w:numId w:val="18"/>
        </w:numPr>
      </w:pPr>
      <w:r w:rsidRPr="00D6385B">
        <w:t>The air filtration media shall be replaced at the manufacturer’s designated interval.</w:t>
      </w:r>
    </w:p>
    <w:p w14:paraId="22EFF15E" w14:textId="4E560FE8" w:rsidR="00330FB8" w:rsidRDefault="00330FB8" w:rsidP="00330FB8">
      <w:pPr>
        <w:pStyle w:val="ListParagraph"/>
        <w:numPr>
          <w:ilvl w:val="1"/>
          <w:numId w:val="18"/>
        </w:numPr>
      </w:pPr>
      <w:r w:rsidRPr="00D6385B">
        <w:t>The building shall not have any balconies facing the freeway.</w:t>
      </w:r>
    </w:p>
    <w:p w14:paraId="18A12517" w14:textId="3E8EA8F1" w:rsidR="00C44CAB" w:rsidRPr="00023656" w:rsidRDefault="002A5B94" w:rsidP="00023656">
      <w:pPr>
        <w:pStyle w:val="ListParagraph"/>
      </w:pPr>
      <w:r w:rsidRPr="00023656">
        <w:t xml:space="preserve">The labor standards of </w:t>
      </w:r>
      <w:r w:rsidR="001C2175">
        <w:t xml:space="preserve">Government Code </w:t>
      </w:r>
      <w:r w:rsidRPr="00023656">
        <w:t>Section 65913.4</w:t>
      </w:r>
      <w:r w:rsidR="001C2175">
        <w:t>(a)(8)</w:t>
      </w:r>
      <w:r w:rsidRPr="00023656">
        <w:t xml:space="preserve"> shall apply to buildings over 85 feet in height above grade. </w:t>
      </w:r>
    </w:p>
    <w:p w14:paraId="1E502A6C" w14:textId="1FAB7323" w:rsidR="002F025D" w:rsidRPr="00023656" w:rsidRDefault="002A5B94" w:rsidP="00023656">
      <w:pPr>
        <w:pStyle w:val="ListParagraph"/>
      </w:pPr>
      <w:r w:rsidRPr="00023656">
        <w:t>[</w:t>
      </w:r>
      <w:r w:rsidR="00451B41" w:rsidRPr="00023656">
        <w:rPr>
          <w:b/>
          <w:bCs/>
          <w:highlight w:val="yellow"/>
        </w:rPr>
        <w:t>Note:</w:t>
      </w:r>
      <w:r w:rsidR="00451B41" w:rsidRPr="00023656">
        <w:rPr>
          <w:highlight w:val="yellow"/>
        </w:rPr>
        <w:t xml:space="preserve"> Include i</w:t>
      </w:r>
      <w:r w:rsidRPr="00023656">
        <w:rPr>
          <w:highlight w:val="yellow"/>
        </w:rPr>
        <w:t>f 100% of units are dedicated to lower</w:t>
      </w:r>
      <w:r w:rsidR="00A12A37">
        <w:rPr>
          <w:highlight w:val="yellow"/>
        </w:rPr>
        <w:t>-</w:t>
      </w:r>
      <w:r w:rsidRPr="00023656">
        <w:rPr>
          <w:highlight w:val="yellow"/>
        </w:rPr>
        <w:t>income households</w:t>
      </w:r>
      <w:r w:rsidR="00727BD1">
        <w:rPr>
          <w:highlight w:val="yellow"/>
        </w:rPr>
        <w:t>.</w:t>
      </w:r>
      <w:r w:rsidRPr="00023656">
        <w:t xml:space="preserve">] </w:t>
      </w:r>
      <w:r w:rsidR="00E03A65" w:rsidRPr="00023656">
        <w:t>All construction workers employed in the execution of the project shall be paid at least the general prevailing rate of per diem wages for the type of work and geographic area, as determined by the Director of Industrial Relations pursuant to Labor Code</w:t>
      </w:r>
      <w:r w:rsidR="00680109">
        <w:t xml:space="preserve"> Sections </w:t>
      </w:r>
      <w:r w:rsidR="00680109" w:rsidRPr="00FE626D">
        <w:t>1773 and 1773.9</w:t>
      </w:r>
      <w:r w:rsidR="00E03A65" w:rsidRPr="00023656">
        <w:t>, except that apprentices registered in programs approved by the Chief of the Division of Apprenticeship Standards may be paid at least the applicable apprentice prevailing rate, regardless of whether the housing development project is a public work.</w:t>
      </w:r>
    </w:p>
    <w:p w14:paraId="2BF88841" w14:textId="31E98E31" w:rsidR="00BE3458" w:rsidRPr="000C2E58" w:rsidRDefault="002A5B94" w:rsidP="000C2E58">
      <w:pPr>
        <w:pStyle w:val="ListParagraph"/>
      </w:pPr>
      <w:r w:rsidRPr="000C2E58">
        <w:t>The provisions of Labor Code</w:t>
      </w:r>
      <w:r w:rsidR="00AD3A98" w:rsidRPr="000C2E58">
        <w:t xml:space="preserve"> Section 218.8</w:t>
      </w:r>
      <w:r w:rsidRPr="000C2E58">
        <w:t xml:space="preserve"> shall extend to the development proponent in addition to the direct contractor or subcontractor.</w:t>
      </w:r>
      <w:r w:rsidR="004631C1" w:rsidRPr="000C2E58">
        <w:t xml:space="preserve"> </w:t>
      </w:r>
      <w:r w:rsidR="000C2E58">
        <w:t xml:space="preserve">Development proponent </w:t>
      </w:r>
      <w:r w:rsidR="004631C1" w:rsidRPr="000C2E58">
        <w:t xml:space="preserve">means a developer </w:t>
      </w:r>
      <w:r w:rsidR="006573B9">
        <w:t>who</w:t>
      </w:r>
      <w:r w:rsidR="004631C1" w:rsidRPr="000C2E58">
        <w:t xml:space="preserve"> submits a housing development project application to a local government under the streamlined, ministerial review process</w:t>
      </w:r>
      <w:r w:rsidR="006573B9">
        <w:t xml:space="preserve"> </w:t>
      </w:r>
      <w:r w:rsidR="00410ADF">
        <w:t>pursuant to</w:t>
      </w:r>
      <w:r w:rsidR="002176B0">
        <w:t xml:space="preserve"> </w:t>
      </w:r>
      <w:r w:rsidR="002176B0" w:rsidRPr="002176B0">
        <w:t>Public Resources Code Section 21080.66</w:t>
      </w:r>
      <w:r w:rsidR="002176B0">
        <w:t>.</w:t>
      </w:r>
      <w:r w:rsidR="00410ADF">
        <w:t xml:space="preserve"> </w:t>
      </w:r>
      <w:r w:rsidRPr="000C2E58">
        <w:t xml:space="preserve"> The development proponent for this project is </w:t>
      </w:r>
      <w:r w:rsidR="002F025D" w:rsidRPr="000C2E58">
        <w:t>[</w:t>
      </w:r>
      <w:r w:rsidR="002F025D" w:rsidRPr="000C2E58">
        <w:rPr>
          <w:highlight w:val="yellow"/>
        </w:rPr>
        <w:t>name</w:t>
      </w:r>
      <w:r w:rsidR="002F025D" w:rsidRPr="000C2E58">
        <w:t>]</w:t>
      </w:r>
      <w:r w:rsidRPr="000C2E58">
        <w:t xml:space="preserve">. </w:t>
      </w:r>
    </w:p>
    <w:sectPr w:rsidR="00BE3458" w:rsidRPr="000C2E58" w:rsidSect="00023656">
      <w:headerReference w:type="default" r:id="rId11"/>
      <w:footerReference w:type="even" r:id="rId12"/>
      <w:footerReference w:type="default" r:id="rId13"/>
      <w:footerReference w:type="first" r:id="rId14"/>
      <w:pgSz w:w="12240" w:h="15840"/>
      <w:pgMar w:top="1440" w:right="1440" w:bottom="1440" w:left="1440"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F686" w14:textId="77777777" w:rsidR="005606D3" w:rsidRDefault="005606D3">
      <w:r>
        <w:separator/>
      </w:r>
    </w:p>
  </w:endnote>
  <w:endnote w:type="continuationSeparator" w:id="0">
    <w:p w14:paraId="106FE0B4" w14:textId="77777777" w:rsidR="005606D3" w:rsidRDefault="0056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5ba45693-7aef-41eb-8ecc-a986" w:displacedByCustomXml="next"/>
  <w:sdt>
    <w:sdtPr>
      <w:rPr>
        <w:rStyle w:val="PageNumber"/>
      </w:rPr>
      <w:id w:val="-2096169332"/>
      <w:docPartObj>
        <w:docPartGallery w:val="Page Numbers (Bottom of Page)"/>
        <w:docPartUnique/>
      </w:docPartObj>
    </w:sdtPr>
    <w:sdtContent>
      <w:p w14:paraId="1FC5ACFF" w14:textId="43482384" w:rsidR="0025222F" w:rsidRDefault="0025222F" w:rsidP="000236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FE670C" w14:textId="77777777" w:rsidR="00BE3458" w:rsidRDefault="002A5B94" w:rsidP="00023656">
    <w:pPr>
      <w:pStyle w:val="DocID"/>
      <w:ind w:right="360"/>
    </w:pPr>
    <w:r>
      <w:t>2089\03\4069834.1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743373"/>
      <w:docPartObj>
        <w:docPartGallery w:val="Page Numbers (Bottom of Page)"/>
        <w:docPartUnique/>
      </w:docPartObj>
    </w:sdtPr>
    <w:sdtEndPr>
      <w:rPr>
        <w:rStyle w:val="DefaultParagraphFont"/>
      </w:rPr>
    </w:sdtEndPr>
    <w:sdtContent>
      <w:p w14:paraId="2B682E5A" w14:textId="653B155E" w:rsidR="0025222F" w:rsidRPr="00D74F20" w:rsidRDefault="0025222F" w:rsidP="00023656">
        <w:pPr>
          <w:jc w:val="right"/>
        </w:pPr>
        <w:r w:rsidRPr="00023656">
          <w:fldChar w:fldCharType="begin"/>
        </w:r>
        <w:r w:rsidRPr="00023656">
          <w:instrText xml:space="preserve"> PAGE </w:instrText>
        </w:r>
        <w:r w:rsidRPr="00023656">
          <w:fldChar w:fldCharType="separate"/>
        </w:r>
        <w:r w:rsidRPr="00023656">
          <w:t>3</w:t>
        </w:r>
        <w:r w:rsidRPr="0002365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5057" w14:textId="6AD052D0" w:rsidR="00BE3458" w:rsidRDefault="00BE345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7330" w14:textId="77777777" w:rsidR="005606D3" w:rsidRDefault="005606D3" w:rsidP="00092CC2">
      <w:r>
        <w:separator/>
      </w:r>
    </w:p>
  </w:footnote>
  <w:footnote w:type="continuationSeparator" w:id="0">
    <w:p w14:paraId="3C2A3680" w14:textId="77777777" w:rsidR="005606D3" w:rsidRDefault="005606D3" w:rsidP="00092CC2">
      <w:r>
        <w:continuationSeparator/>
      </w:r>
    </w:p>
  </w:footnote>
  <w:footnote w:id="1">
    <w:p w14:paraId="77DB937A" w14:textId="0FFF3A91" w:rsidR="00C44CAB" w:rsidRDefault="002A5B94">
      <w:pPr>
        <w:pStyle w:val="FootnoteText"/>
      </w:pPr>
      <w:r>
        <w:rPr>
          <w:rStyle w:val="FootnoteReference"/>
        </w:rPr>
        <w:footnoteRef/>
      </w:r>
      <w:r>
        <w:t xml:space="preserve"> An “enforceable agreement” means an agreement between the city or county, applicant, and an</w:t>
      </w:r>
      <w:r w:rsidR="000A7F5E">
        <w:t>y</w:t>
      </w:r>
      <w:r>
        <w:t xml:space="preserve"> California Native American tribe that has engaged in consultation regarding the methods, measures, and conditions</w:t>
      </w:r>
      <w:r w:rsidR="000A7F5E">
        <w:t xml:space="preserve"> for tribal cultural resources identification, treatment, and protection, including consideration of avoidance. Compliance with the agreement is a required condition of approval, and its terms must be enforceable against the application by both the [</w:t>
      </w:r>
      <w:r w:rsidR="000A7F5E" w:rsidRPr="00023656">
        <w:rPr>
          <w:highlight w:val="yellow"/>
        </w:rPr>
        <w:t>City/County</w:t>
      </w:r>
      <w:r w:rsidR="000A7F5E">
        <w:t>] and the [</w:t>
      </w:r>
      <w:r w:rsidR="000A7F5E" w:rsidRPr="00023656">
        <w:rPr>
          <w:highlight w:val="yellow"/>
        </w:rPr>
        <w:t>name of tribe</w:t>
      </w:r>
      <w:r w:rsidR="000A7F5E">
        <w:t>]. (Public Resources Code Section 21080.66(b)(5)(B).)</w:t>
      </w:r>
    </w:p>
  </w:footnote>
  <w:footnote w:id="2">
    <w:p w14:paraId="1A5B50B3" w14:textId="2CDEB019" w:rsidR="00A70B01" w:rsidRDefault="00CC2A66" w:rsidP="008869DC">
      <w:pPr>
        <w:pStyle w:val="FootnoteText"/>
      </w:pPr>
      <w:r>
        <w:rPr>
          <w:rStyle w:val="FootnoteReference"/>
        </w:rPr>
        <w:footnoteRef/>
      </w:r>
      <w:r>
        <w:t xml:space="preserve"> </w:t>
      </w:r>
      <w:r w:rsidR="009E56D9">
        <w:t xml:space="preserve">Per </w:t>
      </w:r>
      <w:r w:rsidR="009E56D9" w:rsidRPr="009E56D9">
        <w:t>Public Resources Code Section 21074(a)</w:t>
      </w:r>
      <w:r w:rsidR="009E56D9">
        <w:t xml:space="preserve">, </w:t>
      </w:r>
      <w:r w:rsidR="00A70B01">
        <w:t>“</w:t>
      </w:r>
      <w:r w:rsidR="009E56D9">
        <w:t>t</w:t>
      </w:r>
      <w:r w:rsidR="00A70B01">
        <w:t>ribal cultural resources” are either of the following:</w:t>
      </w:r>
    </w:p>
    <w:p w14:paraId="25DBF99A" w14:textId="21D271D4" w:rsidR="00A70B01" w:rsidRDefault="00A70B01" w:rsidP="008869DC">
      <w:pPr>
        <w:pStyle w:val="ListParagraph"/>
      </w:pPr>
      <w:r>
        <w:t>Sites, features, places, cultural landscapes, sacred places, and objects with cultural value to a California Native American tribe that are either of the following:</w:t>
      </w:r>
    </w:p>
    <w:p w14:paraId="300EF770" w14:textId="55625742" w:rsidR="00A70B01" w:rsidRDefault="00A70B01" w:rsidP="008869DC">
      <w:pPr>
        <w:pStyle w:val="ListParagraph"/>
        <w:numPr>
          <w:ilvl w:val="1"/>
          <w:numId w:val="18"/>
        </w:numPr>
      </w:pPr>
      <w:r>
        <w:t>Included or determined to be eligible for inclusion in the California Register of Historical Resources.</w:t>
      </w:r>
    </w:p>
    <w:p w14:paraId="61885A68" w14:textId="4C1A70CA" w:rsidR="00CC2A66" w:rsidRDefault="00A70B01" w:rsidP="00AE0BFE">
      <w:pPr>
        <w:pStyle w:val="ListParagraph"/>
        <w:numPr>
          <w:ilvl w:val="1"/>
          <w:numId w:val="18"/>
        </w:numPr>
      </w:pPr>
      <w:r>
        <w:t xml:space="preserve">Included in a local register of historical resources as defined in </w:t>
      </w:r>
      <w:r w:rsidR="004E2705">
        <w:t xml:space="preserve">Public Resources Code </w:t>
      </w:r>
      <w:r>
        <w:t>Section 5020.1</w:t>
      </w:r>
      <w:r w:rsidR="004E2705">
        <w:t>(k)</w:t>
      </w:r>
      <w:r>
        <w:t>.</w:t>
      </w:r>
    </w:p>
    <w:p w14:paraId="5BEEFE35" w14:textId="27842184" w:rsidR="00B3014D" w:rsidRDefault="00D24089" w:rsidP="00AE0BFE">
      <w:pPr>
        <w:pStyle w:val="ListParagraph"/>
      </w:pPr>
      <w:r w:rsidRPr="00D24089">
        <w:t xml:space="preserve">A resource determined by the lead agency, in its discretion and supported by substantial evidence, to be significant pursuant to criteria set forth in </w:t>
      </w:r>
      <w:r w:rsidR="004E2705">
        <w:t>Public Resources Code</w:t>
      </w:r>
      <w:r w:rsidRPr="00D24089">
        <w:t xml:space="preserve"> Section 5024.1</w:t>
      </w:r>
      <w:r w:rsidR="004E2705">
        <w:t>(c)</w:t>
      </w:r>
      <w:r w:rsidRPr="00D24089">
        <w:t>. In applying the criteria set forth in Section 5024.1</w:t>
      </w:r>
      <w:r w:rsidR="003E6448">
        <w:t>(c)</w:t>
      </w:r>
      <w:r w:rsidRPr="00D24089">
        <w:t xml:space="preserve"> for the purposes of this paragraph, the lead agency shall consider the significance of the resource to a California Native American tribe.</w:t>
      </w:r>
      <w:r w:rsidR="004E2705">
        <w:t xml:space="preserve"> </w:t>
      </w:r>
    </w:p>
    <w:p w14:paraId="4DA7941C" w14:textId="6F8BAF72" w:rsidR="00F00D7A" w:rsidRDefault="00F00D7A" w:rsidP="00F00D7A">
      <w:r>
        <w:t xml:space="preserve">Public Resources Code </w:t>
      </w:r>
      <w:r w:rsidRPr="00D24089">
        <w:t>Section 5024.1</w:t>
      </w:r>
      <w:r>
        <w:t>(c) provides that a resource may be listed as an historical resource in the California Register if it meets any of the following National Register of Historic Places criteria:</w:t>
      </w:r>
    </w:p>
    <w:p w14:paraId="30E9C61F" w14:textId="77777777" w:rsidR="00F00D7A" w:rsidRDefault="00F00D7A" w:rsidP="00F00D7A"/>
    <w:p w14:paraId="1163403D" w14:textId="77777777" w:rsidR="00F00D7A" w:rsidRDefault="00F00D7A" w:rsidP="00F00D7A">
      <w:pPr>
        <w:pStyle w:val="ListParagraph"/>
        <w:numPr>
          <w:ilvl w:val="0"/>
          <w:numId w:val="20"/>
        </w:numPr>
      </w:pPr>
      <w:r>
        <w:t>Is associated with events that have made a significant contribution to the broad patterns of California’s history and cultural heritage.</w:t>
      </w:r>
    </w:p>
    <w:p w14:paraId="468FE3BF" w14:textId="77777777" w:rsidR="00F00D7A" w:rsidRDefault="00F00D7A" w:rsidP="00F00D7A">
      <w:pPr>
        <w:pStyle w:val="ListParagraph"/>
        <w:numPr>
          <w:ilvl w:val="0"/>
          <w:numId w:val="20"/>
        </w:numPr>
      </w:pPr>
      <w:r>
        <w:t>Is associated with the lives of persons important in our past.</w:t>
      </w:r>
    </w:p>
    <w:p w14:paraId="53DF29C4" w14:textId="77777777" w:rsidR="00F00D7A" w:rsidRDefault="00F00D7A" w:rsidP="00F00D7A">
      <w:pPr>
        <w:pStyle w:val="ListParagraph"/>
        <w:numPr>
          <w:ilvl w:val="0"/>
          <w:numId w:val="20"/>
        </w:numPr>
      </w:pPr>
      <w:r>
        <w:t>Embodies the distinctive characteristics of a type, period, region, or method of construction, or represents the work of an important creative individual, or possesses high artistic values.</w:t>
      </w:r>
    </w:p>
    <w:p w14:paraId="55BC1127" w14:textId="2F40613D" w:rsidR="00AE0BFE" w:rsidRDefault="00F00D7A" w:rsidP="008869DC">
      <w:pPr>
        <w:pStyle w:val="ListParagraph"/>
        <w:numPr>
          <w:ilvl w:val="0"/>
          <w:numId w:val="20"/>
        </w:numPr>
      </w:pPr>
      <w:r>
        <w:t>Has yielded, or may be likely to yield, information important in prehistory or history.</w:t>
      </w:r>
    </w:p>
    <w:p w14:paraId="459F4F43" w14:textId="77777777" w:rsidR="00F00D7A" w:rsidRDefault="00F00D7A" w:rsidP="008869DC"/>
  </w:footnote>
  <w:footnote w:id="3">
    <w:p w14:paraId="326C661A" w14:textId="3AED1C4A" w:rsidR="002F025D" w:rsidRDefault="002A5B94">
      <w:pPr>
        <w:pStyle w:val="FootnoteText"/>
      </w:pPr>
      <w:r>
        <w:rPr>
          <w:rStyle w:val="FootnoteReference"/>
        </w:rPr>
        <w:footnoteRef/>
      </w:r>
      <w:r>
        <w:t xml:space="preserve"> </w:t>
      </w:r>
      <w:r w:rsidR="005D70EB">
        <w:t>[</w:t>
      </w:r>
      <w:r w:rsidR="005D70EB" w:rsidRPr="00023656">
        <w:rPr>
          <w:b/>
          <w:bCs/>
          <w:highlight w:val="yellow"/>
        </w:rPr>
        <w:t>Note:</w:t>
      </w:r>
      <w:r w:rsidR="005D70EB" w:rsidRPr="00023656">
        <w:rPr>
          <w:highlight w:val="yellow"/>
        </w:rPr>
        <w:t xml:space="preserve"> </w:t>
      </w:r>
      <w:r w:rsidRPr="00023656">
        <w:rPr>
          <w:highlight w:val="yellow"/>
        </w:rPr>
        <w:t>This appears to be the wrong code section. It is not clear what section was intended.</w:t>
      </w:r>
      <w:r w:rsidR="005D70E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901" w14:textId="371533AA" w:rsidR="00D74F20" w:rsidRDefault="00D74F20">
    <w:pPr>
      <w:pStyle w:val="Header"/>
    </w:pPr>
    <w:r w:rsidRPr="007A04BF">
      <w:t>REQUIRED CONDITIONS OF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3477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9030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80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9EF4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E07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98A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CA67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821C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603E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5A6E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C4B"/>
    <w:multiLevelType w:val="multilevel"/>
    <w:tmpl w:val="730AB868"/>
    <w:styleLink w:val="CurrentList1"/>
    <w:lvl w:ilvl="0">
      <w:start w:val="1"/>
      <w:numFmt w:val="decimal"/>
      <w:lvlText w:val="%1."/>
      <w:lvlJc w:val="left"/>
      <w:pPr>
        <w:ind w:left="720" w:hanging="360"/>
      </w:pPr>
      <w:rPr>
        <w:rFonts w:hint="default"/>
      </w:rPr>
    </w:lvl>
    <w:lvl w:ilvl="1">
      <w:start w:val="1"/>
      <w:numFmt w:val="lowerLetter"/>
      <w:lvlText w:val="%2."/>
      <w:lvlJc w:val="left"/>
      <w:pPr>
        <w:ind w:left="360" w:hanging="360"/>
      </w:pPr>
    </w:lvl>
    <w:lvl w:ilvl="2">
      <w:start w:val="1"/>
      <w:numFmt w:val="lowerLetter"/>
      <w:lvlText w:val="%3."/>
      <w:lvlJc w:val="right"/>
      <w:pPr>
        <w:ind w:left="990" w:hanging="180"/>
      </w:pPr>
      <w:rPr>
        <w:rFonts w:ascii="Garamond" w:eastAsia="Times New Roman"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4A2E3C"/>
    <w:multiLevelType w:val="hybridMultilevel"/>
    <w:tmpl w:val="71F2C16A"/>
    <w:lvl w:ilvl="0" w:tplc="5114F7AA">
      <w:start w:val="1"/>
      <w:numFmt w:val="decimal"/>
      <w:lvlText w:val="%1."/>
      <w:lvlJc w:val="left"/>
      <w:pPr>
        <w:ind w:left="720" w:hanging="360"/>
      </w:pPr>
      <w:rPr>
        <w:color w:val="auto"/>
      </w:rPr>
    </w:lvl>
    <w:lvl w:ilvl="1" w:tplc="BBE01FD8">
      <w:start w:val="1"/>
      <w:numFmt w:val="lowerLetter"/>
      <w:lvlText w:val="%2."/>
      <w:lvlJc w:val="left"/>
      <w:pPr>
        <w:ind w:left="1440" w:hanging="360"/>
      </w:pPr>
    </w:lvl>
    <w:lvl w:ilvl="2" w:tplc="EE549728">
      <w:start w:val="1"/>
      <w:numFmt w:val="lowerRoman"/>
      <w:lvlText w:val="%3."/>
      <w:lvlJc w:val="right"/>
      <w:pPr>
        <w:ind w:left="2160" w:hanging="180"/>
      </w:pPr>
    </w:lvl>
    <w:lvl w:ilvl="3" w:tplc="5D3E9FB0" w:tentative="1">
      <w:start w:val="1"/>
      <w:numFmt w:val="decimal"/>
      <w:lvlText w:val="%4."/>
      <w:lvlJc w:val="left"/>
      <w:pPr>
        <w:ind w:left="2880" w:hanging="360"/>
      </w:pPr>
    </w:lvl>
    <w:lvl w:ilvl="4" w:tplc="C39E0934" w:tentative="1">
      <w:start w:val="1"/>
      <w:numFmt w:val="lowerLetter"/>
      <w:lvlText w:val="%5."/>
      <w:lvlJc w:val="left"/>
      <w:pPr>
        <w:ind w:left="3600" w:hanging="360"/>
      </w:pPr>
    </w:lvl>
    <w:lvl w:ilvl="5" w:tplc="5E1A6956" w:tentative="1">
      <w:start w:val="1"/>
      <w:numFmt w:val="lowerRoman"/>
      <w:lvlText w:val="%6."/>
      <w:lvlJc w:val="right"/>
      <w:pPr>
        <w:ind w:left="4320" w:hanging="180"/>
      </w:pPr>
    </w:lvl>
    <w:lvl w:ilvl="6" w:tplc="683E9942" w:tentative="1">
      <w:start w:val="1"/>
      <w:numFmt w:val="decimal"/>
      <w:lvlText w:val="%7."/>
      <w:lvlJc w:val="left"/>
      <w:pPr>
        <w:ind w:left="5040" w:hanging="360"/>
      </w:pPr>
    </w:lvl>
    <w:lvl w:ilvl="7" w:tplc="11BCDDB4" w:tentative="1">
      <w:start w:val="1"/>
      <w:numFmt w:val="lowerLetter"/>
      <w:lvlText w:val="%8."/>
      <w:lvlJc w:val="left"/>
      <w:pPr>
        <w:ind w:left="5760" w:hanging="360"/>
      </w:pPr>
    </w:lvl>
    <w:lvl w:ilvl="8" w:tplc="FD6482C6" w:tentative="1">
      <w:start w:val="1"/>
      <w:numFmt w:val="lowerRoman"/>
      <w:lvlText w:val="%9."/>
      <w:lvlJc w:val="right"/>
      <w:pPr>
        <w:ind w:left="6480" w:hanging="180"/>
      </w:pPr>
    </w:lvl>
  </w:abstractNum>
  <w:abstractNum w:abstractNumId="12"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8A4A5F"/>
    <w:multiLevelType w:val="hybridMultilevel"/>
    <w:tmpl w:val="730AB868"/>
    <w:lvl w:ilvl="0" w:tplc="9CBEB12A">
      <w:start w:val="1"/>
      <w:numFmt w:val="decimal"/>
      <w:lvlText w:val="%1."/>
      <w:lvlJc w:val="left"/>
      <w:pPr>
        <w:ind w:left="720" w:hanging="360"/>
      </w:pPr>
      <w:rPr>
        <w:rFonts w:hint="default"/>
      </w:rPr>
    </w:lvl>
    <w:lvl w:ilvl="1" w:tplc="4242374C">
      <w:start w:val="1"/>
      <w:numFmt w:val="lowerLetter"/>
      <w:lvlText w:val="%2."/>
      <w:lvlJc w:val="left"/>
      <w:pPr>
        <w:ind w:left="360" w:hanging="360"/>
      </w:pPr>
    </w:lvl>
    <w:lvl w:ilvl="2" w:tplc="C8E0D178">
      <w:start w:val="1"/>
      <w:numFmt w:val="lowerLetter"/>
      <w:lvlText w:val="%3."/>
      <w:lvlJc w:val="right"/>
      <w:pPr>
        <w:ind w:left="990" w:hanging="180"/>
      </w:pPr>
      <w:rPr>
        <w:rFonts w:ascii="Garamond" w:eastAsia="Times New Roman" w:hAnsi="Garamond" w:cs="Times New Roman"/>
      </w:rPr>
    </w:lvl>
    <w:lvl w:ilvl="3" w:tplc="A02AE7A2" w:tentative="1">
      <w:start w:val="1"/>
      <w:numFmt w:val="decimal"/>
      <w:lvlText w:val="%4."/>
      <w:lvlJc w:val="left"/>
      <w:pPr>
        <w:ind w:left="2880" w:hanging="360"/>
      </w:pPr>
    </w:lvl>
    <w:lvl w:ilvl="4" w:tplc="CE90F4EC" w:tentative="1">
      <w:start w:val="1"/>
      <w:numFmt w:val="lowerLetter"/>
      <w:lvlText w:val="%5."/>
      <w:lvlJc w:val="left"/>
      <w:pPr>
        <w:ind w:left="3600" w:hanging="360"/>
      </w:pPr>
    </w:lvl>
    <w:lvl w:ilvl="5" w:tplc="BD480AA8" w:tentative="1">
      <w:start w:val="1"/>
      <w:numFmt w:val="lowerRoman"/>
      <w:lvlText w:val="%6."/>
      <w:lvlJc w:val="right"/>
      <w:pPr>
        <w:ind w:left="4320" w:hanging="180"/>
      </w:pPr>
    </w:lvl>
    <w:lvl w:ilvl="6" w:tplc="0A90B9AA" w:tentative="1">
      <w:start w:val="1"/>
      <w:numFmt w:val="decimal"/>
      <w:lvlText w:val="%7."/>
      <w:lvlJc w:val="left"/>
      <w:pPr>
        <w:ind w:left="5040" w:hanging="360"/>
      </w:pPr>
    </w:lvl>
    <w:lvl w:ilvl="7" w:tplc="52D06506" w:tentative="1">
      <w:start w:val="1"/>
      <w:numFmt w:val="lowerLetter"/>
      <w:lvlText w:val="%8."/>
      <w:lvlJc w:val="left"/>
      <w:pPr>
        <w:ind w:left="5760" w:hanging="360"/>
      </w:pPr>
    </w:lvl>
    <w:lvl w:ilvl="8" w:tplc="F6A82E68" w:tentative="1">
      <w:start w:val="1"/>
      <w:numFmt w:val="lowerRoman"/>
      <w:lvlText w:val="%9."/>
      <w:lvlJc w:val="right"/>
      <w:pPr>
        <w:ind w:left="6480" w:hanging="180"/>
      </w:pPr>
    </w:lvl>
  </w:abstractNum>
  <w:abstractNum w:abstractNumId="14" w15:restartNumberingAfterBreak="0">
    <w:nsid w:val="7A1C5D4B"/>
    <w:multiLevelType w:val="multilevel"/>
    <w:tmpl w:val="41A82A14"/>
    <w:lvl w:ilvl="0">
      <w:start w:val="1"/>
      <w:numFmt w:val="decimal"/>
      <w:pStyle w:val="ListParagraph"/>
      <w:lvlText w:val="%1."/>
      <w:lvlJc w:val="left"/>
      <w:pPr>
        <w:ind w:left="360" w:hanging="360"/>
      </w:pPr>
      <w:rPr>
        <w:rFonts w:ascii="Calibri" w:hAnsi="Calibri" w:hint="default"/>
        <w:b w:val="0"/>
        <w:i w:val="0"/>
        <w:sz w:val="24"/>
      </w:rPr>
    </w:lvl>
    <w:lvl w:ilvl="1">
      <w:start w:val="1"/>
      <w:numFmt w:val="lowerLetter"/>
      <w:lvlText w:val="%2."/>
      <w:lvlJc w:val="left"/>
      <w:pPr>
        <w:ind w:left="720" w:hanging="360"/>
      </w:pPr>
      <w:rPr>
        <w:rFonts w:ascii="Calibri" w:hAnsi="Calibri" w:hint="default"/>
        <w:b w:val="0"/>
        <w:i w:val="0"/>
        <w:sz w:val="24"/>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15205906">
    <w:abstractNumId w:val="12"/>
  </w:num>
  <w:num w:numId="2" w16cid:durableId="642151970">
    <w:abstractNumId w:val="12"/>
  </w:num>
  <w:num w:numId="3" w16cid:durableId="93207470">
    <w:abstractNumId w:val="12"/>
  </w:num>
  <w:num w:numId="4" w16cid:durableId="848913697">
    <w:abstractNumId w:val="12"/>
  </w:num>
  <w:num w:numId="5" w16cid:durableId="1594439325">
    <w:abstractNumId w:val="12"/>
  </w:num>
  <w:num w:numId="6" w16cid:durableId="755519039">
    <w:abstractNumId w:val="9"/>
  </w:num>
  <w:num w:numId="7" w16cid:durableId="546994280">
    <w:abstractNumId w:val="7"/>
  </w:num>
  <w:num w:numId="8" w16cid:durableId="1445031775">
    <w:abstractNumId w:val="6"/>
  </w:num>
  <w:num w:numId="9" w16cid:durableId="1459029345">
    <w:abstractNumId w:val="5"/>
  </w:num>
  <w:num w:numId="10" w16cid:durableId="826825571">
    <w:abstractNumId w:val="4"/>
  </w:num>
  <w:num w:numId="11" w16cid:durableId="317660696">
    <w:abstractNumId w:val="8"/>
  </w:num>
  <w:num w:numId="12" w16cid:durableId="476184782">
    <w:abstractNumId w:val="3"/>
  </w:num>
  <w:num w:numId="13" w16cid:durableId="949895421">
    <w:abstractNumId w:val="2"/>
  </w:num>
  <w:num w:numId="14" w16cid:durableId="98259886">
    <w:abstractNumId w:val="1"/>
  </w:num>
  <w:num w:numId="15" w16cid:durableId="2113089643">
    <w:abstractNumId w:val="0"/>
  </w:num>
  <w:num w:numId="16" w16cid:durableId="397820994">
    <w:abstractNumId w:val="11"/>
  </w:num>
  <w:num w:numId="17" w16cid:durableId="1151949024">
    <w:abstractNumId w:val="13"/>
  </w:num>
  <w:num w:numId="18" w16cid:durableId="1443303674">
    <w:abstractNumId w:val="14"/>
  </w:num>
  <w:num w:numId="19" w16cid:durableId="360864390">
    <w:abstractNumId w:val="10"/>
  </w:num>
  <w:num w:numId="20" w16cid:durableId="350760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58"/>
    <w:rsid w:val="00023656"/>
    <w:rsid w:val="00045849"/>
    <w:rsid w:val="000512FB"/>
    <w:rsid w:val="00056AA2"/>
    <w:rsid w:val="00070261"/>
    <w:rsid w:val="00084889"/>
    <w:rsid w:val="00092CC2"/>
    <w:rsid w:val="000A581B"/>
    <w:rsid w:val="000A7F5E"/>
    <w:rsid w:val="000B4033"/>
    <w:rsid w:val="000C0EF2"/>
    <w:rsid w:val="000C2E58"/>
    <w:rsid w:val="000D045F"/>
    <w:rsid w:val="000D541E"/>
    <w:rsid w:val="000F3F47"/>
    <w:rsid w:val="001114FD"/>
    <w:rsid w:val="00165A61"/>
    <w:rsid w:val="00183621"/>
    <w:rsid w:val="0019217D"/>
    <w:rsid w:val="001A0E75"/>
    <w:rsid w:val="001B067E"/>
    <w:rsid w:val="001C2175"/>
    <w:rsid w:val="001E6DD7"/>
    <w:rsid w:val="002176B0"/>
    <w:rsid w:val="00232C52"/>
    <w:rsid w:val="0025222F"/>
    <w:rsid w:val="002770AF"/>
    <w:rsid w:val="00294D08"/>
    <w:rsid w:val="002A5B94"/>
    <w:rsid w:val="002A6A9B"/>
    <w:rsid w:val="002B13AC"/>
    <w:rsid w:val="002C00B0"/>
    <w:rsid w:val="002C12F8"/>
    <w:rsid w:val="002C353F"/>
    <w:rsid w:val="002D15DC"/>
    <w:rsid w:val="002F025D"/>
    <w:rsid w:val="00306504"/>
    <w:rsid w:val="00314E1B"/>
    <w:rsid w:val="00330FB8"/>
    <w:rsid w:val="003542D7"/>
    <w:rsid w:val="003A3496"/>
    <w:rsid w:val="003D431B"/>
    <w:rsid w:val="003E6448"/>
    <w:rsid w:val="003F7056"/>
    <w:rsid w:val="00410ADF"/>
    <w:rsid w:val="0043573C"/>
    <w:rsid w:val="00445034"/>
    <w:rsid w:val="00451B41"/>
    <w:rsid w:val="00453B69"/>
    <w:rsid w:val="00460D5E"/>
    <w:rsid w:val="004631C1"/>
    <w:rsid w:val="0048691D"/>
    <w:rsid w:val="004A3368"/>
    <w:rsid w:val="004C60CD"/>
    <w:rsid w:val="004E08EB"/>
    <w:rsid w:val="004E2705"/>
    <w:rsid w:val="004E3CD0"/>
    <w:rsid w:val="004E6BBD"/>
    <w:rsid w:val="00501A87"/>
    <w:rsid w:val="00503F8C"/>
    <w:rsid w:val="0053553C"/>
    <w:rsid w:val="005606D3"/>
    <w:rsid w:val="00590851"/>
    <w:rsid w:val="005C076C"/>
    <w:rsid w:val="005D42DC"/>
    <w:rsid w:val="005D70EB"/>
    <w:rsid w:val="005E1569"/>
    <w:rsid w:val="006053AF"/>
    <w:rsid w:val="006427B5"/>
    <w:rsid w:val="006573B9"/>
    <w:rsid w:val="00680109"/>
    <w:rsid w:val="006F5332"/>
    <w:rsid w:val="0071009C"/>
    <w:rsid w:val="00710CE6"/>
    <w:rsid w:val="00727BD1"/>
    <w:rsid w:val="00730453"/>
    <w:rsid w:val="007335AD"/>
    <w:rsid w:val="00734015"/>
    <w:rsid w:val="007A04BF"/>
    <w:rsid w:val="007A725E"/>
    <w:rsid w:val="007B0675"/>
    <w:rsid w:val="007C38D5"/>
    <w:rsid w:val="007D4DE8"/>
    <w:rsid w:val="0080379B"/>
    <w:rsid w:val="008337FC"/>
    <w:rsid w:val="00842B9B"/>
    <w:rsid w:val="008447E2"/>
    <w:rsid w:val="00857571"/>
    <w:rsid w:val="00861B9C"/>
    <w:rsid w:val="00877C3D"/>
    <w:rsid w:val="008869DC"/>
    <w:rsid w:val="008A5A33"/>
    <w:rsid w:val="008B4545"/>
    <w:rsid w:val="008B76D8"/>
    <w:rsid w:val="00906F39"/>
    <w:rsid w:val="00925E5A"/>
    <w:rsid w:val="00973490"/>
    <w:rsid w:val="00974609"/>
    <w:rsid w:val="00981710"/>
    <w:rsid w:val="009870D0"/>
    <w:rsid w:val="009B022E"/>
    <w:rsid w:val="009B0945"/>
    <w:rsid w:val="009E1D8A"/>
    <w:rsid w:val="009E56D9"/>
    <w:rsid w:val="00A12A37"/>
    <w:rsid w:val="00A20B45"/>
    <w:rsid w:val="00A41DF4"/>
    <w:rsid w:val="00A45AF3"/>
    <w:rsid w:val="00A65BDB"/>
    <w:rsid w:val="00A70B01"/>
    <w:rsid w:val="00A75264"/>
    <w:rsid w:val="00AD3A98"/>
    <w:rsid w:val="00AE0BFE"/>
    <w:rsid w:val="00B11182"/>
    <w:rsid w:val="00B168C7"/>
    <w:rsid w:val="00B20EA5"/>
    <w:rsid w:val="00B3014D"/>
    <w:rsid w:val="00B64613"/>
    <w:rsid w:val="00B66547"/>
    <w:rsid w:val="00B82ECA"/>
    <w:rsid w:val="00BB0BDA"/>
    <w:rsid w:val="00BC02E8"/>
    <w:rsid w:val="00BD3B1D"/>
    <w:rsid w:val="00BE3458"/>
    <w:rsid w:val="00C35EA7"/>
    <w:rsid w:val="00C44CAB"/>
    <w:rsid w:val="00C51C37"/>
    <w:rsid w:val="00CC2A66"/>
    <w:rsid w:val="00CD3857"/>
    <w:rsid w:val="00CE12BC"/>
    <w:rsid w:val="00CE606B"/>
    <w:rsid w:val="00CF201A"/>
    <w:rsid w:val="00D051D8"/>
    <w:rsid w:val="00D24089"/>
    <w:rsid w:val="00D24829"/>
    <w:rsid w:val="00D263A7"/>
    <w:rsid w:val="00D37906"/>
    <w:rsid w:val="00D51C45"/>
    <w:rsid w:val="00D6385B"/>
    <w:rsid w:val="00D70B6B"/>
    <w:rsid w:val="00D74F20"/>
    <w:rsid w:val="00D87C25"/>
    <w:rsid w:val="00D87FE0"/>
    <w:rsid w:val="00D9182B"/>
    <w:rsid w:val="00DD47BC"/>
    <w:rsid w:val="00DE0270"/>
    <w:rsid w:val="00E03A65"/>
    <w:rsid w:val="00E1186F"/>
    <w:rsid w:val="00E25750"/>
    <w:rsid w:val="00E31608"/>
    <w:rsid w:val="00E472C6"/>
    <w:rsid w:val="00E56D94"/>
    <w:rsid w:val="00E75142"/>
    <w:rsid w:val="00E755FD"/>
    <w:rsid w:val="00EC1E11"/>
    <w:rsid w:val="00EC3CD5"/>
    <w:rsid w:val="00ED5E38"/>
    <w:rsid w:val="00EE34FF"/>
    <w:rsid w:val="00F00D7A"/>
    <w:rsid w:val="00F15506"/>
    <w:rsid w:val="00F179BA"/>
    <w:rsid w:val="00F25492"/>
    <w:rsid w:val="00F25B36"/>
    <w:rsid w:val="00F337AB"/>
    <w:rsid w:val="00F377AA"/>
    <w:rsid w:val="00F47278"/>
    <w:rsid w:val="00F473EA"/>
    <w:rsid w:val="00F8737B"/>
    <w:rsid w:val="00FC148D"/>
    <w:rsid w:val="00FC5E60"/>
    <w:rsid w:val="00FD1EC1"/>
    <w:rsid w:val="0AA77C2E"/>
    <w:rsid w:val="0C62B8C8"/>
    <w:rsid w:val="18D763DB"/>
    <w:rsid w:val="22AC0406"/>
    <w:rsid w:val="23600D2B"/>
    <w:rsid w:val="2A91F9CD"/>
    <w:rsid w:val="2BB4F19C"/>
    <w:rsid w:val="2D61658F"/>
    <w:rsid w:val="2D66DC4D"/>
    <w:rsid w:val="2DB322DE"/>
    <w:rsid w:val="2EFBAD56"/>
    <w:rsid w:val="30630663"/>
    <w:rsid w:val="3A915AD4"/>
    <w:rsid w:val="3DB86E52"/>
    <w:rsid w:val="41C791E0"/>
    <w:rsid w:val="4A379B34"/>
    <w:rsid w:val="4F93D586"/>
    <w:rsid w:val="5294A649"/>
    <w:rsid w:val="538AB866"/>
    <w:rsid w:val="54C4B01B"/>
    <w:rsid w:val="59BBAE7C"/>
    <w:rsid w:val="5B19600E"/>
    <w:rsid w:val="62ADFE4A"/>
    <w:rsid w:val="6608AE5C"/>
    <w:rsid w:val="73653273"/>
    <w:rsid w:val="79D9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18EC9"/>
  <w15:chartTrackingRefBased/>
  <w15:docId w15:val="{715BA737-F9AE-4B4A-AD36-DEB534B0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31B"/>
    <w:rPr>
      <w:rFonts w:asciiTheme="minorHAnsi" w:hAnsiTheme="minorHAnsi"/>
      <w:sz w:val="24"/>
      <w:szCs w:val="24"/>
    </w:rPr>
  </w:style>
  <w:style w:type="paragraph" w:styleId="Heading1">
    <w:name w:val="heading 1"/>
    <w:basedOn w:val="Normal"/>
    <w:link w:val="Heading1Char"/>
    <w:qFormat/>
    <w:rsid w:val="007A04BF"/>
    <w:pPr>
      <w:spacing w:after="240"/>
      <w:jc w:val="center"/>
      <w:outlineLvl w:val="0"/>
    </w:pPr>
    <w:rPr>
      <w:rFonts w:cstheme="minorHAnsi"/>
      <w:b/>
      <w:bCs/>
      <w:kern w:val="28"/>
      <w:sz w:val="32"/>
      <w:szCs w:val="32"/>
    </w:rPr>
  </w:style>
  <w:style w:type="paragraph" w:styleId="Heading2">
    <w:name w:val="heading 2"/>
    <w:basedOn w:val="Normal"/>
    <w:link w:val="Heading2Char"/>
    <w:qFormat/>
    <w:rsid w:val="0080379B"/>
    <w:pPr>
      <w:numPr>
        <w:ilvl w:val="1"/>
        <w:numId w:val="5"/>
      </w:numPr>
      <w:spacing w:after="240"/>
      <w:outlineLvl w:val="1"/>
    </w:pPr>
  </w:style>
  <w:style w:type="paragraph" w:styleId="Heading3">
    <w:name w:val="heading 3"/>
    <w:basedOn w:val="Normal"/>
    <w:link w:val="Heading3Char"/>
    <w:qFormat/>
    <w:rsid w:val="0080379B"/>
    <w:pPr>
      <w:numPr>
        <w:ilvl w:val="2"/>
        <w:numId w:val="5"/>
      </w:numPr>
      <w:spacing w:after="240"/>
      <w:outlineLvl w:val="2"/>
    </w:pPr>
  </w:style>
  <w:style w:type="paragraph" w:styleId="Heading4">
    <w:name w:val="heading 4"/>
    <w:basedOn w:val="Normal"/>
    <w:link w:val="Heading4Char"/>
    <w:qFormat/>
    <w:rsid w:val="0080379B"/>
    <w:pPr>
      <w:numPr>
        <w:ilvl w:val="3"/>
        <w:numId w:val="5"/>
      </w:numPr>
      <w:spacing w:after="240"/>
      <w:outlineLvl w:val="3"/>
    </w:pPr>
  </w:style>
  <w:style w:type="paragraph" w:styleId="Heading5">
    <w:name w:val="heading 5"/>
    <w:basedOn w:val="Normal"/>
    <w:link w:val="Heading5Char"/>
    <w:qFormat/>
    <w:rsid w:val="0080379B"/>
    <w:pPr>
      <w:numPr>
        <w:ilvl w:val="4"/>
        <w:numId w:val="5"/>
      </w:numPr>
      <w:spacing w:after="240"/>
      <w:outlineLvl w:val="4"/>
    </w:pPr>
  </w:style>
  <w:style w:type="paragraph" w:styleId="Heading6">
    <w:name w:val="heading 6"/>
    <w:basedOn w:val="Normal"/>
    <w:next w:val="Normal"/>
    <w:link w:val="Heading6Char"/>
    <w:semiHidden/>
    <w:unhideWhenUsed/>
    <w:qFormat/>
    <w:rsid w:val="00BE34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E34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E34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E34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79B"/>
    <w:pPr>
      <w:spacing w:after="240"/>
    </w:pPr>
  </w:style>
  <w:style w:type="character" w:customStyle="1" w:styleId="BodyTextChar">
    <w:name w:val="Body Text Char"/>
    <w:basedOn w:val="DefaultParagraphFont"/>
    <w:link w:val="BodyText"/>
    <w:rsid w:val="0080379B"/>
    <w:rPr>
      <w:sz w:val="24"/>
      <w:szCs w:val="24"/>
    </w:rPr>
  </w:style>
  <w:style w:type="paragraph" w:styleId="Footer">
    <w:name w:val="footer"/>
    <w:basedOn w:val="Normal"/>
    <w:link w:val="FooterChar"/>
    <w:rsid w:val="0080379B"/>
    <w:pPr>
      <w:tabs>
        <w:tab w:val="center" w:pos="4680"/>
        <w:tab w:val="right" w:pos="9360"/>
      </w:tabs>
    </w:pPr>
  </w:style>
  <w:style w:type="character" w:customStyle="1" w:styleId="FooterChar">
    <w:name w:val="Footer Char"/>
    <w:basedOn w:val="DefaultParagraphFont"/>
    <w:link w:val="Footer"/>
    <w:rsid w:val="0080379B"/>
    <w:rPr>
      <w:sz w:val="24"/>
      <w:szCs w:val="24"/>
    </w:rPr>
  </w:style>
  <w:style w:type="paragraph" w:styleId="Header">
    <w:name w:val="header"/>
    <w:basedOn w:val="Normal"/>
    <w:link w:val="HeaderChar"/>
    <w:rsid w:val="0080379B"/>
    <w:pPr>
      <w:tabs>
        <w:tab w:val="center" w:pos="4680"/>
        <w:tab w:val="right" w:pos="9360"/>
      </w:tabs>
    </w:pPr>
  </w:style>
  <w:style w:type="character" w:customStyle="1" w:styleId="HeaderChar">
    <w:name w:val="Header Char"/>
    <w:basedOn w:val="DefaultParagraphFont"/>
    <w:link w:val="Header"/>
    <w:rsid w:val="0080379B"/>
    <w:rPr>
      <w:sz w:val="24"/>
      <w:szCs w:val="24"/>
    </w:rPr>
  </w:style>
  <w:style w:type="character" w:customStyle="1" w:styleId="Heading1Char">
    <w:name w:val="Heading 1 Char"/>
    <w:basedOn w:val="DefaultParagraphFont"/>
    <w:link w:val="Heading1"/>
    <w:rsid w:val="007A04BF"/>
    <w:rPr>
      <w:rFonts w:asciiTheme="minorHAnsi" w:hAnsiTheme="minorHAnsi" w:cstheme="minorHAnsi"/>
      <w:b/>
      <w:bCs/>
      <w:kern w:val="28"/>
      <w:sz w:val="32"/>
      <w:szCs w:val="32"/>
    </w:rPr>
  </w:style>
  <w:style w:type="character" w:customStyle="1" w:styleId="Heading2Char">
    <w:name w:val="Heading 2 Char"/>
    <w:basedOn w:val="DefaultParagraphFont"/>
    <w:link w:val="Heading2"/>
    <w:rsid w:val="0080379B"/>
    <w:rPr>
      <w:sz w:val="24"/>
      <w:szCs w:val="24"/>
    </w:rPr>
  </w:style>
  <w:style w:type="character" w:customStyle="1" w:styleId="Heading3Char">
    <w:name w:val="Heading 3 Char"/>
    <w:basedOn w:val="DefaultParagraphFont"/>
    <w:link w:val="Heading3"/>
    <w:rsid w:val="0080379B"/>
    <w:rPr>
      <w:sz w:val="24"/>
      <w:szCs w:val="24"/>
    </w:rPr>
  </w:style>
  <w:style w:type="character" w:customStyle="1" w:styleId="Heading4Char">
    <w:name w:val="Heading 4 Char"/>
    <w:basedOn w:val="DefaultParagraphFont"/>
    <w:link w:val="Heading4"/>
    <w:rsid w:val="0080379B"/>
    <w:rPr>
      <w:sz w:val="24"/>
      <w:szCs w:val="24"/>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character" w:customStyle="1" w:styleId="Heading6Char">
    <w:name w:val="Heading 6 Char"/>
    <w:basedOn w:val="DefaultParagraphFont"/>
    <w:link w:val="Heading6"/>
    <w:semiHidden/>
    <w:rsid w:val="00BE345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E345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345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3458"/>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BE34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E34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34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458"/>
    <w:rPr>
      <w:i/>
      <w:iCs/>
      <w:color w:val="404040" w:themeColor="text1" w:themeTint="BF"/>
      <w:sz w:val="24"/>
      <w:szCs w:val="24"/>
    </w:rPr>
  </w:style>
  <w:style w:type="paragraph" w:styleId="ListParagraph">
    <w:name w:val="List Paragraph"/>
    <w:basedOn w:val="Normal"/>
    <w:uiPriority w:val="34"/>
    <w:qFormat/>
    <w:rsid w:val="00BB0BDA"/>
    <w:pPr>
      <w:numPr>
        <w:numId w:val="18"/>
      </w:numPr>
      <w:snapToGrid w:val="0"/>
      <w:spacing w:after="240" w:line="276" w:lineRule="auto"/>
    </w:pPr>
  </w:style>
  <w:style w:type="character" w:styleId="IntenseEmphasis">
    <w:name w:val="Intense Emphasis"/>
    <w:basedOn w:val="DefaultParagraphFont"/>
    <w:uiPriority w:val="21"/>
    <w:qFormat/>
    <w:rsid w:val="00BE3458"/>
    <w:rPr>
      <w:i/>
      <w:iCs/>
      <w:color w:val="365F91" w:themeColor="accent1" w:themeShade="BF"/>
    </w:rPr>
  </w:style>
  <w:style w:type="paragraph" w:styleId="IntenseQuote">
    <w:name w:val="Intense Quote"/>
    <w:basedOn w:val="Normal"/>
    <w:next w:val="Normal"/>
    <w:link w:val="IntenseQuoteChar"/>
    <w:uiPriority w:val="30"/>
    <w:qFormat/>
    <w:rsid w:val="00BE34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3458"/>
    <w:rPr>
      <w:i/>
      <w:iCs/>
      <w:color w:val="365F91" w:themeColor="accent1" w:themeShade="BF"/>
      <w:sz w:val="24"/>
      <w:szCs w:val="24"/>
    </w:rPr>
  </w:style>
  <w:style w:type="character" w:styleId="IntenseReference">
    <w:name w:val="Intense Reference"/>
    <w:basedOn w:val="DefaultParagraphFont"/>
    <w:uiPriority w:val="32"/>
    <w:qFormat/>
    <w:rsid w:val="00BE3458"/>
    <w:rPr>
      <w:b/>
      <w:bCs/>
      <w:smallCaps/>
      <w:color w:val="365F91" w:themeColor="accent1" w:themeShade="BF"/>
      <w:spacing w:val="5"/>
    </w:rPr>
  </w:style>
  <w:style w:type="paragraph" w:customStyle="1" w:styleId="DocID">
    <w:name w:val="DocID"/>
    <w:basedOn w:val="Footer"/>
    <w:next w:val="Footer"/>
    <w:link w:val="DocIDChar"/>
    <w:rsid w:val="00BE3458"/>
    <w:pPr>
      <w:tabs>
        <w:tab w:val="clear" w:pos="4680"/>
        <w:tab w:val="clear" w:pos="9360"/>
      </w:tabs>
    </w:pPr>
    <w:rPr>
      <w:rFonts w:ascii="Times New Roman" w:hAnsi="Times New Roman"/>
      <w:sz w:val="16"/>
      <w:szCs w:val="20"/>
    </w:rPr>
  </w:style>
  <w:style w:type="character" w:customStyle="1" w:styleId="DocIDChar">
    <w:name w:val="DocID Char"/>
    <w:basedOn w:val="DefaultParagraphFont"/>
    <w:link w:val="DocID"/>
    <w:rsid w:val="00BE3458"/>
    <w:rPr>
      <w:sz w:val="16"/>
      <w:lang w:val="en-US" w:eastAsia="en-US"/>
    </w:rPr>
  </w:style>
  <w:style w:type="paragraph" w:styleId="FootnoteText">
    <w:name w:val="footnote text"/>
    <w:basedOn w:val="Normal"/>
    <w:link w:val="FootnoteTextChar"/>
    <w:semiHidden/>
    <w:unhideWhenUsed/>
    <w:rsid w:val="00B20EA5"/>
    <w:pPr>
      <w:spacing w:after="120" w:line="276" w:lineRule="auto"/>
    </w:pPr>
    <w:rPr>
      <w:szCs w:val="20"/>
    </w:rPr>
  </w:style>
  <w:style w:type="character" w:customStyle="1" w:styleId="FootnoteTextChar">
    <w:name w:val="Footnote Text Char"/>
    <w:basedOn w:val="DefaultParagraphFont"/>
    <w:link w:val="FootnoteText"/>
    <w:semiHidden/>
    <w:rsid w:val="00B20EA5"/>
    <w:rPr>
      <w:rFonts w:asciiTheme="minorHAnsi" w:hAnsiTheme="minorHAnsi"/>
      <w:sz w:val="24"/>
    </w:rPr>
  </w:style>
  <w:style w:type="character" w:styleId="FootnoteReference">
    <w:name w:val="footnote reference"/>
    <w:basedOn w:val="DefaultParagraphFont"/>
    <w:semiHidden/>
    <w:unhideWhenUsed/>
    <w:rsid w:val="00C44CAB"/>
    <w:rPr>
      <w:vertAlign w:val="superscript"/>
    </w:rPr>
  </w:style>
  <w:style w:type="paragraph" w:customStyle="1" w:styleId="Boxedtext">
    <w:name w:val="Boxed text"/>
    <w:basedOn w:val="Normal"/>
    <w:qFormat/>
    <w:rsid w:val="00183621"/>
    <w:pPr>
      <w:pBdr>
        <w:top w:val="single" w:sz="4" w:space="1" w:color="auto"/>
        <w:left w:val="single" w:sz="4" w:space="4" w:color="auto"/>
        <w:bottom w:val="single" w:sz="4" w:space="1" w:color="auto"/>
        <w:right w:val="single" w:sz="4" w:space="4" w:color="auto"/>
      </w:pBdr>
      <w:spacing w:after="240" w:line="276" w:lineRule="auto"/>
      <w:contextualSpacing/>
    </w:pPr>
    <w:rPr>
      <w:rFonts w:ascii="Calibri" w:eastAsiaTheme="minorHAnsi" w:hAnsi="Calibri" w:cs="Calibri"/>
      <w:szCs w:val="22"/>
    </w:rPr>
  </w:style>
  <w:style w:type="paragraph" w:styleId="Revision">
    <w:name w:val="Revision"/>
    <w:hidden/>
    <w:uiPriority w:val="99"/>
    <w:semiHidden/>
    <w:rsid w:val="007A725E"/>
    <w:rPr>
      <w:rFonts w:ascii="Garamond" w:hAnsi="Garamond"/>
      <w:sz w:val="24"/>
      <w:szCs w:val="24"/>
    </w:rPr>
  </w:style>
  <w:style w:type="numbering" w:customStyle="1" w:styleId="CurrentList1">
    <w:name w:val="Current List1"/>
    <w:uiPriority w:val="99"/>
    <w:rsid w:val="00BB0BDA"/>
    <w:pPr>
      <w:numPr>
        <w:numId w:val="19"/>
      </w:numPr>
    </w:pPr>
  </w:style>
  <w:style w:type="character" w:styleId="CommentReference">
    <w:name w:val="annotation reference"/>
    <w:basedOn w:val="DefaultParagraphFont"/>
    <w:semiHidden/>
    <w:unhideWhenUsed/>
    <w:rsid w:val="00EC3CD5"/>
    <w:rPr>
      <w:sz w:val="16"/>
      <w:szCs w:val="16"/>
    </w:rPr>
  </w:style>
  <w:style w:type="paragraph" w:styleId="CommentText">
    <w:name w:val="annotation text"/>
    <w:basedOn w:val="Normal"/>
    <w:link w:val="CommentTextChar"/>
    <w:unhideWhenUsed/>
    <w:rsid w:val="00EC3CD5"/>
    <w:rPr>
      <w:sz w:val="20"/>
      <w:szCs w:val="20"/>
    </w:rPr>
  </w:style>
  <w:style w:type="character" w:customStyle="1" w:styleId="CommentTextChar">
    <w:name w:val="Comment Text Char"/>
    <w:basedOn w:val="DefaultParagraphFont"/>
    <w:link w:val="CommentText"/>
    <w:rsid w:val="00EC3CD5"/>
    <w:rPr>
      <w:rFonts w:ascii="Garamond" w:hAnsi="Garamond"/>
    </w:rPr>
  </w:style>
  <w:style w:type="paragraph" w:styleId="CommentSubject">
    <w:name w:val="annotation subject"/>
    <w:basedOn w:val="CommentText"/>
    <w:next w:val="CommentText"/>
    <w:link w:val="CommentSubjectChar"/>
    <w:semiHidden/>
    <w:unhideWhenUsed/>
    <w:rsid w:val="00EC3CD5"/>
    <w:rPr>
      <w:b/>
      <w:bCs/>
    </w:rPr>
  </w:style>
  <w:style w:type="character" w:customStyle="1" w:styleId="CommentSubjectChar">
    <w:name w:val="Comment Subject Char"/>
    <w:basedOn w:val="CommentTextChar"/>
    <w:link w:val="CommentSubject"/>
    <w:semiHidden/>
    <w:rsid w:val="00EC3CD5"/>
    <w:rPr>
      <w:rFonts w:ascii="Garamond" w:hAnsi="Garamond"/>
      <w:b/>
      <w:bCs/>
    </w:rPr>
  </w:style>
  <w:style w:type="character" w:styleId="PageNumber">
    <w:name w:val="page number"/>
    <w:basedOn w:val="DefaultParagraphFont"/>
    <w:semiHidden/>
    <w:unhideWhenUsed/>
    <w:rsid w:val="0025222F"/>
  </w:style>
  <w:style w:type="character" w:styleId="Mention">
    <w:name w:val="Mention"/>
    <w:basedOn w:val="DefaultParagraphFont"/>
    <w:uiPriority w:val="99"/>
    <w:unhideWhenUsed/>
    <w:rsid w:val="008A5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399B7-359E-4060-BB26-3C32A79F3B16}">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2.xml><?xml version="1.0" encoding="utf-8"?>
<ds:datastoreItem xmlns:ds="http://schemas.openxmlformats.org/officeDocument/2006/customXml" ds:itemID="{34FD93FD-B3AC-4CD3-84CE-8F461ABB9EC1}">
  <ds:schemaRefs>
    <ds:schemaRef ds:uri="http://schemas.microsoft.com/sharepoint/v3/contenttype/forms"/>
  </ds:schemaRefs>
</ds:datastoreItem>
</file>

<file path=customXml/itemProps3.xml><?xml version="1.0" encoding="utf-8"?>
<ds:datastoreItem xmlns:ds="http://schemas.openxmlformats.org/officeDocument/2006/customXml" ds:itemID="{2532296F-48D2-534F-A860-73C9DE0A7585}">
  <ds:schemaRefs>
    <ds:schemaRef ds:uri="http://schemas.openxmlformats.org/officeDocument/2006/bibliography"/>
  </ds:schemaRefs>
</ds:datastoreItem>
</file>

<file path=customXml/itemProps4.xml><?xml version="1.0" encoding="utf-8"?>
<ds:datastoreItem xmlns:ds="http://schemas.openxmlformats.org/officeDocument/2006/customXml" ds:itemID="{678F3FCA-8A08-4DD2-A96F-3A9979B1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930</Words>
  <Characters>5303</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Conditions of Approval for Project Receiving Urban Infill Housing Development CEQA Exemption</dc:title>
  <dc:subject/>
  <dc:creator>Regional Housing Technical Assistance Program</dc:creator>
  <cp:keywords/>
  <dc:description/>
  <cp:lastModifiedBy>Clair A. McDevitt</cp:lastModifiedBy>
  <cp:revision>4</cp:revision>
  <dcterms:created xsi:type="dcterms:W3CDTF">2025-12-08T23:41:00Z</dcterms:created>
  <dcterms:modified xsi:type="dcterms:W3CDTF">2025-12-08T23:42:00Z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