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E8F1D0" w14:textId="07B3AB73" w:rsidR="00BD7095" w:rsidRDefault="002E0973" w:rsidP="004A4294">
      <w:pPr>
        <w:pStyle w:val="Heading1"/>
      </w:pPr>
      <w:r w:rsidRPr="00F433B0">
        <w:rPr>
          <w:noProof/>
        </w:rPr>
        <w:drawing>
          <wp:anchor distT="0" distB="0" distL="114300" distR="114300" simplePos="0" relativeHeight="251658240" behindDoc="1" locked="0" layoutInCell="1" allowOverlap="1" wp14:anchorId="2F188429" wp14:editId="1FE2476C">
            <wp:simplePos x="0" y="0"/>
            <wp:positionH relativeFrom="margin">
              <wp:posOffset>-228600</wp:posOffset>
            </wp:positionH>
            <wp:positionV relativeFrom="margin">
              <wp:posOffset>-648970</wp:posOffset>
            </wp:positionV>
            <wp:extent cx="7315200" cy="1765300"/>
            <wp:effectExtent l="0" t="0" r="0" b="6350"/>
            <wp:wrapTopAndBottom/>
            <wp:docPr id="1" name="Graphic 1" descr="MTC-ABAG with Technical Assistance for Local Planners – Housing, logo on bright green background.">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MTC-ABAG with Technical Assistance for Local Planners – Housing, logo on bright green background.">
                      <a:extLst>
                        <a:ext uri="{C183D7F6-B498-43B3-948B-1728B52AA6E4}">
                          <adec:decorative xmlns:adec="http://schemas.microsoft.com/office/drawing/2017/decorative" val="0"/>
                        </a:ext>
                      </a:extLst>
                    </pic:cNvPr>
                    <pic:cNvPicPr/>
                  </pic:nvPicPr>
                  <pic:blipFill rotWithShape="1">
                    <a:blip r:embed="rId11" cstate="print">
                      <a:extLst>
                        <a:ext uri="{28A0092B-C50C-407E-A947-70E740481C1C}">
                          <a14:useLocalDpi xmlns:a14="http://schemas.microsoft.com/office/drawing/2010/main" val="0"/>
                        </a:ext>
                      </a:extLst>
                    </a:blip>
                    <a:srcRect b="3462"/>
                    <a:stretch/>
                  </pic:blipFill>
                  <pic:spPr bwMode="auto">
                    <a:xfrm>
                      <a:off x="0" y="0"/>
                      <a:ext cx="7315200" cy="17653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BD7095">
        <w:t xml:space="preserve">Separate Conveyance </w:t>
      </w:r>
      <w:r w:rsidR="00BD7095" w:rsidRPr="1EAA7862">
        <w:t>of Accessory Dwelling Units</w:t>
      </w:r>
      <w:r w:rsidR="00BD7095">
        <w:t xml:space="preserve"> as Condominiums</w:t>
      </w:r>
    </w:p>
    <w:sdt>
      <w:sdtPr>
        <w:rPr>
          <w:rFonts w:asciiTheme="minorHAnsi" w:hAnsiTheme="minorHAnsi" w:cstheme="minorBidi"/>
          <w:color w:val="auto"/>
          <w:sz w:val="24"/>
          <w:szCs w:val="24"/>
        </w:rPr>
        <w:id w:val="296412255"/>
        <w:docPartObj>
          <w:docPartGallery w:val="Table of Contents"/>
          <w:docPartUnique/>
        </w:docPartObj>
      </w:sdtPr>
      <w:sdtEndPr>
        <w:rPr>
          <w:b/>
          <w:bCs/>
          <w:noProof/>
        </w:rPr>
      </w:sdtEndPr>
      <w:sdtContent>
        <w:p w14:paraId="7FEC30DA" w14:textId="29D2E1B1" w:rsidR="00430925" w:rsidRPr="00430925" w:rsidRDefault="00430925">
          <w:pPr>
            <w:pStyle w:val="TOCHeading"/>
            <w:rPr>
              <w:rFonts w:asciiTheme="minorHAnsi" w:hAnsiTheme="minorHAnsi" w:cstheme="minorHAnsi"/>
            </w:rPr>
          </w:pPr>
          <w:r w:rsidRPr="00430925">
            <w:rPr>
              <w:rFonts w:asciiTheme="minorHAnsi" w:hAnsiTheme="minorHAnsi" w:cstheme="minorHAnsi"/>
            </w:rPr>
            <w:t>Table of Contents</w:t>
          </w:r>
        </w:p>
        <w:p w14:paraId="39C5A466" w14:textId="6EBCE5FB" w:rsidR="00430925" w:rsidRDefault="00430925">
          <w:pPr>
            <w:pStyle w:val="TOC1"/>
            <w:tabs>
              <w:tab w:val="right" w:leader="dot" w:pos="10790"/>
            </w:tabs>
            <w:rPr>
              <w:rFonts w:asciiTheme="minorHAnsi" w:eastAsiaTheme="minorEastAsia" w:hAnsiTheme="minorHAnsi" w:cstheme="minorBidi"/>
              <w:noProof/>
              <w:kern w:val="2"/>
              <w14:ligatures w14:val="standardContextual"/>
            </w:rPr>
          </w:pPr>
          <w:r>
            <w:fldChar w:fldCharType="begin"/>
          </w:r>
          <w:r>
            <w:instrText xml:space="preserve"> TOC \h \z \u \t "Heading 2,1,Table Title,2" </w:instrText>
          </w:r>
          <w:r>
            <w:fldChar w:fldCharType="separate"/>
          </w:r>
          <w:hyperlink w:anchor="_Toc209794939" w:history="1">
            <w:r w:rsidRPr="007161F8">
              <w:rPr>
                <w:rStyle w:val="Hyperlink"/>
                <w:noProof/>
              </w:rPr>
              <w:t>Changes in State Law</w:t>
            </w:r>
            <w:r>
              <w:rPr>
                <w:noProof/>
                <w:webHidden/>
              </w:rPr>
              <w:tab/>
            </w:r>
            <w:r>
              <w:rPr>
                <w:noProof/>
                <w:webHidden/>
              </w:rPr>
              <w:fldChar w:fldCharType="begin"/>
            </w:r>
            <w:r>
              <w:rPr>
                <w:noProof/>
                <w:webHidden/>
              </w:rPr>
              <w:instrText xml:space="preserve"> PAGEREF _Toc209794939 \h </w:instrText>
            </w:r>
            <w:r>
              <w:rPr>
                <w:noProof/>
                <w:webHidden/>
              </w:rPr>
            </w:r>
            <w:r>
              <w:rPr>
                <w:noProof/>
                <w:webHidden/>
              </w:rPr>
              <w:fldChar w:fldCharType="separate"/>
            </w:r>
            <w:r w:rsidR="007F7AE5">
              <w:rPr>
                <w:noProof/>
                <w:webHidden/>
              </w:rPr>
              <w:t>2</w:t>
            </w:r>
            <w:r>
              <w:rPr>
                <w:noProof/>
                <w:webHidden/>
              </w:rPr>
              <w:fldChar w:fldCharType="end"/>
            </w:r>
          </w:hyperlink>
        </w:p>
        <w:p w14:paraId="6E40AB81" w14:textId="7535C971" w:rsidR="00430925" w:rsidRDefault="00430925">
          <w:pPr>
            <w:pStyle w:val="TOC1"/>
            <w:tabs>
              <w:tab w:val="right" w:leader="dot" w:pos="10790"/>
            </w:tabs>
            <w:rPr>
              <w:rFonts w:asciiTheme="minorHAnsi" w:eastAsiaTheme="minorEastAsia" w:hAnsiTheme="minorHAnsi" w:cstheme="minorBidi"/>
              <w:noProof/>
              <w:kern w:val="2"/>
              <w14:ligatures w14:val="standardContextual"/>
            </w:rPr>
          </w:pPr>
          <w:hyperlink w:anchor="_Toc209794940" w:history="1">
            <w:r w:rsidRPr="007161F8">
              <w:rPr>
                <w:rStyle w:val="Hyperlink"/>
                <w:noProof/>
              </w:rPr>
              <w:t>Benefits and Considerations for Local ADU Condominiums</w:t>
            </w:r>
            <w:r>
              <w:rPr>
                <w:noProof/>
                <w:webHidden/>
              </w:rPr>
              <w:tab/>
            </w:r>
            <w:r>
              <w:rPr>
                <w:noProof/>
                <w:webHidden/>
              </w:rPr>
              <w:fldChar w:fldCharType="begin"/>
            </w:r>
            <w:r>
              <w:rPr>
                <w:noProof/>
                <w:webHidden/>
              </w:rPr>
              <w:instrText xml:space="preserve"> PAGEREF _Toc209794940 \h </w:instrText>
            </w:r>
            <w:r>
              <w:rPr>
                <w:noProof/>
                <w:webHidden/>
              </w:rPr>
            </w:r>
            <w:r>
              <w:rPr>
                <w:noProof/>
                <w:webHidden/>
              </w:rPr>
              <w:fldChar w:fldCharType="separate"/>
            </w:r>
            <w:r w:rsidR="007F7AE5">
              <w:rPr>
                <w:noProof/>
                <w:webHidden/>
              </w:rPr>
              <w:t>2</w:t>
            </w:r>
            <w:r>
              <w:rPr>
                <w:noProof/>
                <w:webHidden/>
              </w:rPr>
              <w:fldChar w:fldCharType="end"/>
            </w:r>
          </w:hyperlink>
        </w:p>
        <w:p w14:paraId="42005485" w14:textId="5960EB63" w:rsidR="00430925" w:rsidRDefault="00430925">
          <w:pPr>
            <w:pStyle w:val="TOC1"/>
            <w:tabs>
              <w:tab w:val="right" w:leader="dot" w:pos="10790"/>
            </w:tabs>
            <w:rPr>
              <w:rFonts w:asciiTheme="minorHAnsi" w:eastAsiaTheme="minorEastAsia" w:hAnsiTheme="minorHAnsi" w:cstheme="minorBidi"/>
              <w:noProof/>
              <w:kern w:val="2"/>
              <w14:ligatures w14:val="standardContextual"/>
            </w:rPr>
          </w:pPr>
          <w:hyperlink w:anchor="_Toc209794941" w:history="1">
            <w:r w:rsidRPr="007161F8">
              <w:rPr>
                <w:rStyle w:val="Hyperlink"/>
                <w:noProof/>
                <w:highlight w:val="white"/>
              </w:rPr>
              <w:t xml:space="preserve">Lessons Learned from Other </w:t>
            </w:r>
            <w:r w:rsidRPr="007161F8">
              <w:rPr>
                <w:rStyle w:val="Hyperlink"/>
                <w:noProof/>
              </w:rPr>
              <w:t>Jurisdictions</w:t>
            </w:r>
            <w:r>
              <w:rPr>
                <w:noProof/>
                <w:webHidden/>
              </w:rPr>
              <w:tab/>
            </w:r>
            <w:r>
              <w:rPr>
                <w:noProof/>
                <w:webHidden/>
              </w:rPr>
              <w:fldChar w:fldCharType="begin"/>
            </w:r>
            <w:r>
              <w:rPr>
                <w:noProof/>
                <w:webHidden/>
              </w:rPr>
              <w:instrText xml:space="preserve"> PAGEREF _Toc209794941 \h </w:instrText>
            </w:r>
            <w:r>
              <w:rPr>
                <w:noProof/>
                <w:webHidden/>
              </w:rPr>
            </w:r>
            <w:r>
              <w:rPr>
                <w:noProof/>
                <w:webHidden/>
              </w:rPr>
              <w:fldChar w:fldCharType="separate"/>
            </w:r>
            <w:r w:rsidR="007F7AE5">
              <w:rPr>
                <w:noProof/>
                <w:webHidden/>
              </w:rPr>
              <w:t>4</w:t>
            </w:r>
            <w:r>
              <w:rPr>
                <w:noProof/>
                <w:webHidden/>
              </w:rPr>
              <w:fldChar w:fldCharType="end"/>
            </w:r>
          </w:hyperlink>
        </w:p>
        <w:p w14:paraId="21B75872" w14:textId="18AF20D5" w:rsidR="00430925" w:rsidRDefault="00430925">
          <w:pPr>
            <w:pStyle w:val="TOC1"/>
            <w:tabs>
              <w:tab w:val="right" w:leader="dot" w:pos="10790"/>
            </w:tabs>
            <w:rPr>
              <w:rFonts w:asciiTheme="minorHAnsi" w:eastAsiaTheme="minorEastAsia" w:hAnsiTheme="minorHAnsi" w:cstheme="minorBidi"/>
              <w:noProof/>
              <w:kern w:val="2"/>
              <w14:ligatures w14:val="standardContextual"/>
            </w:rPr>
          </w:pPr>
          <w:hyperlink w:anchor="_Toc209794942" w:history="1">
            <w:r w:rsidRPr="007161F8">
              <w:rPr>
                <w:rStyle w:val="Hyperlink"/>
                <w:noProof/>
              </w:rPr>
              <w:t>Legal Requirements</w:t>
            </w:r>
            <w:r>
              <w:rPr>
                <w:noProof/>
                <w:webHidden/>
              </w:rPr>
              <w:tab/>
            </w:r>
            <w:r>
              <w:rPr>
                <w:noProof/>
                <w:webHidden/>
              </w:rPr>
              <w:fldChar w:fldCharType="begin"/>
            </w:r>
            <w:r>
              <w:rPr>
                <w:noProof/>
                <w:webHidden/>
              </w:rPr>
              <w:instrText xml:space="preserve"> PAGEREF _Toc209794942 \h </w:instrText>
            </w:r>
            <w:r>
              <w:rPr>
                <w:noProof/>
                <w:webHidden/>
              </w:rPr>
            </w:r>
            <w:r>
              <w:rPr>
                <w:noProof/>
                <w:webHidden/>
              </w:rPr>
              <w:fldChar w:fldCharType="separate"/>
            </w:r>
            <w:r w:rsidR="007F7AE5">
              <w:rPr>
                <w:noProof/>
                <w:webHidden/>
              </w:rPr>
              <w:t>7</w:t>
            </w:r>
            <w:r>
              <w:rPr>
                <w:noProof/>
                <w:webHidden/>
              </w:rPr>
              <w:fldChar w:fldCharType="end"/>
            </w:r>
          </w:hyperlink>
        </w:p>
        <w:p w14:paraId="11C8D6FF" w14:textId="43485063" w:rsidR="00430925" w:rsidRDefault="00430925">
          <w:pPr>
            <w:pStyle w:val="TOC1"/>
            <w:tabs>
              <w:tab w:val="right" w:leader="dot" w:pos="10790"/>
            </w:tabs>
            <w:rPr>
              <w:rFonts w:asciiTheme="minorHAnsi" w:eastAsiaTheme="minorEastAsia" w:hAnsiTheme="minorHAnsi" w:cstheme="minorBidi"/>
              <w:noProof/>
              <w:kern w:val="2"/>
              <w14:ligatures w14:val="standardContextual"/>
            </w:rPr>
          </w:pPr>
          <w:hyperlink w:anchor="_Toc209794943" w:history="1">
            <w:r w:rsidRPr="007161F8">
              <w:rPr>
                <w:rStyle w:val="Hyperlink"/>
                <w:noProof/>
              </w:rPr>
              <w:t>Steps for Implementing a Local Condominium Program</w:t>
            </w:r>
            <w:r>
              <w:rPr>
                <w:noProof/>
                <w:webHidden/>
              </w:rPr>
              <w:tab/>
            </w:r>
            <w:r>
              <w:rPr>
                <w:noProof/>
                <w:webHidden/>
              </w:rPr>
              <w:fldChar w:fldCharType="begin"/>
            </w:r>
            <w:r>
              <w:rPr>
                <w:noProof/>
                <w:webHidden/>
              </w:rPr>
              <w:instrText xml:space="preserve"> PAGEREF _Toc209794943 \h </w:instrText>
            </w:r>
            <w:r>
              <w:rPr>
                <w:noProof/>
                <w:webHidden/>
              </w:rPr>
            </w:r>
            <w:r>
              <w:rPr>
                <w:noProof/>
                <w:webHidden/>
              </w:rPr>
              <w:fldChar w:fldCharType="separate"/>
            </w:r>
            <w:r w:rsidR="007F7AE5">
              <w:rPr>
                <w:noProof/>
                <w:webHidden/>
              </w:rPr>
              <w:t>11</w:t>
            </w:r>
            <w:r>
              <w:rPr>
                <w:noProof/>
                <w:webHidden/>
              </w:rPr>
              <w:fldChar w:fldCharType="end"/>
            </w:r>
          </w:hyperlink>
        </w:p>
        <w:p w14:paraId="60ECB659" w14:textId="6F577939" w:rsidR="00430925" w:rsidRDefault="00430925">
          <w:pPr>
            <w:pStyle w:val="TOC1"/>
            <w:tabs>
              <w:tab w:val="right" w:leader="dot" w:pos="10790"/>
            </w:tabs>
            <w:rPr>
              <w:rFonts w:asciiTheme="minorHAnsi" w:eastAsiaTheme="minorEastAsia" w:hAnsiTheme="minorHAnsi" w:cstheme="minorBidi"/>
              <w:noProof/>
              <w:kern w:val="2"/>
              <w14:ligatures w14:val="standardContextual"/>
            </w:rPr>
          </w:pPr>
          <w:hyperlink w:anchor="_Toc209794944" w:history="1">
            <w:r w:rsidRPr="007161F8">
              <w:rPr>
                <w:rStyle w:val="Hyperlink"/>
                <w:noProof/>
              </w:rPr>
              <w:t>Tools &amp; Resources</w:t>
            </w:r>
            <w:r>
              <w:rPr>
                <w:noProof/>
                <w:webHidden/>
              </w:rPr>
              <w:tab/>
            </w:r>
            <w:r>
              <w:rPr>
                <w:noProof/>
                <w:webHidden/>
              </w:rPr>
              <w:fldChar w:fldCharType="begin"/>
            </w:r>
            <w:r>
              <w:rPr>
                <w:noProof/>
                <w:webHidden/>
              </w:rPr>
              <w:instrText xml:space="preserve"> PAGEREF _Toc209794944 \h </w:instrText>
            </w:r>
            <w:r>
              <w:rPr>
                <w:noProof/>
                <w:webHidden/>
              </w:rPr>
            </w:r>
            <w:r>
              <w:rPr>
                <w:noProof/>
                <w:webHidden/>
              </w:rPr>
              <w:fldChar w:fldCharType="separate"/>
            </w:r>
            <w:r w:rsidR="007F7AE5">
              <w:rPr>
                <w:noProof/>
                <w:webHidden/>
              </w:rPr>
              <w:t>15</w:t>
            </w:r>
            <w:r>
              <w:rPr>
                <w:noProof/>
                <w:webHidden/>
              </w:rPr>
              <w:fldChar w:fldCharType="end"/>
            </w:r>
          </w:hyperlink>
        </w:p>
        <w:p w14:paraId="231B1269" w14:textId="741C59A2" w:rsidR="00430925" w:rsidRDefault="00430925">
          <w:r>
            <w:fldChar w:fldCharType="end"/>
          </w:r>
        </w:p>
      </w:sdtContent>
    </w:sdt>
    <w:p w14:paraId="4B91ACB4" w14:textId="18433A15" w:rsidR="00BD7095" w:rsidRDefault="290701AD" w:rsidP="007F7AE5">
      <w:pPr>
        <w:spacing w:before="240"/>
      </w:pPr>
      <w:r>
        <w:t>Government Code Section 66342 authorizes jurisdictions to allow a property developed with primary and accessory dwelling units</w:t>
      </w:r>
      <w:r w:rsidR="24CC1722">
        <w:t xml:space="preserve"> (ADUs)</w:t>
      </w:r>
      <w:r>
        <w:t xml:space="preserve"> to be subdivided into condominium units with distinct ownership. Subdividing a property for the separate </w:t>
      </w:r>
      <w:r w:rsidR="1E9DD958">
        <w:t xml:space="preserve">sale or </w:t>
      </w:r>
      <w:r>
        <w:t xml:space="preserve">conveyance of an ADU </w:t>
      </w:r>
      <w:r w:rsidR="4F2E087E">
        <w:t>involves</w:t>
      </w:r>
      <w:r>
        <w:t xml:space="preserve"> creating legally recognized, independent properties, complete with their own deeds and ownership rights, subject to the governing documents for the condominium project. This law is meant to broaden access to homeownership by allowing ADUs to be sold independently</w:t>
      </w:r>
      <w:r w:rsidR="623E1343">
        <w:t>,</w:t>
      </w:r>
      <w:r w:rsidR="009B11E4">
        <w:t xml:space="preserve"> </w:t>
      </w:r>
      <w:r>
        <w:t>as opposed to ADUs being limited as rental units</w:t>
      </w:r>
      <w:r w:rsidR="3AB0C537">
        <w:t>.</w:t>
      </w:r>
      <w:r>
        <w:t xml:space="preserve"> </w:t>
      </w:r>
      <w:r w:rsidR="18A8A2F9">
        <w:t>This law leverages</w:t>
      </w:r>
      <w:r>
        <w:t xml:space="preserve"> existing residential properties developed (or to be developed) with ADUs to meet housing demands more efficiently and often at a lower cost.</w:t>
      </w:r>
    </w:p>
    <w:p w14:paraId="2E9B4929" w14:textId="6617EE1A" w:rsidR="00BD7095" w:rsidRPr="005218FE" w:rsidRDefault="290701AD" w:rsidP="00BD7095">
      <w:pPr>
        <w:rPr>
          <w:rFonts w:eastAsia="Aptos" w:cs="Aptos"/>
        </w:rPr>
      </w:pPr>
      <w:r>
        <w:t>This guide outlines the law’s key provisions, potential benefits and pitfalls, as well as implementation steps for jurisdictions. Drawing from experiences in Seattle and Portland, as well as California programs in San José, Martinez, Berkeley and San Diego</w:t>
      </w:r>
      <w:r w:rsidRPr="0772994C">
        <w:rPr>
          <w:rFonts w:eastAsia="Aptos" w:cs="Aptos"/>
        </w:rPr>
        <w:t>, this guide provides actionable insights for launching local ADU condominium programs.</w:t>
      </w:r>
    </w:p>
    <w:p w14:paraId="16528695" w14:textId="77777777" w:rsidR="00BD7095" w:rsidRDefault="00BD7095" w:rsidP="00BD7095">
      <w:pPr>
        <w:rPr>
          <w:rFonts w:eastAsia="Aptos" w:cs="Aptos"/>
        </w:rPr>
      </w:pPr>
      <w:r w:rsidRPr="1EAA7862">
        <w:rPr>
          <w:rFonts w:eastAsia="Aptos" w:cs="Aptos"/>
        </w:rPr>
        <w:t xml:space="preserve">By leveraging lessons from other jurisdictions and tailoring local rules to policy objectives, </w:t>
      </w:r>
      <w:r>
        <w:rPr>
          <w:rFonts w:eastAsia="Aptos" w:cs="Aptos"/>
        </w:rPr>
        <w:t xml:space="preserve">jurisdiction staff </w:t>
      </w:r>
      <w:r w:rsidRPr="1EAA7862">
        <w:rPr>
          <w:rFonts w:eastAsia="Aptos" w:cs="Aptos"/>
        </w:rPr>
        <w:t xml:space="preserve">can ensure the effective implementation of </w:t>
      </w:r>
      <w:r>
        <w:rPr>
          <w:rFonts w:eastAsia="Aptos" w:cs="Aptos"/>
        </w:rPr>
        <w:t xml:space="preserve">Government Code Section 66342 </w:t>
      </w:r>
      <w:r w:rsidRPr="1EAA7862">
        <w:rPr>
          <w:rFonts w:eastAsia="Aptos" w:cs="Aptos"/>
        </w:rPr>
        <w:t xml:space="preserve">while </w:t>
      </w:r>
      <w:r>
        <w:rPr>
          <w:rFonts w:eastAsia="Aptos" w:cs="Aptos"/>
        </w:rPr>
        <w:t xml:space="preserve">furthering local </w:t>
      </w:r>
      <w:r w:rsidRPr="1EAA7862">
        <w:rPr>
          <w:rFonts w:eastAsia="Aptos" w:cs="Aptos"/>
        </w:rPr>
        <w:t>housing goals. Balancing potential benefits</w:t>
      </w:r>
      <w:r>
        <w:rPr>
          <w:rFonts w:eastAsia="Aptos" w:cs="Aptos"/>
        </w:rPr>
        <w:t xml:space="preserve"> (</w:t>
      </w:r>
      <w:r w:rsidRPr="1EAA7862">
        <w:rPr>
          <w:rFonts w:eastAsia="Aptos" w:cs="Aptos"/>
        </w:rPr>
        <w:t xml:space="preserve">such as </w:t>
      </w:r>
      <w:r>
        <w:rPr>
          <w:rFonts w:eastAsia="Aptos" w:cs="Aptos"/>
        </w:rPr>
        <w:t>more</w:t>
      </w:r>
      <w:r w:rsidRPr="1EAA7862">
        <w:rPr>
          <w:rFonts w:eastAsia="Aptos" w:cs="Aptos"/>
        </w:rPr>
        <w:t xml:space="preserve"> homeownership </w:t>
      </w:r>
      <w:r>
        <w:rPr>
          <w:rFonts w:eastAsia="Aptos" w:cs="Aptos"/>
        </w:rPr>
        <w:t xml:space="preserve">options) </w:t>
      </w:r>
      <w:r w:rsidRPr="1EAA7862">
        <w:rPr>
          <w:rFonts w:eastAsia="Aptos" w:cs="Aptos"/>
        </w:rPr>
        <w:t>with potential risks</w:t>
      </w:r>
      <w:r>
        <w:rPr>
          <w:rFonts w:eastAsia="Aptos" w:cs="Aptos"/>
        </w:rPr>
        <w:t xml:space="preserve"> (</w:t>
      </w:r>
      <w:r w:rsidRPr="1EAA7862">
        <w:rPr>
          <w:rFonts w:eastAsia="Aptos" w:cs="Aptos"/>
        </w:rPr>
        <w:t>such as speculative investment and neighborhood pressures</w:t>
      </w:r>
      <w:r>
        <w:rPr>
          <w:rFonts w:eastAsia="Aptos" w:cs="Aptos"/>
        </w:rPr>
        <w:t>)</w:t>
      </w:r>
      <w:r w:rsidRPr="1EAA7862">
        <w:rPr>
          <w:rFonts w:eastAsia="Aptos" w:cs="Aptos"/>
        </w:rPr>
        <w:t xml:space="preserve"> is essential for program success.</w:t>
      </w:r>
    </w:p>
    <w:p w14:paraId="7BE906C5" w14:textId="4C49DCA6" w:rsidR="00BD7095" w:rsidRDefault="00BD7095" w:rsidP="00BD7095">
      <w:pPr>
        <w:pStyle w:val="Heading2"/>
      </w:pPr>
      <w:bookmarkStart w:id="0" w:name="_heading=h.1ksv4uv"/>
      <w:bookmarkStart w:id="1" w:name="_Toc209794939"/>
      <w:bookmarkEnd w:id="0"/>
      <w:r>
        <w:lastRenderedPageBreak/>
        <w:t>Changes in State Law</w:t>
      </w:r>
      <w:bookmarkStart w:id="2" w:name="_heading=h.2jxsxqh"/>
      <w:bookmarkEnd w:id="1"/>
      <w:bookmarkEnd w:id="2"/>
    </w:p>
    <w:p w14:paraId="35B5B1E5" w14:textId="20C93217" w:rsidR="00BD7095" w:rsidRDefault="290701AD" w:rsidP="00B16E13">
      <w:r>
        <w:t>Generally, accessory dwelling units cannot be “sold or otherwise conveyed separate from the primary residence</w:t>
      </w:r>
      <w:r w:rsidR="11E55D4F">
        <w:t>.”</w:t>
      </w:r>
      <w:r w:rsidR="4600D13C">
        <w:t xml:space="preserve"> </w:t>
      </w:r>
      <w:r>
        <w:t>However, the California law has evolved over time to allow for the primary residence and ADU to be owned by multiple owners as tenants</w:t>
      </w:r>
      <w:r w:rsidR="009B11E4">
        <w:t>-</w:t>
      </w:r>
      <w:r>
        <w:t>in</w:t>
      </w:r>
      <w:r w:rsidR="009B11E4">
        <w:t>-</w:t>
      </w:r>
      <w:r>
        <w:t xml:space="preserve">common (Government Code Sections 66340-66341) and, if </w:t>
      </w:r>
      <w:r w:rsidR="75A4A335">
        <w:t xml:space="preserve">authorized </w:t>
      </w:r>
      <w:r>
        <w:t>by the local jurisdiction, to allow the separate conveyance of the ADU from the primary residence as a condominium (Government Code Section 66342).</w:t>
      </w:r>
    </w:p>
    <w:p w14:paraId="167681A0" w14:textId="62919A99" w:rsidR="00BD7095" w:rsidRDefault="290701AD" w:rsidP="00B16E13">
      <w:r>
        <w:t>AB 345 (2021) and AB 587 (2019) provided a framework for the primary dwelling and accessory dwelling unit to be separately owned by tenants in common, which was limited to certain nonprofit and affordable housing organizations.</w:t>
      </w:r>
      <w:r w:rsidR="4600D13C">
        <w:t xml:space="preserve"> </w:t>
      </w:r>
      <w:r>
        <w:t>This framework is provided in Government Code Section 66341.</w:t>
      </w:r>
    </w:p>
    <w:p w14:paraId="5B578C06" w14:textId="6DFCD99E" w:rsidR="00BD7095" w:rsidRPr="00437709" w:rsidRDefault="00BD7095" w:rsidP="00B16E13">
      <w:bookmarkStart w:id="3" w:name="_heading=h.z337ya"/>
      <w:bookmarkEnd w:id="3"/>
      <w:r w:rsidRPr="1EAA7862">
        <w:t xml:space="preserve">AB 1033 (2023) removed </w:t>
      </w:r>
      <w:r>
        <w:t xml:space="preserve">most </w:t>
      </w:r>
      <w:r w:rsidRPr="1EAA7862">
        <w:t>prohibition</w:t>
      </w:r>
      <w:r>
        <w:t>s</w:t>
      </w:r>
      <w:r w:rsidRPr="1EAA7862">
        <w:t xml:space="preserve"> on </w:t>
      </w:r>
      <w:r>
        <w:t xml:space="preserve">the separate conveyance of </w:t>
      </w:r>
      <w:r w:rsidRPr="1EAA7862">
        <w:t>ADU</w:t>
      </w:r>
      <w:r>
        <w:t>s as condominiums</w:t>
      </w:r>
      <w:r w:rsidRPr="1EAA7862">
        <w:t xml:space="preserve">, allowing local jurisdictions to establish programs to create new opportunities for </w:t>
      </w:r>
      <w:r w:rsidR="006431DD">
        <w:t xml:space="preserve">the separate sale of </w:t>
      </w:r>
      <w:r w:rsidRPr="1EAA7862">
        <w:t>ADU</w:t>
      </w:r>
      <w:r w:rsidR="006431DD">
        <w:t>s</w:t>
      </w:r>
      <w:r w:rsidRPr="1EAA7862">
        <w:t xml:space="preserve">. </w:t>
      </w:r>
      <w:bookmarkStart w:id="4" w:name="_heading=h.3j2qqm3"/>
      <w:bookmarkEnd w:id="4"/>
      <w:r w:rsidR="00180670" w:rsidRPr="2B15DAC7">
        <w:t>To</w:t>
      </w:r>
      <w:r w:rsidR="00180670" w:rsidRPr="1EAA7862">
        <w:t xml:space="preserve"> allow ADU </w:t>
      </w:r>
      <w:r w:rsidR="00180670">
        <w:t>condominiums</w:t>
      </w:r>
      <w:r w:rsidR="00180670" w:rsidRPr="1EAA7862">
        <w:t xml:space="preserve">, jurisdictions must adopt a local ordinance </w:t>
      </w:r>
      <w:r w:rsidR="00180670">
        <w:t>that includes requirements specified in the statute.</w:t>
      </w:r>
      <w:r w:rsidR="00180670" w:rsidRPr="1EAA7862">
        <w:t xml:space="preserve"> </w:t>
      </w:r>
      <w:r w:rsidRPr="1EAA7862">
        <w:t xml:space="preserve">Flexibility is built into the law, allowing each jurisdiction to determine how to implement ADU </w:t>
      </w:r>
      <w:r>
        <w:t>condominium programs</w:t>
      </w:r>
      <w:r w:rsidRPr="1EAA7862">
        <w:t xml:space="preserve"> and to tailor their ordinance to specific local housing needs and policy objectives.</w:t>
      </w:r>
      <w:r>
        <w:t xml:space="preserve"> </w:t>
      </w:r>
      <w:r w:rsidR="00DB314B">
        <w:t>J</w:t>
      </w:r>
      <w:r>
        <w:t>urisdiction</w:t>
      </w:r>
      <w:r w:rsidR="00DB314B">
        <w:t>s</w:t>
      </w:r>
      <w:r>
        <w:t xml:space="preserve"> can also incorporate additional objective requirements</w:t>
      </w:r>
      <w:r w:rsidRPr="1EAA7862">
        <w:t xml:space="preserve">, such as limiting </w:t>
      </w:r>
      <w:r>
        <w:t>condominiums</w:t>
      </w:r>
      <w:r w:rsidRPr="1EAA7862">
        <w:t xml:space="preserve"> to specific areas, applying design standards, </w:t>
      </w:r>
      <w:r>
        <w:t xml:space="preserve">limiting the number of ADU condominiums in a development project, </w:t>
      </w:r>
      <w:r w:rsidRPr="1EAA7862">
        <w:t>or setting additional criteria to achieve community goals.</w:t>
      </w:r>
      <w:bookmarkStart w:id="5" w:name="_heading=h.1y810tw"/>
      <w:bookmarkEnd w:id="5"/>
    </w:p>
    <w:p w14:paraId="48A3A529" w14:textId="4695E38B" w:rsidR="00BD7095" w:rsidRDefault="00BD7095" w:rsidP="00BD7095">
      <w:pPr>
        <w:pStyle w:val="Heading2"/>
      </w:pPr>
      <w:bookmarkStart w:id="6" w:name="_Toc209794940"/>
      <w:r>
        <w:t>Benefits and Considerations for Local ADU Condominiums</w:t>
      </w:r>
      <w:bookmarkEnd w:id="6"/>
    </w:p>
    <w:p w14:paraId="4903EDB6" w14:textId="337CAD8D" w:rsidR="00BD7095" w:rsidRDefault="00BD7095" w:rsidP="00B16E13">
      <w:r w:rsidRPr="006E7BB7">
        <w:t>Below are some</w:t>
      </w:r>
      <w:r w:rsidRPr="0097628C">
        <w:t xml:space="preserve"> </w:t>
      </w:r>
      <w:r w:rsidRPr="00117AF3">
        <w:t xml:space="preserve">key </w:t>
      </w:r>
      <w:r w:rsidRPr="006E7BB7">
        <w:t xml:space="preserve">benefits and challenges to consider before deciding whether to adopt a </w:t>
      </w:r>
      <w:r>
        <w:t>local ADU condominium</w:t>
      </w:r>
      <w:r w:rsidRPr="006E7BB7">
        <w:t xml:space="preserve"> program.</w:t>
      </w:r>
    </w:p>
    <w:p w14:paraId="36C33476" w14:textId="77777777" w:rsidR="00BD7095" w:rsidRPr="00B16E13" w:rsidRDefault="00BD7095" w:rsidP="00B16E13">
      <w:pPr>
        <w:pStyle w:val="Heading3"/>
      </w:pPr>
      <w:r w:rsidRPr="00B16E13">
        <w:t>Benefits for Jurisdictions</w:t>
      </w:r>
    </w:p>
    <w:p w14:paraId="79C0686F" w14:textId="77777777" w:rsidR="00BD7095" w:rsidRDefault="00BD7095" w:rsidP="00B16E13">
      <w:r w:rsidRPr="56E5C327">
        <w:rPr>
          <w:b/>
          <w:bCs/>
        </w:rPr>
        <w:t>Incentivize ADU production</w:t>
      </w:r>
      <w:r>
        <w:t xml:space="preserve">: Unlike traditional ADU rentals, condominiums allow owners to gain a substantial one-time cash inflow upon sale, which may be more attractive to homeowners looking for larger, immediate returns. This option can incentivize a broader range of homeowners and small-scale developers to invest in ADU production. New ADUs built as condos can help jurisdictions meet their housing goals without new land development or large-scale construction. The City of Martinez chose to allow ADU condominiums in its historic district, </w:t>
      </w:r>
      <w:bookmarkStart w:id="7" w:name="_Int_Y4EhrdLU"/>
      <w:proofErr w:type="gramStart"/>
      <w:r>
        <w:t>opening up</w:t>
      </w:r>
      <w:bookmarkEnd w:id="7"/>
      <w:proofErr w:type="gramEnd"/>
      <w:r>
        <w:t xml:space="preserve"> the opportunity for additional homeownership on small properties that are not suited for lot splits.</w:t>
      </w:r>
    </w:p>
    <w:p w14:paraId="657354CC" w14:textId="24AF8E45" w:rsidR="00BD7095" w:rsidRPr="00AB0479" w:rsidRDefault="290701AD" w:rsidP="00B16E13">
      <w:r w:rsidRPr="0772994C">
        <w:rPr>
          <w:b/>
          <w:bCs/>
        </w:rPr>
        <w:t>Possible increase in local tax revenue</w:t>
      </w:r>
      <w:r>
        <w:t>: When an ADU is initially constructed, the property is reassessed to account for the market value of the ADU.</w:t>
      </w:r>
      <w:r w:rsidR="2BC23838">
        <w:t xml:space="preserve"> </w:t>
      </w:r>
      <w:r>
        <w:t xml:space="preserve">If the ADU is separately sold as a condominium, the ADU will be reassessed based on its market value upon sale. If the sale price is higher than the market value of the ADU when it was constructed, the reassessment will increase property tax revenue, possibly </w:t>
      </w:r>
      <w:proofErr w:type="gramStart"/>
      <w:r>
        <w:t>benefit</w:t>
      </w:r>
      <w:r w:rsidR="04A91AB7">
        <w:t>t</w:t>
      </w:r>
      <w:r>
        <w:t>ing</w:t>
      </w:r>
      <w:proofErr w:type="gramEnd"/>
      <w:r>
        <w:t xml:space="preserve"> local governments and potentially funding additional essential services, community programs, and infrastructure improvements—all without requiring new land development.</w:t>
      </w:r>
    </w:p>
    <w:p w14:paraId="1488F44C" w14:textId="77777777" w:rsidR="00BD7095" w:rsidRDefault="00BD7095" w:rsidP="00B16E13">
      <w:r w:rsidRPr="1EAA7862">
        <w:rPr>
          <w:b/>
          <w:bCs/>
        </w:rPr>
        <w:t>Increase for-sale housing choices</w:t>
      </w:r>
      <w:r w:rsidRPr="1EAA7862">
        <w:t xml:space="preserve">: Because ADUs are generally smaller units, they offer opportunities for those seeking naturally affordable homes that may not exist otherwise. </w:t>
      </w:r>
    </w:p>
    <w:p w14:paraId="6510C772" w14:textId="77777777" w:rsidR="00BD7095" w:rsidRDefault="00BD7095" w:rsidP="00B16E13">
      <w:r w:rsidRPr="1EAA7862">
        <w:rPr>
          <w:b/>
          <w:bCs/>
        </w:rPr>
        <w:t>Support community stability</w:t>
      </w:r>
      <w:r w:rsidRPr="1EAA7862">
        <w:t xml:space="preserve">: ADU </w:t>
      </w:r>
      <w:r>
        <w:t>condominiums</w:t>
      </w:r>
      <w:r w:rsidRPr="1EAA7862">
        <w:t xml:space="preserve"> may allow more existing residents to buy homes within their own communities. By </w:t>
      </w:r>
      <w:proofErr w:type="gramStart"/>
      <w:r w:rsidRPr="1EAA7862">
        <w:t>opening up</w:t>
      </w:r>
      <w:proofErr w:type="gramEnd"/>
      <w:r w:rsidRPr="1EAA7862">
        <w:t xml:space="preserve"> new pathways to ownership, </w:t>
      </w:r>
      <w:r>
        <w:t>condominiums</w:t>
      </w:r>
      <w:r w:rsidRPr="1EAA7862">
        <w:t xml:space="preserve"> promote diversity and stability for community members, preventing displacement and allowing families to invest in their future.</w:t>
      </w:r>
    </w:p>
    <w:p w14:paraId="4FC05753" w14:textId="77777777" w:rsidR="00BD7095" w:rsidRDefault="00BD7095" w:rsidP="00B16E13">
      <w:pPr>
        <w:pStyle w:val="Heading3"/>
      </w:pPr>
      <w:r>
        <w:t>Benefits for Homeowners and Homebuyers</w:t>
      </w:r>
    </w:p>
    <w:p w14:paraId="20E2EF1C" w14:textId="4549053A" w:rsidR="00BD7095" w:rsidRPr="00E24F36" w:rsidRDefault="290701AD" w:rsidP="00B16E13">
      <w:r w:rsidRPr="0772994C">
        <w:rPr>
          <w:b/>
          <w:bCs/>
        </w:rPr>
        <w:t>Create steady rental income vs. one-time sale revenue</w:t>
      </w:r>
      <w:r>
        <w:t xml:space="preserve">: Homeowners renting out an ADU benefit from steady, predictable rental income, while condominiums </w:t>
      </w:r>
      <w:r w:rsidR="1589007A">
        <w:t>allow</w:t>
      </w:r>
      <w:r>
        <w:t xml:space="preserve"> them to unlock equity in the property immediately. Subdividing a property and selling an ADU (or the primary residence) offers homeowners a significant one-time financial benefit, freeing up capital without the need to sell </w:t>
      </w:r>
      <w:r w:rsidR="00806594">
        <w:t>all the</w:t>
      </w:r>
      <w:r>
        <w:t xml:space="preserve"> dwelling units on the property.</w:t>
      </w:r>
    </w:p>
    <w:p w14:paraId="3CFBC47D" w14:textId="77777777" w:rsidR="00BD7095" w:rsidRDefault="00BD7095" w:rsidP="00B16E13">
      <w:r w:rsidRPr="1EAA7862">
        <w:rPr>
          <w:b/>
          <w:bCs/>
        </w:rPr>
        <w:t>Allow economic flexibility</w:t>
      </w:r>
      <w:r w:rsidRPr="1EAA7862">
        <w:t xml:space="preserve">: </w:t>
      </w:r>
      <w:r>
        <w:t>After subdividing the property, h</w:t>
      </w:r>
      <w:r w:rsidRPr="2B15DAC7">
        <w:t>omeowners have</w:t>
      </w:r>
      <w:r w:rsidRPr="1EAA7862">
        <w:t xml:space="preserve"> the option to sell or finance </w:t>
      </w:r>
      <w:r w:rsidRPr="2B15DAC7">
        <w:t>an</w:t>
      </w:r>
      <w:r w:rsidRPr="1EAA7862">
        <w:t xml:space="preserve"> ADU separately from the main home, enabling them to unlock equity or generate capital without needing to sell their entire property. For example, it can allow an elderly homeowner to </w:t>
      </w:r>
      <w:r>
        <w:t>subdivide</w:t>
      </w:r>
      <w:r w:rsidRPr="1EAA7862">
        <w:t xml:space="preserve"> their property, sell the primary residence to pay off debt, and remain mortgage-free in the ADU.</w:t>
      </w:r>
    </w:p>
    <w:p w14:paraId="21ADB58C" w14:textId="3ACDF8FA" w:rsidR="00BD7095" w:rsidRDefault="290701AD" w:rsidP="00B16E13">
      <w:r w:rsidRPr="0772994C">
        <w:rPr>
          <w:b/>
          <w:bCs/>
        </w:rPr>
        <w:t xml:space="preserve">Support </w:t>
      </w:r>
      <w:r w:rsidR="585BF8C4" w:rsidRPr="0772994C">
        <w:rPr>
          <w:b/>
          <w:bCs/>
        </w:rPr>
        <w:t>famil</w:t>
      </w:r>
      <w:r w:rsidR="3DFA51AB" w:rsidRPr="0772994C">
        <w:rPr>
          <w:b/>
          <w:bCs/>
        </w:rPr>
        <w:t>y members</w:t>
      </w:r>
      <w:r w:rsidRPr="0772994C">
        <w:rPr>
          <w:b/>
          <w:bCs/>
        </w:rPr>
        <w:t xml:space="preserve"> and aging-in-place</w:t>
      </w:r>
      <w:r>
        <w:t>: Homeowners can create an opportunity to offer homeownership to a family member who otherwise might not be able to afford to buy in the same community. It can empower family members to live near one another, share resources, and provide mutual support across different life stages without the complexities of co-owning a single property.</w:t>
      </w:r>
    </w:p>
    <w:p w14:paraId="201A6FF0" w14:textId="22FEF8B5" w:rsidR="00BD7095" w:rsidRPr="005752B2" w:rsidRDefault="290701AD" w:rsidP="00B16E13">
      <w:r w:rsidRPr="0772994C">
        <w:rPr>
          <w:b/>
          <w:bCs/>
        </w:rPr>
        <w:t>Expand affordable homeownership</w:t>
      </w:r>
      <w:r w:rsidR="00391E24">
        <w:rPr>
          <w:b/>
          <w:bCs/>
        </w:rPr>
        <w:t xml:space="preserve"> opportunities</w:t>
      </w:r>
      <w:r>
        <w:t xml:space="preserve">: Moderate-income buyers may be able to enter the housing market by purchasing an ADU rather than a larger home, expanding access to homeownership. </w:t>
      </w:r>
    </w:p>
    <w:p w14:paraId="314506E1" w14:textId="77777777" w:rsidR="00BD7095" w:rsidRDefault="00BD7095" w:rsidP="00B16E13">
      <w:pPr>
        <w:pStyle w:val="Heading3"/>
      </w:pPr>
      <w:bookmarkStart w:id="8" w:name="_heading=h.3as4poj"/>
      <w:bookmarkStart w:id="9" w:name="_heading=h.1pxezwc"/>
      <w:bookmarkEnd w:id="8"/>
      <w:bookmarkEnd w:id="9"/>
      <w:r>
        <w:t>Drawbacks &amp; Program Considerations</w:t>
      </w:r>
    </w:p>
    <w:p w14:paraId="4025C486" w14:textId="2C23A31A" w:rsidR="00BD7095" w:rsidRPr="00231D21" w:rsidRDefault="00BD7095" w:rsidP="00B16E13">
      <w:r>
        <w:t xml:space="preserve">It is important to consider whether ADU condominiums will address local housing needs, especially if there are already concerns about speculation and displacement of existing residents. </w:t>
      </w:r>
      <w:r w:rsidRPr="00231D21">
        <w:t xml:space="preserve">Before adopting </w:t>
      </w:r>
      <w:r>
        <w:t xml:space="preserve">a </w:t>
      </w:r>
      <w:r w:rsidRPr="00231D21">
        <w:t>program</w:t>
      </w:r>
      <w:r>
        <w:t>,</w:t>
      </w:r>
      <w:r w:rsidRPr="00231D21">
        <w:t xml:space="preserve"> </w:t>
      </w:r>
      <w:r>
        <w:t>consider ways to prevent negative impacts to tenants and community stability</w:t>
      </w:r>
      <w:r w:rsidRPr="00231D21">
        <w:t>.</w:t>
      </w:r>
    </w:p>
    <w:p w14:paraId="03F119E8" w14:textId="323C8367" w:rsidR="00BD7095" w:rsidRDefault="290701AD" w:rsidP="00B16E13">
      <w:r w:rsidRPr="0772994C">
        <w:rPr>
          <w:b/>
          <w:bCs/>
        </w:rPr>
        <w:t xml:space="preserve">Separate sale opportunities may increase speculative development, where developers buy an existing home, build an ADU, and then immediately sell both homes (a form of house flipping). </w:t>
      </w:r>
      <w:r>
        <w:t xml:space="preserve">In Seattle, when the </w:t>
      </w:r>
      <w:r w:rsidR="00BD7095">
        <w:t>Ci</w:t>
      </w:r>
      <w:r>
        <w:t>ty allowed ADUs to be sold as condos</w:t>
      </w:r>
      <w:r w:rsidR="32A321B9">
        <w:t>,</w:t>
      </w:r>
      <w:r>
        <w:t xml:space="preserve"> it</w:t>
      </w:r>
      <w:r w:rsidR="2BC23838">
        <w:t xml:space="preserve"> </w:t>
      </w:r>
      <w:r>
        <w:t>caused a speculative boom leading to community and political backlash. It is important to weigh the benefits against the potential for speculation and destabilization of communities. Potential solutions include:</w:t>
      </w:r>
    </w:p>
    <w:p w14:paraId="453E46E0" w14:textId="677D54D8" w:rsidR="00BD7095" w:rsidRPr="00B16E13" w:rsidRDefault="00BD7095" w:rsidP="00B16E13">
      <w:pPr>
        <w:pStyle w:val="ListParagraph"/>
      </w:pPr>
      <w:r w:rsidRPr="00B16E13">
        <w:t xml:space="preserve">Provide </w:t>
      </w:r>
      <w:r w:rsidR="003E5E6C">
        <w:t>i</w:t>
      </w:r>
      <w:r w:rsidRPr="00B16E13">
        <w:t xml:space="preserve">ncentives for the original homeowner to maintain ownership of either the ADU or the main home. </w:t>
      </w:r>
    </w:p>
    <w:p w14:paraId="0131C8E2" w14:textId="3E085159" w:rsidR="00BD7095" w:rsidRPr="00B16E13" w:rsidRDefault="290701AD" w:rsidP="00B16E13">
      <w:pPr>
        <w:pStyle w:val="ListParagraph"/>
      </w:pPr>
      <w:r>
        <w:t xml:space="preserve">Establish a program in which only longer-term homeowners can utilize the separate sale provisions (for instance, allowing </w:t>
      </w:r>
      <w:r w:rsidR="6D1D0423">
        <w:t xml:space="preserve">the sale </w:t>
      </w:r>
      <w:r>
        <w:t>after a property is owned for a certain number of years).</w:t>
      </w:r>
    </w:p>
    <w:p w14:paraId="6DF440D8" w14:textId="77777777" w:rsidR="00BD7095" w:rsidRPr="00B16E13" w:rsidRDefault="00BD7095" w:rsidP="00B16E13">
      <w:pPr>
        <w:pStyle w:val="ListParagraph"/>
      </w:pPr>
      <w:r w:rsidRPr="00B16E13">
        <w:t>Require that ADUs be sold at affordable levels or provide incentives for doing so.</w:t>
      </w:r>
    </w:p>
    <w:p w14:paraId="4E6887E5" w14:textId="77777777" w:rsidR="00BD7095" w:rsidRPr="00B16E13" w:rsidRDefault="00BD7095" w:rsidP="00B16E13">
      <w:pPr>
        <w:pStyle w:val="ListParagraph"/>
      </w:pPr>
      <w:r w:rsidRPr="00B16E13">
        <w:t xml:space="preserve">Limit the number of ADUs that can be conveyed as condominiums in a single development project and/or limit to only single-family properties with one ADU. </w:t>
      </w:r>
    </w:p>
    <w:p w14:paraId="1B323116" w14:textId="77777777" w:rsidR="00BD7095" w:rsidRPr="00264851" w:rsidRDefault="00BD7095" w:rsidP="00B16E13">
      <w:pPr>
        <w:pStyle w:val="ListParagraph"/>
      </w:pPr>
      <w:r w:rsidRPr="00B16E13">
        <w:t>Limit the number of properties an applicant can subdivide to convert ADUs into condominiums.</w:t>
      </w:r>
    </w:p>
    <w:p w14:paraId="6F91EB1C" w14:textId="68DE7F66" w:rsidR="00BD7095" w:rsidRDefault="00BD7095" w:rsidP="00B16E13">
      <w:r w:rsidRPr="1EAA7862">
        <w:rPr>
          <w:b/>
          <w:bCs/>
        </w:rPr>
        <w:t xml:space="preserve">Allowing the separate sale of existing ADUs could lead to displacement of current tenants. </w:t>
      </w:r>
      <w:r w:rsidRPr="2B15DAC7">
        <w:t>It</w:t>
      </w:r>
      <w:r>
        <w:t xml:space="preserve"> may contribute to displacement</w:t>
      </w:r>
      <w:r w:rsidRPr="1EAA7862">
        <w:t xml:space="preserve">, especially in high-demand areas with limited affordable rental housing and where separate-sale ADUs are likely to command high prices. </w:t>
      </w:r>
      <w:r>
        <w:t xml:space="preserve">It is important to consider what protection policies and programs should be </w:t>
      </w:r>
      <w:r w:rsidR="00006C37">
        <w:t xml:space="preserve">implemented </w:t>
      </w:r>
      <w:r>
        <w:t xml:space="preserve">to prevent displacement. The Subdivision Map Act includes some tenant protections for conversion of existing rentals to condominiums (see Government Code Section 66427.1 and </w:t>
      </w:r>
      <w:r w:rsidR="00223A55">
        <w:t>S</w:t>
      </w:r>
      <w:r>
        <w:t>ections 66451 et seq).</w:t>
      </w:r>
      <w:r w:rsidR="00EC3B15">
        <w:t xml:space="preserve"> </w:t>
      </w:r>
      <w:r>
        <w:t>However, local jurisdictions can expand protections with measures</w:t>
      </w:r>
      <w:r w:rsidRPr="1EAA7862">
        <w:t xml:space="preserve"> includ</w:t>
      </w:r>
      <w:r>
        <w:t>ing</w:t>
      </w:r>
      <w:r w:rsidRPr="1EAA7862">
        <w:t>:</w:t>
      </w:r>
    </w:p>
    <w:p w14:paraId="4BF5945F" w14:textId="483EB100" w:rsidR="00BD7095" w:rsidRPr="00B16E13" w:rsidRDefault="290701AD" w:rsidP="00B16E13">
      <w:pPr>
        <w:pStyle w:val="ListParagraph"/>
      </w:pPr>
      <w:r>
        <w:t>Expand the</w:t>
      </w:r>
      <w:r w:rsidR="2BC23838">
        <w:t xml:space="preserve"> </w:t>
      </w:r>
      <w:r>
        <w:t>Subdivision Map Act (Government Code Section 66459) tenant protections</w:t>
      </w:r>
      <w:r w:rsidR="5533154F">
        <w:t xml:space="preserve"> </w:t>
      </w:r>
      <w:r>
        <w:t>to smaller projects (</w:t>
      </w:r>
      <w:r w:rsidR="2B8AB6A0">
        <w:t>four</w:t>
      </w:r>
      <w:r>
        <w:t xml:space="preserve"> or fewer parcels), including the first right of refusal, allowing existing tenants to become ADU owners. This can be combined with a downpayment assistance program. </w:t>
      </w:r>
    </w:p>
    <w:p w14:paraId="2749DC73" w14:textId="25A0089A" w:rsidR="00BD7095" w:rsidRPr="00B16E13" w:rsidRDefault="290701AD" w:rsidP="00B16E13">
      <w:pPr>
        <w:pStyle w:val="ListParagraph"/>
      </w:pPr>
      <w:r>
        <w:t xml:space="preserve">Require </w:t>
      </w:r>
      <w:r w:rsidR="62B09B25">
        <w:t xml:space="preserve">relocation assistance, and/or other tenant protections </w:t>
      </w:r>
      <w:r w:rsidR="04EEB384">
        <w:t xml:space="preserve">to vulnerable tenants, </w:t>
      </w:r>
      <w:r w:rsidR="62B09B25">
        <w:t xml:space="preserve">as well as </w:t>
      </w:r>
      <w:r w:rsidR="20A67AFF">
        <w:t xml:space="preserve">a </w:t>
      </w:r>
      <w:r w:rsidR="553EFA7A">
        <w:t>longer notification</w:t>
      </w:r>
      <w:r w:rsidR="6D224EEC">
        <w:t xml:space="preserve"> period</w:t>
      </w:r>
      <w:r w:rsidR="553EFA7A">
        <w:t xml:space="preserve"> </w:t>
      </w:r>
      <w:r w:rsidR="00806594">
        <w:t>for</w:t>
      </w:r>
      <w:r w:rsidR="32B42DD1">
        <w:t xml:space="preserve"> tenants</w:t>
      </w:r>
      <w:r w:rsidR="62B09B25">
        <w:t>.</w:t>
      </w:r>
      <w:r w:rsidR="553EFA7A">
        <w:t xml:space="preserve"> </w:t>
      </w:r>
      <w:r w:rsidR="62B09B25">
        <w:t xml:space="preserve">State law requires 60 </w:t>
      </w:r>
      <w:r w:rsidR="04EEB384">
        <w:t xml:space="preserve">days’ notice </w:t>
      </w:r>
      <w:r w:rsidR="62B09B25">
        <w:t>before filing</w:t>
      </w:r>
      <w:r w:rsidR="28EE9278">
        <w:t xml:space="preserve"> a</w:t>
      </w:r>
      <w:r w:rsidR="62B09B25">
        <w:t xml:space="preserve"> tentative map (Government Code 66427.1(a)(2)(A)) and 90 days’ notice of intention to sell to the </w:t>
      </w:r>
      <w:proofErr w:type="gramStart"/>
      <w:r w:rsidR="62B09B25">
        <w:t>general public</w:t>
      </w:r>
      <w:proofErr w:type="gramEnd"/>
      <w:r w:rsidR="62B09B25">
        <w:t xml:space="preserve"> (Government Code 66459(c).)</w:t>
      </w:r>
    </w:p>
    <w:p w14:paraId="579AFCBF" w14:textId="77777777" w:rsidR="00BD7095" w:rsidRPr="00B16E13" w:rsidRDefault="00BD7095" w:rsidP="00B16E13">
      <w:pPr>
        <w:pStyle w:val="ListParagraph"/>
      </w:pPr>
      <w:r w:rsidRPr="00B16E13">
        <w:t xml:space="preserve">Ensure that existing anti-displacement protections are applied to ADU units and that anti-displacement requirements are enforced. </w:t>
      </w:r>
    </w:p>
    <w:p w14:paraId="6FDF0479" w14:textId="6B5AFBC4" w:rsidR="00BD7095" w:rsidRDefault="290701AD" w:rsidP="00B16E13">
      <w:r>
        <w:t xml:space="preserve">For more information about tenant </w:t>
      </w:r>
      <w:r w:rsidR="36A17FD4">
        <w:t>protections,</w:t>
      </w:r>
      <w:r>
        <w:t xml:space="preserve"> visit the ABAG Regional Housing Technical Assistance </w:t>
      </w:r>
      <w:r w:rsidR="008744B7">
        <w:t xml:space="preserve">(RHTA) </w:t>
      </w:r>
      <w:hyperlink r:id="rId12" w:history="1">
        <w:r w:rsidRPr="0772994C">
          <w:rPr>
            <w:rStyle w:val="Hyperlink"/>
          </w:rPr>
          <w:t>Anti-Displacement Programs webpage</w:t>
        </w:r>
      </w:hyperlink>
      <w:r>
        <w:t>.</w:t>
      </w:r>
      <w:r w:rsidR="5533154F">
        <w:t xml:space="preserve"> </w:t>
      </w:r>
    </w:p>
    <w:p w14:paraId="59BB9509" w14:textId="08029039" w:rsidR="00BD7095" w:rsidRDefault="00BD7095" w:rsidP="00BD7095">
      <w:pPr>
        <w:pStyle w:val="Heading2"/>
        <w:rPr>
          <w:highlight w:val="white"/>
        </w:rPr>
      </w:pPr>
      <w:bookmarkStart w:id="10" w:name="_Toc209794941"/>
      <w:r w:rsidRPr="1EAA7862">
        <w:rPr>
          <w:highlight w:val="white"/>
        </w:rPr>
        <w:t xml:space="preserve">Lessons Learned from Other </w:t>
      </w:r>
      <w:r>
        <w:t>Jurisdictions</w:t>
      </w:r>
      <w:bookmarkEnd w:id="10"/>
    </w:p>
    <w:p w14:paraId="0C515682" w14:textId="77777777" w:rsidR="00BD7095" w:rsidRPr="00D11DDE" w:rsidRDefault="00BD7095" w:rsidP="00B16E13">
      <w:pPr>
        <w:pStyle w:val="Heading3"/>
      </w:pPr>
      <w:r>
        <w:t>Oregon</w:t>
      </w:r>
    </w:p>
    <w:p w14:paraId="277083B5" w14:textId="79BEAE08" w:rsidR="00BD7095" w:rsidRDefault="290701AD" w:rsidP="00B16E13">
      <w:r>
        <w:t xml:space="preserve">Oregon’s ADU condo program has become a viable business model for developers, with some actively creating condo units by converting homes with ADUs. Developers often buy properties, convert them into multiple condo units, and then sell them at </w:t>
      </w:r>
      <w:r w:rsidR="00432634">
        <w:t xml:space="preserve">lower </w:t>
      </w:r>
      <w:r>
        <w:t xml:space="preserve">prices </w:t>
      </w:r>
      <w:r w:rsidR="00432634">
        <w:t>than</w:t>
      </w:r>
      <w:r>
        <w:t xml:space="preserve"> </w:t>
      </w:r>
      <w:r w:rsidR="00432634">
        <w:t xml:space="preserve">the </w:t>
      </w:r>
      <w:r>
        <w:t xml:space="preserve">neighborhood average, adding more affordable housing options. </w:t>
      </w:r>
    </w:p>
    <w:p w14:paraId="22797F5D" w14:textId="77777777" w:rsidR="00BD7095" w:rsidRPr="00210373" w:rsidRDefault="00BD7095" w:rsidP="00B16E13">
      <w:r w:rsidRPr="00832179">
        <w:rPr>
          <w:b/>
          <w:bCs/>
        </w:rPr>
        <w:t>Benefits for First-Time Homebuyers:</w:t>
      </w:r>
      <w:r>
        <w:t xml:space="preserve"> Converted</w:t>
      </w:r>
      <w:r w:rsidRPr="1EAA7862">
        <w:t xml:space="preserve"> ADUs </w:t>
      </w:r>
      <w:r>
        <w:t xml:space="preserve">in Oregon often sell </w:t>
      </w:r>
      <w:r w:rsidRPr="1EAA7862">
        <w:t xml:space="preserve">at 20-30% below median prices </w:t>
      </w:r>
      <w:r>
        <w:t>for homes</w:t>
      </w:r>
      <w:r w:rsidRPr="1EAA7862">
        <w:t xml:space="preserve"> in </w:t>
      </w:r>
      <w:r w:rsidRPr="2B15DAC7">
        <w:t>their neighborhoods.</w:t>
      </w:r>
      <w:r w:rsidRPr="1EAA7862">
        <w:t xml:space="preserve"> Many buyers of ADU condos are first-time homeowners looking for smaller, more affordable options in desirable neighborhoods.</w:t>
      </w:r>
      <w:r>
        <w:t xml:space="preserve"> </w:t>
      </w:r>
      <w:r w:rsidRPr="00092B32">
        <w:rPr>
          <w:b/>
        </w:rPr>
        <w:t xml:space="preserve">Jurisdictions can promote this model to </w:t>
      </w:r>
      <w:r>
        <w:rPr>
          <w:b/>
        </w:rPr>
        <w:t>first-time homebuyers</w:t>
      </w:r>
      <w:r w:rsidRPr="00092B32">
        <w:rPr>
          <w:b/>
        </w:rPr>
        <w:t xml:space="preserve"> and provide resources specific to their needs.</w:t>
      </w:r>
    </w:p>
    <w:p w14:paraId="2A17C6A3" w14:textId="1DB6E14D" w:rsidR="00BD7095" w:rsidRDefault="00BD7095" w:rsidP="00B16E13">
      <w:pPr>
        <w:rPr>
          <w:b/>
        </w:rPr>
      </w:pPr>
      <w:r w:rsidRPr="00092B32">
        <w:rPr>
          <w:b/>
        </w:rPr>
        <w:t>Benefits for Older Homeowners:</w:t>
      </w:r>
      <w:r w:rsidRPr="2B15DAC7">
        <w:t xml:space="preserve"> Some Oregon jurisdictions have seen significant benefits for elderly homeowners looking to age in place. Homeowners </w:t>
      </w:r>
      <w:r>
        <w:t>have the option of</w:t>
      </w:r>
      <w:r w:rsidRPr="2B15DAC7">
        <w:t xml:space="preserve"> sell</w:t>
      </w:r>
      <w:r>
        <w:t>ing</w:t>
      </w:r>
      <w:r w:rsidRPr="2B15DAC7">
        <w:t xml:space="preserve"> the primary </w:t>
      </w:r>
      <w:r>
        <w:t>home</w:t>
      </w:r>
      <w:r w:rsidRPr="2B15DAC7">
        <w:t xml:space="preserve"> to pay off debt and remain mortgage-free in the ADU. This option</w:t>
      </w:r>
      <w:r w:rsidRPr="2B15DAC7" w:rsidDel="001D217E">
        <w:t xml:space="preserve"> </w:t>
      </w:r>
      <w:r w:rsidR="001D217E">
        <w:t>enables</w:t>
      </w:r>
      <w:r w:rsidR="001D217E" w:rsidRPr="2B15DAC7">
        <w:t xml:space="preserve"> </w:t>
      </w:r>
      <w:r w:rsidRPr="2B15DAC7">
        <w:t>older homeowners to live affordably in a familiar setting while improving their finances and downsizing to a home that can better support aging</w:t>
      </w:r>
      <w:r>
        <w:t>-in-place</w:t>
      </w:r>
      <w:r w:rsidRPr="2B15DAC7">
        <w:t xml:space="preserve">. </w:t>
      </w:r>
      <w:r w:rsidRPr="00092B32">
        <w:rPr>
          <w:b/>
        </w:rPr>
        <w:t>Jurisdictions can promote this model to elderly homeowners and provide resources specific to their unique needs.</w:t>
      </w:r>
    </w:p>
    <w:p w14:paraId="6D2C295D" w14:textId="5AF782EF" w:rsidR="00BD7095" w:rsidRPr="00832179" w:rsidRDefault="00BD7095" w:rsidP="00B16E13">
      <w:pPr>
        <w:rPr>
          <w:b/>
        </w:rPr>
      </w:pPr>
      <w:r w:rsidRPr="00A0149B">
        <w:rPr>
          <w:b/>
        </w:rPr>
        <w:t>Challenges with Lender Consen</w:t>
      </w:r>
      <w:r w:rsidRPr="2B15DAC7">
        <w:rPr>
          <w:b/>
        </w:rPr>
        <w:t xml:space="preserve">t: </w:t>
      </w:r>
      <w:r w:rsidRPr="2B15DAC7">
        <w:t xml:space="preserve">Some Oregon </w:t>
      </w:r>
      <w:r>
        <w:t>home</w:t>
      </w:r>
      <w:r w:rsidRPr="2B15DAC7">
        <w:t xml:space="preserve">owners have found it challenging to obtain lender consent, which is required for condo conversion. </w:t>
      </w:r>
      <w:r w:rsidRPr="003440D8">
        <w:t xml:space="preserve">Homeowners often need temporary, high-interest loans to pay off existing mortgages </w:t>
      </w:r>
      <w:r w:rsidR="00875A58">
        <w:t>before</w:t>
      </w:r>
      <w:r w:rsidRPr="003440D8">
        <w:t xml:space="preserve"> starting the recording process, adding cost and complexity.</w:t>
      </w:r>
      <w:r w:rsidRPr="000C78BB">
        <w:t xml:space="preserve"> </w:t>
      </w:r>
      <w:r w:rsidRPr="00092B32">
        <w:rPr>
          <w:b/>
        </w:rPr>
        <w:t>Jurisdictions can provid</w:t>
      </w:r>
      <w:r>
        <w:rPr>
          <w:b/>
        </w:rPr>
        <w:t>e</w:t>
      </w:r>
      <w:r w:rsidRPr="00092B32">
        <w:rPr>
          <w:b/>
        </w:rPr>
        <w:t xml:space="preserve"> low-interest loans for properties where the mortgage is being paid off during the sale.</w:t>
      </w:r>
    </w:p>
    <w:p w14:paraId="523BBFEF" w14:textId="77777777" w:rsidR="00BD7095" w:rsidRDefault="00BD7095" w:rsidP="00B16E13">
      <w:pPr>
        <w:pStyle w:val="Heading3"/>
      </w:pPr>
      <w:r>
        <w:t xml:space="preserve">Seattle, </w:t>
      </w:r>
      <w:r w:rsidRPr="00D11DDE">
        <w:t>Washington</w:t>
      </w:r>
    </w:p>
    <w:p w14:paraId="593F0412" w14:textId="51D809B8" w:rsidR="00BD7095" w:rsidRDefault="00BD7095" w:rsidP="00B16E13">
      <w:r w:rsidRPr="1EAA7862">
        <w:t xml:space="preserve">Washington State has allowed ADU </w:t>
      </w:r>
      <w:r>
        <w:t>condominiums</w:t>
      </w:r>
      <w:r w:rsidRPr="1EAA7862">
        <w:t xml:space="preserve"> since 2018 with legislatio</w:t>
      </w:r>
      <w:r>
        <w:t>n</w:t>
      </w:r>
      <w:r w:rsidRPr="1EAA7862">
        <w:t xml:space="preserve"> that reduced barriers for homeowners and developers, simplified processes</w:t>
      </w:r>
      <w:r w:rsidRPr="2B15DAC7">
        <w:t>,</w:t>
      </w:r>
      <w:r w:rsidRPr="1EAA7862">
        <w:t xml:space="preserve"> and fostered a boom in the ADU condo market. Seattle has emerged as a leading </w:t>
      </w:r>
      <w:r>
        <w:t>e</w:t>
      </w:r>
      <w:r w:rsidRPr="1EAA7862">
        <w:t xml:space="preserve">xample with significant successes </w:t>
      </w:r>
      <w:r w:rsidR="00D70621">
        <w:t>but has also faced concerns about speculative behavior</w:t>
      </w:r>
      <w:r>
        <w:t xml:space="preserve">, providing </w:t>
      </w:r>
      <w:r w:rsidRPr="1EAA7862">
        <w:t xml:space="preserve">key lessons for </w:t>
      </w:r>
      <w:r>
        <w:t xml:space="preserve">other </w:t>
      </w:r>
      <w:r w:rsidRPr="1EAA7862">
        <w:t>jurisdictions</w:t>
      </w:r>
      <w:r>
        <w:t>.</w:t>
      </w:r>
    </w:p>
    <w:p w14:paraId="618C14FB" w14:textId="138F1D6C" w:rsidR="00BD7095" w:rsidRDefault="00BD7095" w:rsidP="00B16E13">
      <w:r w:rsidRPr="1EAA7862">
        <w:t xml:space="preserve">ADU condos in Seattle </w:t>
      </w:r>
      <w:r>
        <w:t xml:space="preserve">sell </w:t>
      </w:r>
      <w:r w:rsidRPr="1EAA7862">
        <w:t>for around 40% less than the accompanying primary residence and around 50</w:t>
      </w:r>
      <w:r>
        <w:t>%</w:t>
      </w:r>
      <w:r w:rsidRPr="1EAA7862">
        <w:t xml:space="preserve"> less than a traditional single-family home</w:t>
      </w:r>
      <w:r w:rsidR="001A1E09">
        <w:t>,</w:t>
      </w:r>
      <w:r>
        <w:rPr>
          <w:rStyle w:val="FootnoteReference"/>
        </w:rPr>
        <w:footnoteReference w:id="1"/>
      </w:r>
      <w:r w:rsidRPr="1EAA7862">
        <w:t xml:space="preserve"> offering a relatively affordable entry point to homeownership. This affordability has driven interest from a range of buyers, including first-time homeowners, retirees, and those seeking smaller, </w:t>
      </w:r>
      <w:r>
        <w:t>less expensive</w:t>
      </w:r>
      <w:r w:rsidRPr="1EAA7862">
        <w:t xml:space="preserve"> housing options. According to Seattle’s Office of Planning and Development, in 2021 one-third of newly permitted</w:t>
      </w:r>
      <w:r>
        <w:t xml:space="preserve"> </w:t>
      </w:r>
      <w:r w:rsidRPr="1EAA7862">
        <w:t>ADUs were part of condominium developments</w:t>
      </w:r>
      <w:r w:rsidR="00A53680">
        <w:t>.</w:t>
      </w:r>
      <w:r>
        <w:rPr>
          <w:rStyle w:val="FootnoteReference"/>
        </w:rPr>
        <w:footnoteReference w:id="2"/>
      </w:r>
    </w:p>
    <w:p w14:paraId="560DD758" w14:textId="2F871A99" w:rsidR="00BD7095" w:rsidRPr="00A0149B" w:rsidRDefault="00BD7095" w:rsidP="00B16E13">
      <w:r w:rsidRPr="00B8794C">
        <w:rPr>
          <w:b/>
        </w:rPr>
        <w:t>Site Condominium</w:t>
      </w:r>
      <w:r>
        <w:rPr>
          <w:b/>
        </w:rPr>
        <w:t xml:space="preserve"> </w:t>
      </w:r>
      <w:r w:rsidR="00781F35">
        <w:rPr>
          <w:b/>
        </w:rPr>
        <w:t>Homeowners</w:t>
      </w:r>
      <w:r w:rsidR="002E751A">
        <w:rPr>
          <w:b/>
        </w:rPr>
        <w:t>’</w:t>
      </w:r>
      <w:r w:rsidR="00781F35">
        <w:rPr>
          <w:b/>
        </w:rPr>
        <w:t xml:space="preserve"> Association (</w:t>
      </w:r>
      <w:r>
        <w:rPr>
          <w:b/>
        </w:rPr>
        <w:t>HOA</w:t>
      </w:r>
      <w:r w:rsidR="00781F35">
        <w:rPr>
          <w:b/>
        </w:rPr>
        <w:t>)</w:t>
      </w:r>
      <w:r>
        <w:rPr>
          <w:b/>
        </w:rPr>
        <w:t xml:space="preserve"> Structure</w:t>
      </w:r>
      <w:r w:rsidRPr="00757045">
        <w:rPr>
          <w:b/>
          <w:bCs/>
        </w:rPr>
        <w:t>:</w:t>
      </w:r>
      <w:r w:rsidRPr="00757045">
        <w:t xml:space="preserve"> </w:t>
      </w:r>
      <w:r w:rsidRPr="1EAA7862">
        <w:t>Seattle</w:t>
      </w:r>
      <w:r>
        <w:t xml:space="preserve"> homeowners and developers</w:t>
      </w:r>
      <w:r w:rsidRPr="1EAA7862">
        <w:t xml:space="preserve"> ha</w:t>
      </w:r>
      <w:r>
        <w:t>ve</w:t>
      </w:r>
      <w:r w:rsidRPr="1EAA7862">
        <w:t xml:space="preserve"> widely embraced </w:t>
      </w:r>
      <w:r w:rsidRPr="2B15DAC7">
        <w:t xml:space="preserve">this </w:t>
      </w:r>
      <w:r>
        <w:t>model of HOA structure</w:t>
      </w:r>
      <w:r w:rsidRPr="2B15DAC7">
        <w:t xml:space="preserve"> in which </w:t>
      </w:r>
      <w:r>
        <w:t xml:space="preserve">each owner owns </w:t>
      </w:r>
      <w:r w:rsidRPr="00B66A60">
        <w:t>the</w:t>
      </w:r>
      <w:r>
        <w:t>ir unit</w:t>
      </w:r>
      <w:r w:rsidRPr="00B66A60">
        <w:t xml:space="preserve"> and </w:t>
      </w:r>
      <w:r>
        <w:t xml:space="preserve">the </w:t>
      </w:r>
      <w:r w:rsidRPr="00B66A60">
        <w:t xml:space="preserve">external areas </w:t>
      </w:r>
      <w:r>
        <w:t>that serve exclusively their household. This differs from</w:t>
      </w:r>
      <w:r w:rsidRPr="00B66A60">
        <w:t xml:space="preserve"> more commonly used </w:t>
      </w:r>
      <w:r>
        <w:t>HOA structures</w:t>
      </w:r>
      <w:r w:rsidRPr="00B66A60">
        <w:t xml:space="preserve"> in which </w:t>
      </w:r>
      <w:r>
        <w:t>home</w:t>
      </w:r>
      <w:r w:rsidRPr="00B66A60">
        <w:t>owners share</w:t>
      </w:r>
      <w:r>
        <w:t xml:space="preserve"> </w:t>
      </w:r>
      <w:r w:rsidRPr="00B66A60">
        <w:t xml:space="preserve">collective </w:t>
      </w:r>
      <w:r>
        <w:t>responsibility for the upkeep</w:t>
      </w:r>
      <w:r w:rsidRPr="00B66A60">
        <w:t xml:space="preserve"> of</w:t>
      </w:r>
      <w:r>
        <w:t xml:space="preserve"> all</w:t>
      </w:r>
      <w:r w:rsidRPr="00B66A60">
        <w:t xml:space="preserve"> areas</w:t>
      </w:r>
      <w:r>
        <w:t xml:space="preserve"> and amenities external to individual units</w:t>
      </w:r>
      <w:r w:rsidRPr="00B66A60">
        <w:t>.</w:t>
      </w:r>
      <w:r>
        <w:t xml:space="preserve"> For ADU condominiums, this might look like splitting the yard into separate areas that individual households are responsible for maintaining.</w:t>
      </w:r>
    </w:p>
    <w:p w14:paraId="6C0B35F7" w14:textId="78D7A2B2" w:rsidR="00BD7095" w:rsidRPr="00A46B7B" w:rsidRDefault="290701AD" w:rsidP="00B16E13">
      <w:r>
        <w:t xml:space="preserve">In Seattle, this model </w:t>
      </w:r>
      <w:r w:rsidR="7F30B42D">
        <w:t>has increasingly been used to appeal to</w:t>
      </w:r>
      <w:r>
        <w:t xml:space="preserve"> middle-income households </w:t>
      </w:r>
      <w:r w:rsidR="58FE1C2F">
        <w:t xml:space="preserve">searching for affordable homes </w:t>
      </w:r>
      <w:r>
        <w:t>in high</w:t>
      </w:r>
      <w:r w:rsidR="0A6866C7">
        <w:t>-</w:t>
      </w:r>
      <w:r>
        <w:t xml:space="preserve">income areas, because, from the homeowner perspective, site condo ownership functions most like owning a single-family property. Federal guidelines treat site condos like single-family homes for mortgage and insurance purposes, simplifying financing. Site condos </w:t>
      </w:r>
      <w:r w:rsidR="06533E47">
        <w:t>can reduce</w:t>
      </w:r>
      <w:r>
        <w:t xml:space="preserve"> monthly dues because of the reduction in common space. Each owner maintains their own property independently, and common areas are minimal, reducing HOA complexity. </w:t>
      </w:r>
    </w:p>
    <w:p w14:paraId="05222D42" w14:textId="77777777" w:rsidR="00BD7095" w:rsidRDefault="00BD7095" w:rsidP="00B16E13">
      <w:pPr>
        <w:rPr>
          <w:b/>
          <w:bCs/>
        </w:rPr>
      </w:pPr>
      <w:r w:rsidRPr="00B8794C">
        <w:rPr>
          <w:b/>
        </w:rPr>
        <w:t>Concerns About Speculative Behavior</w:t>
      </w:r>
      <w:r w:rsidRPr="00B8794C">
        <w:rPr>
          <w:b/>
          <w:bCs/>
        </w:rPr>
        <w:t>:</w:t>
      </w:r>
      <w:r>
        <w:t xml:space="preserve"> </w:t>
      </w:r>
      <w:r w:rsidRPr="1EAA7862">
        <w:t>The rapid growth of Seattle’s ADU condo market has led to concerns about speculative flipping. Developers have increasingly purchased single-family homes, built ADUs, and sold both the primary home and ADU</w:t>
      </w:r>
      <w:r>
        <w:t>(s)</w:t>
      </w:r>
      <w:r w:rsidRPr="1EAA7862">
        <w:t xml:space="preserve"> as separate condos. Critics point to the risk of displacement, as speculative activity drives up property values, making it harder for long-term residents to remain in their communities.</w:t>
      </w:r>
      <w:r>
        <w:t xml:space="preserve"> </w:t>
      </w:r>
      <w:r w:rsidRPr="00F73599">
        <w:rPr>
          <w:b/>
          <w:bCs/>
        </w:rPr>
        <w:t>Jurisdictions can adopt local policies that disincentivize property flipping and prioritize protection against displacement.</w:t>
      </w:r>
    </w:p>
    <w:p w14:paraId="0B2EFF71" w14:textId="43E99466" w:rsidR="00BD7095" w:rsidRPr="00921C4A" w:rsidRDefault="00BD7095" w:rsidP="00B16E13">
      <w:pPr>
        <w:pStyle w:val="Heading3"/>
      </w:pPr>
      <w:r>
        <w:t>California Jurisdictions</w:t>
      </w:r>
    </w:p>
    <w:p w14:paraId="250A49F3" w14:textId="77777777" w:rsidR="00BD7095" w:rsidRDefault="00BD7095" w:rsidP="00B16E13">
      <w:r>
        <w:rPr>
          <w:bCs/>
        </w:rPr>
        <w:t>In 2025, j</w:t>
      </w:r>
      <w:r w:rsidRPr="0090187D">
        <w:rPr>
          <w:bCs/>
        </w:rPr>
        <w:t>urisdictions</w:t>
      </w:r>
      <w:r>
        <w:rPr>
          <w:bCs/>
        </w:rPr>
        <w:t xml:space="preserve"> in California have only just begun to adopt ADU condominium ordinances under </w:t>
      </w:r>
      <w:r>
        <w:t xml:space="preserve">AB 1033. While there has not yet been enough time to study outcomes, early adopters are paving the way with implementation strategies and public information. </w:t>
      </w:r>
      <w:r w:rsidRPr="1EAA7862">
        <w:t>Martinez</w:t>
      </w:r>
      <w:r>
        <w:t xml:space="preserve"> and </w:t>
      </w:r>
      <w:r w:rsidRPr="1EAA7862">
        <w:t>San José</w:t>
      </w:r>
      <w:r>
        <w:t xml:space="preserve"> have both implemented ADU condominium programs, while</w:t>
      </w:r>
      <w:r w:rsidRPr="1EAA7862">
        <w:t xml:space="preserve"> </w:t>
      </w:r>
      <w:r>
        <w:t xml:space="preserve">Berkeley and San Diego are exploring adoption of ADU condominium programs. </w:t>
      </w:r>
    </w:p>
    <w:p w14:paraId="16C3B616" w14:textId="7C61622F" w:rsidR="00BD7095" w:rsidRDefault="00BD7095" w:rsidP="00B16E13">
      <w:r>
        <w:t xml:space="preserve">The Martinez and San José municipal codes regarding the program vary significantly, representing two different approaches. Martinez’s municipal code simply allows separate conveyance of ADUs in accordance with Government Code Section 66342, without further regulation. In contrast, San José’s municipal code outlines certain conditions under which ADU condominiums are permitted, capping the number of ADU condominiums that can be permitted on a given property, and explicitly outlining a process for permitting, inspection, HOA structuring, and other requirements. </w:t>
      </w:r>
      <w:r w:rsidRPr="00646898">
        <w:rPr>
          <w:b/>
          <w:bCs/>
        </w:rPr>
        <w:t>Jurisdictions should assess local market context and community needs before deciding between a simplified or more complex ordinance.</w:t>
      </w:r>
    </w:p>
    <w:p w14:paraId="6D2D366B" w14:textId="77777777" w:rsidR="00BD7095" w:rsidRPr="00005B8F" w:rsidRDefault="00BD7095" w:rsidP="00B16E13">
      <w:r>
        <w:t>San José also offers robust public information tools on ADU condominiums, including a webpage with information on the process to create ADU condominiums, an application checklist, and tools for the parcel mapping process.</w:t>
      </w:r>
    </w:p>
    <w:p w14:paraId="7A8D8B32" w14:textId="0CB1E546" w:rsidR="00BD7095" w:rsidRPr="00602DB1" w:rsidRDefault="00BD7095" w:rsidP="00B16E13">
      <w:r>
        <w:t xml:space="preserve">See the </w:t>
      </w:r>
      <w:r w:rsidR="00A245C6">
        <w:fldChar w:fldCharType="begin"/>
      </w:r>
      <w:r w:rsidR="00A245C6">
        <w:instrText xml:space="preserve"> REF _Ref210894805 \h </w:instrText>
      </w:r>
      <w:r w:rsidR="00A245C6">
        <w:fldChar w:fldCharType="separate"/>
      </w:r>
      <w:r w:rsidR="00A245C6">
        <w:t>Tools &amp; Resources</w:t>
      </w:r>
      <w:r w:rsidR="00A245C6">
        <w:fldChar w:fldCharType="end"/>
      </w:r>
      <w:r w:rsidR="00A245C6">
        <w:t xml:space="preserve"> Section </w:t>
      </w:r>
      <w:r>
        <w:t>at the end of for links to these programs.</w:t>
      </w:r>
    </w:p>
    <w:p w14:paraId="232205C3" w14:textId="77777777" w:rsidR="00BD7095" w:rsidRPr="00921C4A" w:rsidRDefault="00BD7095" w:rsidP="00B16E13">
      <w:pPr>
        <w:pStyle w:val="Heading3"/>
      </w:pPr>
      <w:r>
        <w:t xml:space="preserve">Applying </w:t>
      </w:r>
      <w:r w:rsidRPr="00921C4A">
        <w:t xml:space="preserve">Lessons </w:t>
      </w:r>
      <w:r>
        <w:t>Learned</w:t>
      </w:r>
    </w:p>
    <w:p w14:paraId="6B43C269" w14:textId="77777777" w:rsidR="00BD7095" w:rsidRPr="0090187D" w:rsidRDefault="00BD7095" w:rsidP="00BD7095">
      <w:r w:rsidRPr="00EE2248">
        <w:t xml:space="preserve">Jurisdictions can look </w:t>
      </w:r>
      <w:proofErr w:type="gramStart"/>
      <w:r w:rsidRPr="00EE2248">
        <w:t>to</w:t>
      </w:r>
      <w:proofErr w:type="gramEnd"/>
      <w:r w:rsidRPr="00EE2248">
        <w:t xml:space="preserve"> a few guiding principles and key strategies for implementing their own local ADU </w:t>
      </w:r>
      <w:r>
        <w:t>condominium</w:t>
      </w:r>
      <w:r w:rsidRPr="00EE2248">
        <w:t xml:space="preserve"> programs. These strategies can be selected and customized based on community needs and market trends in your area.</w:t>
      </w:r>
    </w:p>
    <w:p w14:paraId="2186154E" w14:textId="36A1CE89" w:rsidR="00BD7095" w:rsidRPr="00CC2388" w:rsidRDefault="00BD7095" w:rsidP="00BD7095">
      <w:pPr>
        <w:rPr>
          <w:bCs/>
        </w:rPr>
      </w:pPr>
      <w:r w:rsidRPr="0004265B">
        <w:rPr>
          <w:b/>
        </w:rPr>
        <w:t xml:space="preserve">Encourage </w:t>
      </w:r>
      <w:r>
        <w:rPr>
          <w:b/>
          <w:bCs/>
        </w:rPr>
        <w:t>m</w:t>
      </w:r>
      <w:r w:rsidRPr="0004265B">
        <w:rPr>
          <w:b/>
          <w:bCs/>
        </w:rPr>
        <w:t xml:space="preserve">arket </w:t>
      </w:r>
      <w:r>
        <w:rPr>
          <w:b/>
          <w:bCs/>
        </w:rPr>
        <w:t>a</w:t>
      </w:r>
      <w:r w:rsidRPr="0004265B">
        <w:rPr>
          <w:b/>
          <w:bCs/>
        </w:rPr>
        <w:t xml:space="preserve">ccessibility </w:t>
      </w:r>
      <w:r>
        <w:rPr>
          <w:b/>
          <w:bCs/>
        </w:rPr>
        <w:t>w</w:t>
      </w:r>
      <w:r w:rsidRPr="0004265B">
        <w:rPr>
          <w:b/>
          <w:bCs/>
        </w:rPr>
        <w:t xml:space="preserve">hile </w:t>
      </w:r>
      <w:r>
        <w:rPr>
          <w:b/>
          <w:bCs/>
        </w:rPr>
        <w:t>m</w:t>
      </w:r>
      <w:r w:rsidRPr="0004265B">
        <w:rPr>
          <w:b/>
          <w:bCs/>
        </w:rPr>
        <w:t xml:space="preserve">itigating </w:t>
      </w:r>
      <w:r>
        <w:rPr>
          <w:b/>
          <w:bCs/>
        </w:rPr>
        <w:t>s</w:t>
      </w:r>
      <w:r w:rsidRPr="0004265B">
        <w:rPr>
          <w:b/>
          <w:bCs/>
        </w:rPr>
        <w:t>peculation:</w:t>
      </w:r>
      <w:r>
        <w:t xml:space="preserve"> </w:t>
      </w:r>
      <w:r w:rsidR="00C82F14">
        <w:t xml:space="preserve">The </w:t>
      </w:r>
      <w:r w:rsidRPr="2B15DAC7">
        <w:t xml:space="preserve">ADU </w:t>
      </w:r>
      <w:r>
        <w:t>condominium program</w:t>
      </w:r>
      <w:r w:rsidRPr="2B15DAC7">
        <w:t xml:space="preserve"> in Seattle</w:t>
      </w:r>
      <w:r w:rsidRPr="03D007A8">
        <w:t xml:space="preserve"> demonstrates the need to balance incentives for ADU </w:t>
      </w:r>
      <w:r>
        <w:t>condominiums</w:t>
      </w:r>
      <w:r w:rsidRPr="03D007A8">
        <w:t xml:space="preserve"> with protections against speculative behaviors. Local governments might consider resale restrictions or owner-occupancy incentives to maintain stability in affected neighborhoods.</w:t>
      </w:r>
    </w:p>
    <w:p w14:paraId="2FEC1F30" w14:textId="77777777" w:rsidR="00BD7095" w:rsidRDefault="00BD7095" w:rsidP="00BD7095">
      <w:r w:rsidRPr="0004265B">
        <w:rPr>
          <w:b/>
        </w:rPr>
        <w:t>Leverage</w:t>
      </w:r>
      <w:r>
        <w:rPr>
          <w:b/>
        </w:rPr>
        <w:t xml:space="preserve"> ADU condominiums for middle-income homeownership</w:t>
      </w:r>
      <w:r w:rsidRPr="0004265B">
        <w:rPr>
          <w:b/>
          <w:bCs/>
        </w:rPr>
        <w:t>:</w:t>
      </w:r>
      <w:r>
        <w:rPr>
          <w:b/>
          <w:bCs/>
        </w:rPr>
        <w:t xml:space="preserve"> </w:t>
      </w:r>
      <w:r w:rsidRPr="03D007A8">
        <w:t>The widespread adoption of site condos in Seattle highlights their effectiveness in simplifying financing and</w:t>
      </w:r>
      <w:r>
        <w:t xml:space="preserve"> legal administration for prospective homeowners.</w:t>
      </w:r>
      <w:r w:rsidRPr="03D007A8">
        <w:t xml:space="preserve"> Jurisdictions can promote this model to enhance the marketability of ADU condos while minimizing the complexity of shared governance structures.</w:t>
      </w:r>
    </w:p>
    <w:p w14:paraId="107543B7" w14:textId="6139807F" w:rsidR="00BD7095" w:rsidRPr="00A46B7B" w:rsidRDefault="00BD7095" w:rsidP="00BD7095">
      <w:pPr>
        <w:rPr>
          <w:b/>
        </w:rPr>
      </w:pPr>
      <w:r>
        <w:rPr>
          <w:b/>
          <w:bCs/>
        </w:rPr>
        <w:t>Reduce barriers to</w:t>
      </w:r>
      <w:r w:rsidRPr="00A46B7B">
        <w:rPr>
          <w:b/>
          <w:bCs/>
        </w:rPr>
        <w:t xml:space="preserve"> financing:</w:t>
      </w:r>
      <w:r>
        <w:t xml:space="preserve"> Lender and financing challenges in Oregon demonstrate how loan financing can present an insurmountable barrier without additional assistance. Jurisdictions can offer support in this area, especially for households that are vulnerable to displacement. Consider low-interest loans administered by the </w:t>
      </w:r>
      <w:r w:rsidR="00D73692">
        <w:t>jurisdiction</w:t>
      </w:r>
      <w:r>
        <w:t>, technical assistance in the form of financial counseling, or partnership with a local lending institution to streamline the financing process. Programs may also offer a streamlined application process or reduced fees for households facing financing challenges.</w:t>
      </w:r>
    </w:p>
    <w:p w14:paraId="7DB37DB2" w14:textId="6EFAE97B" w:rsidR="00BD7095" w:rsidRDefault="290701AD" w:rsidP="00BD7095">
      <w:r w:rsidRPr="0772994C">
        <w:rPr>
          <w:b/>
          <w:bCs/>
        </w:rPr>
        <w:t xml:space="preserve">Design outreach and support services for priority populations: </w:t>
      </w:r>
      <w:r>
        <w:t xml:space="preserve">ADU condominium programs in Oregon </w:t>
      </w:r>
      <w:r w:rsidR="52B57419">
        <w:t>have</w:t>
      </w:r>
      <w:r>
        <w:t xml:space="preserve"> shown that it can be a powerful tool for reducing displacement, increasing homeownership accessibility, and building wealth for low-income and elderly households. Create outreach plans designed to support and encourage ADU condominiums for homeowners and tenants </w:t>
      </w:r>
      <w:r w:rsidR="71229352">
        <w:t>who</w:t>
      </w:r>
      <w:r>
        <w:t xml:space="preserve"> are at risk of displacement and prioritize streamlining that reduces barriers for these demographics.</w:t>
      </w:r>
    </w:p>
    <w:p w14:paraId="69EA1B09" w14:textId="23B12A6D" w:rsidR="00BD7095" w:rsidRPr="00B97B0C" w:rsidRDefault="00BD7095" w:rsidP="00BD7095">
      <w:pPr>
        <w:pStyle w:val="Heading2"/>
      </w:pPr>
      <w:bookmarkStart w:id="11" w:name="_Toc209794942"/>
      <w:r w:rsidRPr="1EAA7862">
        <w:t>Legal Requirement</w:t>
      </w:r>
      <w:r>
        <w:t>s</w:t>
      </w:r>
      <w:bookmarkEnd w:id="11"/>
    </w:p>
    <w:p w14:paraId="551C0E65" w14:textId="194FD712" w:rsidR="00BD7095" w:rsidRDefault="00BD7095" w:rsidP="00BD7095">
      <w:r>
        <w:t>Local jurisdictions already have ordinances regulating subdivisions of real property</w:t>
      </w:r>
      <w:r w:rsidRPr="00353000">
        <w:t>.</w:t>
      </w:r>
      <w:r>
        <w:t xml:space="preserve"> Previously, real property could not be subdivided to allow the separate conveyance of ADUs as condominiums, but now state law</w:t>
      </w:r>
      <w:r w:rsidRPr="1EAA7862">
        <w:t xml:space="preserve"> </w:t>
      </w:r>
      <w:r w:rsidR="007E4011">
        <w:t>allows</w:t>
      </w:r>
      <w:r w:rsidRPr="1EAA7862">
        <w:t xml:space="preserve"> jurisdictions to adopt an ordinance </w:t>
      </w:r>
      <w:r w:rsidR="007E4011">
        <w:t>to permit it</w:t>
      </w:r>
      <w:r w:rsidRPr="1EAA7862">
        <w:t xml:space="preserve">. </w:t>
      </w:r>
      <w:r>
        <w:t xml:space="preserve">To allow ADU condominiums, jurisdictions must incorporate the additional state requirements </w:t>
      </w:r>
      <w:r w:rsidRPr="1EAA7862">
        <w:t xml:space="preserve">under </w:t>
      </w:r>
      <w:r>
        <w:t xml:space="preserve">Government Code Section 66342. </w:t>
      </w:r>
      <w:r w:rsidRPr="1EAA7862">
        <w:t xml:space="preserve">The requirements under </w:t>
      </w:r>
      <w:r>
        <w:t xml:space="preserve">Government Code Section 66342 </w:t>
      </w:r>
      <w:r w:rsidRPr="1EAA7862">
        <w:t xml:space="preserve">and related acts are outlined below. </w:t>
      </w:r>
    </w:p>
    <w:p w14:paraId="306128A3" w14:textId="77777777" w:rsidR="00BD7095" w:rsidRDefault="00BD7095" w:rsidP="00B16E13">
      <w:pPr>
        <w:pStyle w:val="Heading3"/>
      </w:pPr>
      <w:r>
        <w:t>Local Ordinance</w:t>
      </w:r>
    </w:p>
    <w:p w14:paraId="1A60B6EE" w14:textId="77777777" w:rsidR="00BD7095" w:rsidRDefault="00BD7095" w:rsidP="00BD7095">
      <w:pPr>
        <w:spacing w:before="240"/>
      </w:pPr>
      <w:r w:rsidRPr="00EF6877">
        <w:t xml:space="preserve">Jurisdictions </w:t>
      </w:r>
      <w:r>
        <w:t>can</w:t>
      </w:r>
      <w:r w:rsidRPr="00EF6877">
        <w:t xml:space="preserve"> adopt a local ordinance to allow the conversion of ADUs into separate condo units. </w:t>
      </w:r>
    </w:p>
    <w:p w14:paraId="0B568767" w14:textId="773C39B2" w:rsidR="00BD7095" w:rsidRDefault="00BD7095" w:rsidP="00BD7095">
      <w:r>
        <w:rPr>
          <w:b/>
        </w:rPr>
        <w:t>Implementation Considerations</w:t>
      </w:r>
      <w:r w:rsidRPr="006B4337">
        <w:rPr>
          <w:b/>
        </w:rPr>
        <w:t>:</w:t>
      </w:r>
      <w:r>
        <w:t xml:space="preserve"> </w:t>
      </w:r>
      <w:r w:rsidR="009F1F9B">
        <w:t>Jurisdictions</w:t>
      </w:r>
      <w:r w:rsidRPr="00EF6877">
        <w:t xml:space="preserve"> may add </w:t>
      </w:r>
      <w:r>
        <w:t xml:space="preserve">additional </w:t>
      </w:r>
      <w:r w:rsidRPr="00EF6877">
        <w:t xml:space="preserve">conditions for </w:t>
      </w:r>
      <w:r>
        <w:t xml:space="preserve">the creation of </w:t>
      </w:r>
      <w:r w:rsidRPr="00EF6877">
        <w:t xml:space="preserve">ADU </w:t>
      </w:r>
      <w:r>
        <w:t>condominiums; for example, limiting the number of allowed ADU condominium units in a development project</w:t>
      </w:r>
      <w:r w:rsidRPr="00EF6877">
        <w:t>.</w:t>
      </w:r>
      <w:r>
        <w:t xml:space="preserve"> Consider local housing goals, community context, and market conditions in the design of an ordinance.</w:t>
      </w:r>
    </w:p>
    <w:p w14:paraId="11954413" w14:textId="77777777" w:rsidR="00BD7095" w:rsidRDefault="00BD7095" w:rsidP="00B16E13">
      <w:pPr>
        <w:pStyle w:val="Heading3"/>
      </w:pPr>
      <w:r>
        <w:t xml:space="preserve">Consumer Notice </w:t>
      </w:r>
    </w:p>
    <w:p w14:paraId="26615596" w14:textId="77777777" w:rsidR="00BD7095" w:rsidRDefault="00BD7095" w:rsidP="00BD7095">
      <w:r>
        <w:t>Jurisdictions adopting ADU condominium programs must</w:t>
      </w:r>
      <w:r w:rsidRPr="00916B80">
        <w:t xml:space="preserve"> include a consumer notice in</w:t>
      </w:r>
      <w:r>
        <w:t xml:space="preserve"> all ADU and condominium submittal checklists and public information resources</w:t>
      </w:r>
      <w:r w:rsidRPr="00916B80">
        <w:t>. T</w:t>
      </w:r>
      <w:r>
        <w:t>he content of t</w:t>
      </w:r>
      <w:r w:rsidRPr="00916B80">
        <w:t xml:space="preserve">his notice </w:t>
      </w:r>
      <w:r>
        <w:t xml:space="preserve">is provided in Government Code Section 66342(e) and </w:t>
      </w:r>
      <w:r w:rsidRPr="00916B80">
        <w:t>informs prospective buyers and sellers about their responsibilities and the unique aspects of owning a condo ADU.</w:t>
      </w:r>
    </w:p>
    <w:p w14:paraId="7F1D164F" w14:textId="0252A09F" w:rsidR="00BD7095" w:rsidRDefault="00BD7095" w:rsidP="00BD7095">
      <w:r>
        <w:rPr>
          <w:b/>
        </w:rPr>
        <w:t>Implementation Tools:</w:t>
      </w:r>
      <w:r>
        <w:t xml:space="preserve"> The </w:t>
      </w:r>
      <w:r w:rsidR="008744B7" w:rsidRPr="008744B7">
        <w:t xml:space="preserve">ABAG RHTA </w:t>
      </w:r>
      <w:hyperlink r:id="rId13" w:history="1">
        <w:r w:rsidR="008744B7">
          <w:rPr>
            <w:rStyle w:val="Hyperlink"/>
          </w:rPr>
          <w:t>Consumer Notice Handout Template</w:t>
        </w:r>
      </w:hyperlink>
      <w:r>
        <w:t xml:space="preserve"> (coming soon) provides guidance to assist with compliance with this requirement.</w:t>
      </w:r>
    </w:p>
    <w:p w14:paraId="19EDC518" w14:textId="77777777" w:rsidR="00BD7095" w:rsidRDefault="00BD7095" w:rsidP="00B16E13">
      <w:pPr>
        <w:pStyle w:val="Heading3"/>
      </w:pPr>
      <w:r>
        <w:t>Condominium Plan</w:t>
      </w:r>
    </w:p>
    <w:p w14:paraId="2B910E4E" w14:textId="7B7F7FEB" w:rsidR="00C34D15" w:rsidRDefault="000F4F52" w:rsidP="00BD7095">
      <w:r>
        <w:t xml:space="preserve">The </w:t>
      </w:r>
      <w:r w:rsidRPr="00802235">
        <w:t>condominium plan</w:t>
      </w:r>
      <w:r>
        <w:t xml:space="preserve"> is a legal document, prepared by a licensed surveyor or </w:t>
      </w:r>
      <w:r w:rsidR="000E663D">
        <w:t xml:space="preserve">registered civil </w:t>
      </w:r>
      <w:r>
        <w:t xml:space="preserve">engineer and recorded with the County Recorder, </w:t>
      </w:r>
      <w:r w:rsidR="00FC408F">
        <w:t>which</w:t>
      </w:r>
      <w:r>
        <w:t xml:space="preserve"> serves as the official legal description for the property. It must detail the boundaries of </w:t>
      </w:r>
      <w:r w:rsidR="00892A94">
        <w:t>the</w:t>
      </w:r>
      <w:r>
        <w:t xml:space="preserve"> separate </w:t>
      </w:r>
      <w:r w:rsidR="00892A94">
        <w:t>interests (the dwelling units)</w:t>
      </w:r>
      <w:r>
        <w:t xml:space="preserve"> and </w:t>
      </w:r>
      <w:r w:rsidRPr="00802235">
        <w:t>common areas</w:t>
      </w:r>
      <w:r>
        <w:t xml:space="preserve"> (such as shared parking or yards). Because different </w:t>
      </w:r>
      <w:r w:rsidRPr="00802235">
        <w:t>legal models</w:t>
      </w:r>
      <w:r>
        <w:t xml:space="preserve"> exist for condominiums—each with </w:t>
      </w:r>
      <w:r w:rsidR="00096896">
        <w:t>different structures</w:t>
      </w:r>
      <w:r>
        <w:t xml:space="preserve"> for ownership</w:t>
      </w:r>
      <w:r w:rsidR="00AF4045">
        <w:t>,</w:t>
      </w:r>
      <w:r>
        <w:t xml:space="preserve"> maintenance</w:t>
      </w:r>
      <w:r w:rsidR="00AF4045">
        <w:t>, and even financing</w:t>
      </w:r>
      <w:r>
        <w:t>—the plan</w:t>
      </w:r>
      <w:r w:rsidR="00FB0ACD">
        <w:t>’</w:t>
      </w:r>
      <w:r>
        <w:t>s specifications, including how boundaries are drawn, must be tailored to the selected model.</w:t>
      </w:r>
      <w:r w:rsidR="002C5B30">
        <w:t xml:space="preserve"> </w:t>
      </w:r>
    </w:p>
    <w:p w14:paraId="3F0EFA51" w14:textId="241DF01B" w:rsidR="00BD7095" w:rsidRPr="000B4E82" w:rsidRDefault="00BD7095" w:rsidP="00BD7095">
      <w:r>
        <w:rPr>
          <w:b/>
        </w:rPr>
        <w:t>Implementation Considerations</w:t>
      </w:r>
      <w:r w:rsidRPr="006B4337">
        <w:rPr>
          <w:b/>
        </w:rPr>
        <w:t>:</w:t>
      </w:r>
      <w:r>
        <w:t xml:space="preserve"> </w:t>
      </w:r>
      <w:r w:rsidR="00BD3496" w:rsidRPr="00BD3496">
        <w:t>Jurisdictions looking for opportunities to increase middle-income homeownership may consider encouraging the site condo model that has increasingly been used in Seattle, with public information and legal templates.</w:t>
      </w:r>
    </w:p>
    <w:p w14:paraId="3CA5C154" w14:textId="77777777" w:rsidR="00BD7095" w:rsidRDefault="00BD7095" w:rsidP="00B16E13">
      <w:pPr>
        <w:pStyle w:val="Heading3"/>
      </w:pPr>
      <w:r>
        <w:t>Subdivision Map</w:t>
      </w:r>
    </w:p>
    <w:p w14:paraId="3DF68D6E" w14:textId="573A605B" w:rsidR="00BD7095" w:rsidRDefault="290701AD" w:rsidP="00BD7095">
      <w:r>
        <w:t xml:space="preserve">Subdivision maps legally create parcels of land that can be sold, financed and taxed separately. Since the property will be subdivided </w:t>
      </w:r>
      <w:proofErr w:type="gramStart"/>
      <w:r>
        <w:t>as</w:t>
      </w:r>
      <w:proofErr w:type="gramEnd"/>
      <w:r>
        <w:t xml:space="preserve"> condominium</w:t>
      </w:r>
      <w:r w:rsidR="00FC408F">
        <w:t>s</w:t>
      </w:r>
      <w:r>
        <w:t xml:space="preserve">, the map does not need to show how the building or airspace will be subdivided. Rather, the condominium plan provides greater detail. Maps must be prepared by licensed land surveyors or registered civil engineers and recorded with the County Recorder, creating legal, separate parcels for each condominium unit.  </w:t>
      </w:r>
    </w:p>
    <w:p w14:paraId="369C8D9A" w14:textId="450A0510" w:rsidR="00BD7095" w:rsidRDefault="290701AD" w:rsidP="00BD7095">
      <w:r>
        <w:t>Map requirements vary based on the size of the project.</w:t>
      </w:r>
      <w:r w:rsidR="4600D13C">
        <w:t xml:space="preserve"> </w:t>
      </w:r>
      <w:r>
        <w:t>Generally, a parcel map is required if the subdivision creates four or fewer parcels</w:t>
      </w:r>
      <w:r w:rsidR="7DD2021D">
        <w:t>,</w:t>
      </w:r>
      <w:r>
        <w:t xml:space="preserve"> and a tentative and final map</w:t>
      </w:r>
      <w:r w:rsidR="01C4393F">
        <w:t xml:space="preserve"> is required</w:t>
      </w:r>
      <w:r>
        <w:t xml:space="preserve"> if the subdivision creates five or more parcels.</w:t>
      </w:r>
      <w:r w:rsidR="4600D13C">
        <w:t xml:space="preserve"> </w:t>
      </w:r>
      <w:r>
        <w:t>While the Subdivision Map Act regulates the approval of parcel, tentative and final maps, it is important</w:t>
      </w:r>
      <w:r w:rsidR="63F57C6D">
        <w:t xml:space="preserve"> to review</w:t>
      </w:r>
      <w:r>
        <w:t xml:space="preserve"> the requirements of the Subdivision Map Act and the subdivision map ordinance of the local jurisdiction</w:t>
      </w:r>
      <w:r w:rsidR="63F57C6D">
        <w:t>,</w:t>
      </w:r>
      <w:r>
        <w:t xml:space="preserve"> as additional subdivision requirements may vary.</w:t>
      </w:r>
      <w:r w:rsidR="4600D13C">
        <w:t xml:space="preserve"> </w:t>
      </w:r>
    </w:p>
    <w:p w14:paraId="2EF12237" w14:textId="4AD103D8" w:rsidR="00BD7095" w:rsidRDefault="290701AD" w:rsidP="00BD7095">
      <w:r>
        <w:t xml:space="preserve">If the property development </w:t>
      </w:r>
      <w:r w:rsidR="3669D68B">
        <w:t>already exists</w:t>
      </w:r>
      <w:r>
        <w:t xml:space="preserve"> and the proposal is to convert existing units into a condominium project, the owner will have to comply with additional tenant protection requirements.</w:t>
      </w:r>
      <w:r w:rsidR="4600D13C">
        <w:t xml:space="preserve"> </w:t>
      </w:r>
      <w:r>
        <w:t>For example, the Subdivision Map Act imposes tenant protection requirements for projects requiring approval of a final map (</w:t>
      </w:r>
      <w:r w:rsidR="75F51C52">
        <w:t>five</w:t>
      </w:r>
      <w:r w:rsidR="0AE0148F">
        <w:t xml:space="preserve"> or more</w:t>
      </w:r>
      <w:r>
        <w:t xml:space="preserve"> parcels).</w:t>
      </w:r>
      <w:r w:rsidR="4600D13C">
        <w:t xml:space="preserve"> </w:t>
      </w:r>
      <w:r>
        <w:t xml:space="preserve">This includes the requirement to provide notice to existing and prospective tenants of the owner’s intent to sell the unit(s) and </w:t>
      </w:r>
      <w:r w:rsidR="25F51A18">
        <w:t xml:space="preserve">to provide </w:t>
      </w:r>
      <w:r>
        <w:t>the tenants with a right of first refusal to purchase the condominium unit.</w:t>
      </w:r>
      <w:r w:rsidR="4600D13C">
        <w:t xml:space="preserve"> </w:t>
      </w:r>
      <w:r>
        <w:t xml:space="preserve">Local jurisdictions may have condominium conversion ordinances that impose additional requirements for proposed condominium conversions that are more extensive than the Subdivision Map Act, including additional tenant relocation requirements.  </w:t>
      </w:r>
    </w:p>
    <w:p w14:paraId="73BA6694" w14:textId="77777777" w:rsidR="00BD7095" w:rsidRDefault="00BD7095" w:rsidP="00BD7095">
      <w:r w:rsidRPr="00D163E0">
        <w:rPr>
          <w:b/>
          <w:bCs/>
        </w:rPr>
        <w:t xml:space="preserve">Challenges for </w:t>
      </w:r>
      <w:r>
        <w:rPr>
          <w:b/>
          <w:bCs/>
        </w:rPr>
        <w:t>Homeowners</w:t>
      </w:r>
      <w:r w:rsidRPr="006E554F">
        <w:rPr>
          <w:b/>
        </w:rPr>
        <w:t>:</w:t>
      </w:r>
      <w:r w:rsidRPr="00713E03">
        <w:t xml:space="preserve"> Creating a </w:t>
      </w:r>
      <w:r>
        <w:t>subdivision</w:t>
      </w:r>
      <w:r w:rsidRPr="00713E03">
        <w:t xml:space="preserve"> map can be an unexpected and significant cost, as it involves hiring a licensed surveyor</w:t>
      </w:r>
      <w:r>
        <w:t xml:space="preserve"> and, for condominium conversions, it involves costs related to tenant protection requirements</w:t>
      </w:r>
      <w:r w:rsidRPr="00713E03">
        <w:t>. Beyond cost, the mapping process itself can be daunting for first-time applicants. The Subdivision Map Act requirements are complex, especially for homeowners who are likely unfamiliar with mapping.</w:t>
      </w:r>
    </w:p>
    <w:p w14:paraId="60296DCA" w14:textId="4F8D609E" w:rsidR="00C34D15" w:rsidRDefault="290701AD" w:rsidP="00C34D15">
      <w:r w:rsidRPr="0772994C">
        <w:rPr>
          <w:b/>
          <w:bCs/>
        </w:rPr>
        <w:t>Implementation Considerations:</w:t>
      </w:r>
      <w:r>
        <w:t xml:space="preserve"> Provide tools and support for homeowners navigating the mapping process. Offer accessible information on technical requirements, timelines and approvals necessary to complete a compliant subdivision map.</w:t>
      </w:r>
      <w:r w:rsidR="2CECAE15">
        <w:t xml:space="preserve"> </w:t>
      </w:r>
    </w:p>
    <w:p w14:paraId="50FE2A5C" w14:textId="7DC068F5" w:rsidR="00BD7095" w:rsidRPr="00C34D15" w:rsidRDefault="2CECAE15" w:rsidP="00BD7095">
      <w:pPr>
        <w:rPr>
          <w:b/>
          <w:bCs/>
        </w:rPr>
      </w:pPr>
      <w:r w:rsidRPr="0772994C">
        <w:rPr>
          <w:b/>
          <w:bCs/>
        </w:rPr>
        <w:t>Streamlined option:</w:t>
      </w:r>
      <w:r>
        <w:t xml:space="preserve"> Allow applicants to </w:t>
      </w:r>
      <w:r w:rsidR="63D31C94">
        <w:t>use</w:t>
      </w:r>
      <w:r>
        <w:t xml:space="preserve"> the streamlined parcel map waiver option under Government Code Section 66428(b), which replaces the full mapping process with a Certificate of Compliance when feasible. This approach can reduce costs and complexity for applicants.</w:t>
      </w:r>
    </w:p>
    <w:p w14:paraId="41ABE928" w14:textId="77777777" w:rsidR="00BD7095" w:rsidRDefault="00BD7095" w:rsidP="00B16E13">
      <w:pPr>
        <w:pStyle w:val="Heading3"/>
      </w:pPr>
      <w:r w:rsidRPr="00617947">
        <w:rPr>
          <w:lang w:val="en"/>
        </w:rPr>
        <w:t>Public Report</w:t>
      </w:r>
    </w:p>
    <w:p w14:paraId="7B1C8649" w14:textId="40130F30" w:rsidR="00BD7095" w:rsidRDefault="00BD7095" w:rsidP="00BD7095">
      <w:pPr>
        <w:rPr>
          <w:b/>
          <w:bCs/>
        </w:rPr>
      </w:pPr>
      <w:r w:rsidRPr="00617947">
        <w:t>If five or more parcels are created,</w:t>
      </w:r>
      <w:r>
        <w:t xml:space="preserve"> the condominium project must comply with the Subdivided Lands Act (Business &amp; Professions Code Sections 11000 </w:t>
      </w:r>
      <w:r w:rsidRPr="00617947">
        <w:rPr>
          <w:i/>
          <w:iCs/>
        </w:rPr>
        <w:t>et seq</w:t>
      </w:r>
      <w:r>
        <w:t>)</w:t>
      </w:r>
      <w:r w:rsidR="00B902C3">
        <w:t xml:space="preserve">—which </w:t>
      </w:r>
      <w:r w:rsidR="007F2143">
        <w:t>requires that a subdivider obtain a report containing</w:t>
      </w:r>
      <w:r w:rsidR="00BF5317">
        <w:t xml:space="preserve"> specific</w:t>
      </w:r>
      <w:r w:rsidR="007F2143">
        <w:t xml:space="preserve"> information for prospective buyers—</w:t>
      </w:r>
      <w:r>
        <w:t>prior to offering the parcels for sale.</w:t>
      </w:r>
      <w:r w:rsidR="00A449E9">
        <w:t xml:space="preserve"> </w:t>
      </w:r>
      <w:r>
        <w:t xml:space="preserve">Note that the application for public reports is processed by the California Department of Real Estate; thus, the process </w:t>
      </w:r>
      <w:r w:rsidR="14BED7B4">
        <w:t>is</w:t>
      </w:r>
      <w:r>
        <w:t xml:space="preserve"> outside of the jurisdiction of the local public agency.</w:t>
      </w:r>
    </w:p>
    <w:p w14:paraId="105887CC" w14:textId="59877DDB" w:rsidR="00BD7095" w:rsidRDefault="290701AD" w:rsidP="00BD7095">
      <w:r w:rsidRPr="0772994C">
        <w:rPr>
          <w:b/>
          <w:bCs/>
        </w:rPr>
        <w:t>Implementation Considerations:</w:t>
      </w:r>
      <w:r>
        <w:t xml:space="preserve"> Direct homeowners to the Department of Real Estate to obtain information on technical requirements, timelines and approvals necessary to complete a public report application.</w:t>
      </w:r>
      <w:r w:rsidR="4600D13C">
        <w:t xml:space="preserve"> </w:t>
      </w:r>
      <w:r>
        <w:t>The application forms for the public report are provided on the California Department of Real Estate website.</w:t>
      </w:r>
      <w:r w:rsidR="4600D13C">
        <w:t xml:space="preserve"> </w:t>
      </w:r>
    </w:p>
    <w:p w14:paraId="2F5E5887" w14:textId="3DF42854" w:rsidR="00BD7095" w:rsidRDefault="290701AD" w:rsidP="00B16E13">
      <w:pPr>
        <w:pStyle w:val="Heading3"/>
      </w:pPr>
      <w:r>
        <w:t>Covenants, Conditions &amp; Restrictions (CC&amp;Rs)</w:t>
      </w:r>
    </w:p>
    <w:p w14:paraId="51770E74" w14:textId="412E44BC" w:rsidR="00BD7095" w:rsidRDefault="00BD7095" w:rsidP="00BD7095">
      <w:pPr>
        <w:rPr>
          <w:b/>
          <w:bCs/>
        </w:rPr>
      </w:pPr>
      <w:r>
        <w:t>CC&amp;Rs are r</w:t>
      </w:r>
      <w:r w:rsidRPr="00EF6877">
        <w:t>equired to establish property usage rules and responsibilities for each unit</w:t>
      </w:r>
      <w:r>
        <w:t xml:space="preserve"> in the common interest development</w:t>
      </w:r>
      <w:r w:rsidR="00D54294">
        <w:t xml:space="preserve"> (CID)</w:t>
      </w:r>
      <w:r w:rsidRPr="00EF6877">
        <w:t>.</w:t>
      </w:r>
    </w:p>
    <w:p w14:paraId="5F72690E" w14:textId="28280846" w:rsidR="00BD7095" w:rsidRDefault="00BD7095" w:rsidP="00BD7095">
      <w:r w:rsidRPr="00471D12">
        <w:rPr>
          <w:b/>
        </w:rPr>
        <w:t>Challenge</w:t>
      </w:r>
      <w:r>
        <w:rPr>
          <w:b/>
          <w:bCs/>
        </w:rPr>
        <w:t>s for Homeowners</w:t>
      </w:r>
      <w:r w:rsidRPr="00471D12">
        <w:rPr>
          <w:b/>
        </w:rPr>
        <w:t>:</w:t>
      </w:r>
      <w:r>
        <w:t xml:space="preserve"> </w:t>
      </w:r>
      <w:r w:rsidRPr="003D18DF">
        <w:t xml:space="preserve">Homeowners are often unfamiliar with the legal </w:t>
      </w:r>
      <w:r>
        <w:t>and administrative burdens</w:t>
      </w:r>
      <w:r w:rsidRPr="003D18DF">
        <w:t xml:space="preserve"> of creating a </w:t>
      </w:r>
      <w:r>
        <w:t xml:space="preserve">Declaration </w:t>
      </w:r>
      <w:r w:rsidR="14BED7B4">
        <w:t xml:space="preserve">of </w:t>
      </w:r>
      <w:r w:rsidRPr="003D18DF">
        <w:t>C</w:t>
      </w:r>
      <w:r>
        <w:t>C</w:t>
      </w:r>
      <w:r w:rsidRPr="003D18DF">
        <w:t>&amp;R</w:t>
      </w:r>
      <w:r>
        <w:t>s.</w:t>
      </w:r>
      <w:r w:rsidRPr="003D18DF">
        <w:t xml:space="preserve"> These documents are complex and typically require legal expertise to draft, adding both financial and administrative burdens for applicants.</w:t>
      </w:r>
      <w:r w:rsidRPr="003D18DF">
        <w:rPr>
          <w:b/>
          <w:bCs/>
        </w:rPr>
        <w:t xml:space="preserve"> </w:t>
      </w:r>
    </w:p>
    <w:p w14:paraId="43353406" w14:textId="77777777" w:rsidR="00BD7095" w:rsidRDefault="00BD7095" w:rsidP="00BD7095">
      <w:r>
        <w:rPr>
          <w:b/>
        </w:rPr>
        <w:t>Implementation Considerations</w:t>
      </w:r>
      <w:r w:rsidRPr="006B4337">
        <w:rPr>
          <w:b/>
        </w:rPr>
        <w:t>:</w:t>
      </w:r>
      <w:r>
        <w:t xml:space="preserve"> </w:t>
      </w:r>
      <w:r w:rsidRPr="515C3FE5">
        <w:t>Offer template legal documents with detailed information on how to customize, along with an overview of common questions for homeowners to review with their legal team.</w:t>
      </w:r>
    </w:p>
    <w:p w14:paraId="6B19A045" w14:textId="77777777" w:rsidR="00BD7095" w:rsidRDefault="00BD7095" w:rsidP="00B16E13">
      <w:pPr>
        <w:pStyle w:val="Heading3"/>
      </w:pPr>
      <w:r>
        <w:t>Governance &amp; HOAs</w:t>
      </w:r>
    </w:p>
    <w:p w14:paraId="51266BF4" w14:textId="39DA158E" w:rsidR="00BD7095" w:rsidRDefault="00BD7095" w:rsidP="00BD7095">
      <w:r w:rsidRPr="1EAA7862">
        <w:t>Even in a two-unit condo setup (primary residence and ADU), a governance structure is required. A</w:t>
      </w:r>
      <w:r>
        <w:t xml:space="preserve">n </w:t>
      </w:r>
      <w:r w:rsidRPr="1EAA7862">
        <w:t>HOA</w:t>
      </w:r>
      <w:r>
        <w:t xml:space="preserve">, Condominium Association </w:t>
      </w:r>
      <w:r w:rsidRPr="1EAA7862">
        <w:t>or similar entity would manage shared spaces and outline maintenance responsibilities, cost-sharing and property management expectations for the units. If an HOA</w:t>
      </w:r>
      <w:r>
        <w:t xml:space="preserve"> or </w:t>
      </w:r>
      <w:r w:rsidR="00146892">
        <w:t xml:space="preserve">Condominium Association </w:t>
      </w:r>
      <w:r w:rsidRPr="1EAA7862">
        <w:t>already exists on property</w:t>
      </w:r>
      <w:r w:rsidR="00523605">
        <w:t>,</w:t>
      </w:r>
      <w:r>
        <w:t xml:space="preserve"> their </w:t>
      </w:r>
      <w:r w:rsidRPr="1EAA7862">
        <w:t>approval would be required for the new ADU condo</w:t>
      </w:r>
      <w:r w:rsidR="002A5B73">
        <w:t>minium</w:t>
      </w:r>
      <w:r w:rsidRPr="1EAA7862">
        <w:t xml:space="preserve"> plan.</w:t>
      </w:r>
    </w:p>
    <w:p w14:paraId="4A085744" w14:textId="5463CC7E" w:rsidR="00BD7095" w:rsidRDefault="290701AD" w:rsidP="00BD7095">
      <w:r w:rsidRPr="0772994C">
        <w:rPr>
          <w:b/>
          <w:bCs/>
        </w:rPr>
        <w:t xml:space="preserve">Challenges for Homeowners: </w:t>
      </w:r>
      <w:r>
        <w:t>Setting up an HOA or other governance structure requires managing shared responsibilities, such as maintenance of common areas, insurance and utility costs. For smaller properties with only two units (the primary residence and ADU), the governance structure can feel excessive and may deter some homeowners, yet it is a necessary part of legal compliance.</w:t>
      </w:r>
    </w:p>
    <w:p w14:paraId="3D08AD8F" w14:textId="14CB33A2" w:rsidR="00BD7095" w:rsidRPr="006B4337" w:rsidRDefault="00BD7095" w:rsidP="00BD7095">
      <w:r>
        <w:rPr>
          <w:b/>
        </w:rPr>
        <w:t>Implementation Considerations</w:t>
      </w:r>
      <w:r w:rsidRPr="006B4337">
        <w:rPr>
          <w:b/>
        </w:rPr>
        <w:t>:</w:t>
      </w:r>
      <w:r>
        <w:t xml:space="preserve"> Provide</w:t>
      </w:r>
      <w:r w:rsidRPr="003D18DF">
        <w:t xml:space="preserve"> template documents and simplified governance options</w:t>
      </w:r>
      <w:r>
        <w:t xml:space="preserve"> and connect applicants with existing resources on Condominium Associations and </w:t>
      </w:r>
      <w:r w:rsidR="00861126">
        <w:t>HOAs</w:t>
      </w:r>
      <w:r>
        <w:t>.</w:t>
      </w:r>
    </w:p>
    <w:p w14:paraId="10F72955" w14:textId="77777777" w:rsidR="00BD7095" w:rsidRDefault="00BD7095" w:rsidP="00B16E13">
      <w:pPr>
        <w:pStyle w:val="Heading3"/>
      </w:pPr>
      <w:r>
        <w:t>Safety Inspection &amp; Compliance Certification</w:t>
      </w:r>
    </w:p>
    <w:p w14:paraId="74F9684F" w14:textId="6F695F83" w:rsidR="00BD7095" w:rsidRDefault="00BD7095" w:rsidP="00BD7095">
      <w:r w:rsidRPr="00916B80">
        <w:t xml:space="preserve">Before </w:t>
      </w:r>
      <w:r>
        <w:t xml:space="preserve">the recordation of the condominium plan </w:t>
      </w:r>
      <w:r w:rsidRPr="00916B80">
        <w:t>an</w:t>
      </w:r>
      <w:r>
        <w:t>d before an</w:t>
      </w:r>
      <w:r w:rsidRPr="00916B80">
        <w:t xml:space="preserve"> ADU can be sold separately, it must pass a safety inspection. Jurisdictions have discretion regarding whether to require a certificate of occupancy or HUD-Certified Housing Quality Standards (HQS) Report and under what circumstances.</w:t>
      </w:r>
    </w:p>
    <w:p w14:paraId="1F239503" w14:textId="77777777" w:rsidR="00BD7095" w:rsidRDefault="00BD7095" w:rsidP="00BD7095">
      <w:r>
        <w:rPr>
          <w:b/>
          <w:bCs/>
        </w:rPr>
        <w:t xml:space="preserve">Challenges for Homeowners: </w:t>
      </w:r>
      <w:r>
        <w:t xml:space="preserve">For condominium conversions, homeowners will potentially have to pay permitting and construction costs to bring the unit up to code </w:t>
      </w:r>
      <w:proofErr w:type="gramStart"/>
      <w:r>
        <w:t>in order for</w:t>
      </w:r>
      <w:proofErr w:type="gramEnd"/>
      <w:r>
        <w:t xml:space="preserve"> the ADU to be eligible for separate conveyance.</w:t>
      </w:r>
    </w:p>
    <w:p w14:paraId="331866BD" w14:textId="77777777" w:rsidR="00BD7095" w:rsidRDefault="00BD7095" w:rsidP="00BD7095">
      <w:r>
        <w:rPr>
          <w:b/>
        </w:rPr>
        <w:t>Implementation Considerations</w:t>
      </w:r>
      <w:r w:rsidRPr="006B4337">
        <w:rPr>
          <w:b/>
        </w:rPr>
        <w:t>:</w:t>
      </w:r>
      <w:r>
        <w:t xml:space="preserve"> Provide homeowners with an overview of safety requirements before they schedule an inspection. Early education can reduce delays for both homeowners and jurisdiction staff.</w:t>
      </w:r>
    </w:p>
    <w:p w14:paraId="4A2A218C" w14:textId="77777777" w:rsidR="00BD7095" w:rsidRDefault="00BD7095" w:rsidP="00B16E13">
      <w:pPr>
        <w:pStyle w:val="Heading3"/>
      </w:pPr>
      <w:r>
        <w:t>Approval from Existing Lienholders</w:t>
      </w:r>
    </w:p>
    <w:p w14:paraId="4D55DD3D" w14:textId="38821535" w:rsidR="00BD7095" w:rsidRDefault="00BD7095" w:rsidP="00BD7095">
      <w:r w:rsidRPr="00916B80">
        <w:t xml:space="preserve">Properties with existing mortgages or liens require consent from lenders to proceed with </w:t>
      </w:r>
      <w:r>
        <w:t>converting the property into a condominium project</w:t>
      </w:r>
      <w:r w:rsidRPr="00916B80">
        <w:t>.</w:t>
      </w:r>
    </w:p>
    <w:p w14:paraId="72153DC8" w14:textId="031CF452" w:rsidR="00BD7095" w:rsidRPr="00F451C3" w:rsidRDefault="00BD7095" w:rsidP="00BD7095">
      <w:pPr>
        <w:rPr>
          <w:b/>
        </w:rPr>
      </w:pPr>
      <w:r>
        <w:rPr>
          <w:b/>
          <w:bCs/>
        </w:rPr>
        <w:t xml:space="preserve">Challenges for Homeowners: </w:t>
      </w:r>
      <w:r w:rsidRPr="00916B80">
        <w:t xml:space="preserve">Obtaining </w:t>
      </w:r>
      <w:r>
        <w:t xml:space="preserve">lender or </w:t>
      </w:r>
      <w:r w:rsidRPr="00916B80">
        <w:t xml:space="preserve">lienholder consent can be complex </w:t>
      </w:r>
      <w:r>
        <w:t xml:space="preserve">especially for those with </w:t>
      </w:r>
      <w:r w:rsidRPr="00916B80">
        <w:t>a pre</w:t>
      </w:r>
      <w:r>
        <w:t>-</w:t>
      </w:r>
      <w:r w:rsidRPr="00916B80">
        <w:t xml:space="preserve">existing conforming, FHA, VA or USDA loan. </w:t>
      </w:r>
      <w:r w:rsidR="00FA4EF4">
        <w:t>H</w:t>
      </w:r>
      <w:r>
        <w:t>omeowners with these types of</w:t>
      </w:r>
      <w:r w:rsidRPr="00916B80">
        <w:t xml:space="preserve"> loan</w:t>
      </w:r>
      <w:r>
        <w:t>s</w:t>
      </w:r>
      <w:r w:rsidRPr="003D18DF">
        <w:t xml:space="preserve"> </w:t>
      </w:r>
      <w:r w:rsidR="00FA4EF4">
        <w:t>may encounter difficulty</w:t>
      </w:r>
      <w:r w:rsidRPr="003D18DF">
        <w:t xml:space="preserve"> get</w:t>
      </w:r>
      <w:r w:rsidR="00FA4EF4">
        <w:t>ting</w:t>
      </w:r>
      <w:r w:rsidRPr="003D18DF">
        <w:t xml:space="preserve"> lender consent for a loan modification</w:t>
      </w:r>
      <w:r w:rsidR="00EE5F81">
        <w:t xml:space="preserve"> because of the strict guidelines for changes to the underlying asset securing these loans</w:t>
      </w:r>
      <w:r w:rsidR="00031324">
        <w:t>. As a result,</w:t>
      </w:r>
      <w:r w:rsidR="00FD1C65" w:rsidDel="00031324">
        <w:t xml:space="preserve"> </w:t>
      </w:r>
      <w:r w:rsidR="00FD1C65">
        <w:t xml:space="preserve">the homeowner </w:t>
      </w:r>
      <w:r w:rsidR="00FA4EF4">
        <w:t xml:space="preserve">may need to </w:t>
      </w:r>
      <w:r w:rsidRPr="003D18DF">
        <w:t>pay off their existing loan</w:t>
      </w:r>
      <w:r w:rsidR="00C96889">
        <w:t xml:space="preserve"> or </w:t>
      </w:r>
      <w:r w:rsidRPr="003D18DF">
        <w:t>refinanc</w:t>
      </w:r>
      <w:r w:rsidR="00C96889">
        <w:t>e</w:t>
      </w:r>
      <w:r w:rsidRPr="003D18DF">
        <w:t xml:space="preserve"> prior to recording the condo plan.</w:t>
      </w:r>
    </w:p>
    <w:p w14:paraId="33F00C94" w14:textId="5B527BD2" w:rsidR="00BD7095" w:rsidRPr="00B868C4" w:rsidRDefault="00BD7095" w:rsidP="00BD7095">
      <w:r>
        <w:rPr>
          <w:b/>
        </w:rPr>
        <w:t>Implementation Considerations</w:t>
      </w:r>
      <w:r w:rsidRPr="006B4337">
        <w:rPr>
          <w:b/>
        </w:rPr>
        <w:t>:</w:t>
      </w:r>
      <w:r>
        <w:t xml:space="preserve"> Offer financial assistance or expand existing assistance programs, especially for households at higher risk of displacement. Consider low-interest loans administered by the </w:t>
      </w:r>
      <w:r w:rsidR="00B47D48">
        <w:t>jurisdiction</w:t>
      </w:r>
      <w:r>
        <w:t xml:space="preserve">, technical assistance in the form of financial counseling, or partnership with a local lending institution to streamline the financing process. Programs may also offer a streamlined application process or reduced fees for households facing financing challenges. Connect homeowners with local resources </w:t>
      </w:r>
      <w:r w:rsidR="005B783F">
        <w:t>to find</w:t>
      </w:r>
      <w:r>
        <w:t xml:space="preserve"> reputable lenders.</w:t>
      </w:r>
    </w:p>
    <w:p w14:paraId="1B1F6B66" w14:textId="77777777" w:rsidR="00BD7095" w:rsidRDefault="00BD7095" w:rsidP="00B16E13">
      <w:pPr>
        <w:pStyle w:val="Heading3"/>
      </w:pPr>
      <w:r>
        <w:t>Utility Notification &amp; Separate Connections</w:t>
      </w:r>
    </w:p>
    <w:p w14:paraId="1F67F588" w14:textId="71746C64" w:rsidR="00BD7095" w:rsidRDefault="00BD7095" w:rsidP="00BD7095">
      <w:r>
        <w:t>Home</w:t>
      </w:r>
      <w:r w:rsidRPr="00916B80">
        <w:t>owners are required to notify all utility providers, including water, sewer, gas, and electric services, of the creation of a new, separate condo unit. Jurisdictions may require separate utility connections to ensure clear billing and maintenance for each unit. If a full utility separation is infeasible, jurisdictions may allow submetering or other configurations to meet this requirement, depending on the existing infrastructure.</w:t>
      </w:r>
    </w:p>
    <w:p w14:paraId="72433533" w14:textId="77777777" w:rsidR="00BD7095" w:rsidRDefault="00BD7095" w:rsidP="00BD7095">
      <w:r>
        <w:rPr>
          <w:b/>
          <w:bCs/>
        </w:rPr>
        <w:t>Challenge for Homeowners:</w:t>
      </w:r>
      <w:r>
        <w:rPr>
          <w:b/>
        </w:rPr>
        <w:t xml:space="preserve"> </w:t>
      </w:r>
      <w:r w:rsidRPr="003D18DF">
        <w:t>Working with utility providers can be challenging, and in cases where full separation is required, installation costs can add up, especially if new meters or service lines are needed. Even if submetering is an option, there are associated expenses and logistical steps that homeowners may find difficult to manage on their own. Special attention should be paid to sewer lines, as in many cases a separate line will be required, which is costly.</w:t>
      </w:r>
    </w:p>
    <w:p w14:paraId="175CDAB8" w14:textId="773204C8" w:rsidR="00BD7095" w:rsidRDefault="290701AD" w:rsidP="00BD7095">
      <w:r w:rsidRPr="0772994C">
        <w:rPr>
          <w:b/>
          <w:bCs/>
        </w:rPr>
        <w:t>Implementation Considerations:</w:t>
      </w:r>
      <w:r>
        <w:t xml:space="preserve"> Work with utility providers to identify likely challenges to utility coordination given existing community infrastructure and look for opportunities to streamline the set-up process between homeowners, utility providers and the jurisdiction. Share information on utility requirements with homeowners early in the application process to avoid surprises and delays.</w:t>
      </w:r>
      <w:bookmarkStart w:id="12" w:name="_heading=h.2xcytpi"/>
      <w:bookmarkStart w:id="13" w:name="_heading=h.3whwml4"/>
      <w:bookmarkEnd w:id="12"/>
      <w:bookmarkEnd w:id="13"/>
    </w:p>
    <w:p w14:paraId="350CCB6E" w14:textId="77777777" w:rsidR="00802235" w:rsidRDefault="00802235">
      <w:pPr>
        <w:spacing w:after="0" w:line="240" w:lineRule="auto"/>
        <w:rPr>
          <w:rFonts w:cstheme="minorHAnsi"/>
          <w:b/>
          <w:bCs/>
          <w:color w:val="000000" w:themeColor="text1"/>
          <w:sz w:val="36"/>
          <w:szCs w:val="28"/>
        </w:rPr>
      </w:pPr>
      <w:bookmarkStart w:id="14" w:name="_heading=h.qsh70q"/>
      <w:bookmarkStart w:id="15" w:name="_heading=h.3hqc6xg8tipt"/>
      <w:bookmarkStart w:id="16" w:name="_heading=h.2p2csry"/>
      <w:bookmarkStart w:id="17" w:name="_heading=h.32hioqz"/>
      <w:bookmarkStart w:id="18" w:name="_heading=h.owiev97dnoa1"/>
      <w:bookmarkStart w:id="19" w:name="_heading=h.2vpxf3gmk1ya"/>
      <w:bookmarkStart w:id="20" w:name="_heading=h.3rrz6h5irumf"/>
      <w:bookmarkStart w:id="21" w:name="_heading=h.23ckvvd"/>
      <w:bookmarkStart w:id="22" w:name="_heading=h.c5c1dikzkovq"/>
      <w:bookmarkStart w:id="23" w:name="_Toc209794943"/>
      <w:bookmarkEnd w:id="14"/>
      <w:bookmarkEnd w:id="15"/>
      <w:bookmarkEnd w:id="16"/>
      <w:bookmarkEnd w:id="17"/>
      <w:bookmarkEnd w:id="18"/>
      <w:bookmarkEnd w:id="19"/>
      <w:bookmarkEnd w:id="20"/>
      <w:bookmarkEnd w:id="21"/>
      <w:bookmarkEnd w:id="22"/>
      <w:r>
        <w:br w:type="page"/>
      </w:r>
    </w:p>
    <w:p w14:paraId="603F7B9D" w14:textId="1A6F25E0" w:rsidR="00BD7095" w:rsidRDefault="00430925" w:rsidP="00BD7095">
      <w:pPr>
        <w:pStyle w:val="Heading2"/>
      </w:pPr>
      <w:r>
        <w:t xml:space="preserve">Steps for </w:t>
      </w:r>
      <w:r w:rsidR="00BD7095">
        <w:t>Implementing a Local Condominium Program</w:t>
      </w:r>
      <w:bookmarkEnd w:id="23"/>
    </w:p>
    <w:p w14:paraId="7E762DC4" w14:textId="77777777" w:rsidR="00BD7095" w:rsidRPr="00B22FC5" w:rsidRDefault="00BD7095" w:rsidP="00BD7095">
      <w:pPr>
        <w:spacing w:before="240" w:after="240"/>
      </w:pPr>
      <w:r w:rsidRPr="1EAA7862">
        <w:t xml:space="preserve">This section covers the steps to adopt and implement a local ADU </w:t>
      </w:r>
      <w:r>
        <w:t>condominium</w:t>
      </w:r>
      <w:r w:rsidRPr="1EAA7862">
        <w:t xml:space="preserve"> program. In California, San José</w:t>
      </w:r>
      <w:r>
        <w:t xml:space="preserve">, </w:t>
      </w:r>
      <w:r w:rsidRPr="1EAA7862">
        <w:t>San Diego</w:t>
      </w:r>
      <w:r>
        <w:t>,</w:t>
      </w:r>
      <w:r w:rsidRPr="1EAA7862">
        <w:t xml:space="preserve"> Berkeley</w:t>
      </w:r>
      <w:r>
        <w:t xml:space="preserve"> </w:t>
      </w:r>
      <w:r w:rsidRPr="1EAA7862">
        <w:t xml:space="preserve">and Martinez have </w:t>
      </w:r>
      <w:r>
        <w:t>all</w:t>
      </w:r>
      <w:r w:rsidRPr="1EAA7862">
        <w:t xml:space="preserve"> established </w:t>
      </w:r>
      <w:r>
        <w:t xml:space="preserve">or are considering </w:t>
      </w:r>
      <w:r w:rsidRPr="1EAA7862">
        <w:t xml:space="preserve">ADU </w:t>
      </w:r>
      <w:r>
        <w:t>condominium</w:t>
      </w:r>
      <w:r w:rsidRPr="1EAA7862">
        <w:t xml:space="preserve"> programs. </w:t>
      </w:r>
      <w:r>
        <w:t>See the</w:t>
      </w:r>
      <w:r w:rsidRPr="1EAA7862">
        <w:t xml:space="preserve"> resources at the end of this </w:t>
      </w:r>
      <w:r>
        <w:t>guide</w:t>
      </w:r>
      <w:r w:rsidRPr="1EAA7862">
        <w:t xml:space="preserve"> </w:t>
      </w:r>
      <w:r>
        <w:t>to learn more</w:t>
      </w:r>
      <w:r w:rsidRPr="1EAA7862">
        <w:t xml:space="preserve">. </w:t>
      </w:r>
    </w:p>
    <w:p w14:paraId="16C6C273" w14:textId="77777777" w:rsidR="00BD7095" w:rsidRDefault="00BD7095" w:rsidP="00B16E13">
      <w:pPr>
        <w:pStyle w:val="Heading3"/>
      </w:pPr>
      <w:r>
        <w:t>Step 1: Set up a dedicated team and design the program</w:t>
      </w:r>
    </w:p>
    <w:p w14:paraId="621E6E32" w14:textId="77777777" w:rsidR="00BD7095" w:rsidRPr="00E441DC" w:rsidRDefault="00BD7095" w:rsidP="00BD7095">
      <w:pPr>
        <w:pStyle w:val="ChecklistStep"/>
      </w:pPr>
      <w:r w:rsidRPr="00E441DC">
        <w:t xml:space="preserve">Assign </w:t>
      </w:r>
      <w:r>
        <w:t>p</w:t>
      </w:r>
      <w:r w:rsidRPr="00E441DC">
        <w:t xml:space="preserve">rogram </w:t>
      </w:r>
      <w:r>
        <w:t>l</w:t>
      </w:r>
      <w:r w:rsidRPr="00E441DC">
        <w:t>eads</w:t>
      </w:r>
    </w:p>
    <w:p w14:paraId="44766BC0" w14:textId="54EE739A" w:rsidR="00BD7095" w:rsidRDefault="290701AD" w:rsidP="0772994C">
      <w:pPr>
        <w:pStyle w:val="ListParagraph"/>
        <w:rPr>
          <w:b/>
          <w:bCs/>
        </w:rPr>
      </w:pPr>
      <w:r>
        <w:t>Designate key staff from planning, building, public works, utilities and legal departments as program leads.</w:t>
      </w:r>
    </w:p>
    <w:p w14:paraId="0E107AB2" w14:textId="5AD5BA07" w:rsidR="00BD7095" w:rsidRDefault="290701AD" w:rsidP="0772994C">
      <w:pPr>
        <w:pStyle w:val="ListParagraph"/>
        <w:rPr>
          <w:b/>
          <w:bCs/>
        </w:rPr>
      </w:pPr>
      <w:r>
        <w:t>Ensure these individuals are responsible for program oversight, application management and interdepartmental coordination.</w:t>
      </w:r>
    </w:p>
    <w:p w14:paraId="293FBF41" w14:textId="77777777" w:rsidR="00BD7095" w:rsidRDefault="00BD7095" w:rsidP="00BD7095">
      <w:pPr>
        <w:pStyle w:val="ChecklistStep"/>
      </w:pPr>
      <w:r>
        <w:t>Form a cross-department task force</w:t>
      </w:r>
    </w:p>
    <w:p w14:paraId="0D98EA1F" w14:textId="77777777" w:rsidR="00BD7095" w:rsidRPr="00264851" w:rsidRDefault="00BD7095" w:rsidP="00B16E13">
      <w:pPr>
        <w:pStyle w:val="ListParagraph"/>
      </w:pPr>
      <w:r w:rsidRPr="00264851">
        <w:t>Create a working group with representatives from relevant departments to ensure seamless collaboration.</w:t>
      </w:r>
    </w:p>
    <w:p w14:paraId="3E5A6202" w14:textId="544E8BA3" w:rsidR="00BD7095" w:rsidRPr="00264851" w:rsidRDefault="290701AD" w:rsidP="00B16E13">
      <w:pPr>
        <w:pStyle w:val="ListParagraph"/>
      </w:pPr>
      <w:r>
        <w:t>Include external stakeholders such as housing advocates, developers and legal experts to identify implementation barriers and refine processes.</w:t>
      </w:r>
    </w:p>
    <w:p w14:paraId="2C6EA9CA" w14:textId="77777777" w:rsidR="00BD7095" w:rsidRDefault="00BD7095" w:rsidP="00BD7095">
      <w:pPr>
        <w:pStyle w:val="ChecklistStep"/>
      </w:pPr>
      <w:r>
        <w:t>Establish initial policy goals and focus areas</w:t>
      </w:r>
    </w:p>
    <w:p w14:paraId="2C7473AA" w14:textId="77777777" w:rsidR="00BD7095" w:rsidRDefault="00BD7095" w:rsidP="00BD7095">
      <w:pPr>
        <w:rPr>
          <w:b/>
          <w:bCs/>
        </w:rPr>
      </w:pPr>
      <w:r w:rsidRPr="1EAA7862">
        <w:t>Define your jurisdiction’s priorities:</w:t>
      </w:r>
    </w:p>
    <w:p w14:paraId="0A860CF7" w14:textId="77777777" w:rsidR="00BD7095" w:rsidRPr="00E441DC" w:rsidRDefault="00BD7095" w:rsidP="00B16E13">
      <w:pPr>
        <w:pStyle w:val="ListParagraph"/>
      </w:pPr>
      <w:r w:rsidRPr="00E441DC">
        <w:t>Will the program focus on expanding affordable homeownership or incentivizing ADU production in specific areas?</w:t>
      </w:r>
    </w:p>
    <w:p w14:paraId="53AC08CA" w14:textId="77777777" w:rsidR="00BD7095" w:rsidRPr="00E441DC" w:rsidRDefault="00BD7095" w:rsidP="00B16E13">
      <w:pPr>
        <w:pStyle w:val="ListParagraph"/>
      </w:pPr>
      <w:r w:rsidRPr="00E441DC">
        <w:t>Are there geographic priorities, such as high-opportunity zones or neighborhoods with limited housing diversity?</w:t>
      </w:r>
    </w:p>
    <w:p w14:paraId="09DA1BE8" w14:textId="77777777" w:rsidR="00BD7095" w:rsidRDefault="00BD7095" w:rsidP="00B16E13">
      <w:pPr>
        <w:pStyle w:val="ListParagraph"/>
        <w:rPr>
          <w:b/>
          <w:bCs/>
        </w:rPr>
      </w:pPr>
      <w:r w:rsidRPr="1EAA7862">
        <w:t>Assess whether additional local incentives (e.g., fee waivers or affordability requirements) are necessary to achieve these goals.</w:t>
      </w:r>
    </w:p>
    <w:p w14:paraId="0F6D43B0" w14:textId="77777777" w:rsidR="00BD7095" w:rsidRDefault="00BD7095" w:rsidP="00FD1C65">
      <w:pPr>
        <w:pStyle w:val="ChecklistStep"/>
        <w:numPr>
          <w:ilvl w:val="0"/>
          <w:numId w:val="8"/>
        </w:numPr>
        <w:ind w:left="360"/>
      </w:pPr>
      <w:r w:rsidRPr="1EAA7862">
        <w:t xml:space="preserve">Identify </w:t>
      </w:r>
      <w:r>
        <w:t>p</w:t>
      </w:r>
      <w:r w:rsidRPr="1EAA7862">
        <w:t xml:space="preserve">olicy </w:t>
      </w:r>
      <w:r>
        <w:t>b</w:t>
      </w:r>
      <w:r w:rsidRPr="00E6243C">
        <w:t>arriers</w:t>
      </w:r>
    </w:p>
    <w:p w14:paraId="6DCA7773" w14:textId="77777777" w:rsidR="00BD7095" w:rsidRDefault="00BD7095" w:rsidP="00BD7095">
      <w:pPr>
        <w:rPr>
          <w:b/>
        </w:rPr>
      </w:pPr>
      <w:r>
        <w:t>Review existing local codes for barriers to allowing ADU condominiums, including zoning restrictions, subdivision regulations, condominium conversion ordinances and policies, or unclear definitions of condominiums.</w:t>
      </w:r>
    </w:p>
    <w:p w14:paraId="0B555FAE" w14:textId="77777777" w:rsidR="00BD7095" w:rsidRDefault="00BD7095" w:rsidP="00BD7095">
      <w:pPr>
        <w:pStyle w:val="ChecklistStep"/>
      </w:pPr>
      <w:r>
        <w:t>Explore design options</w:t>
      </w:r>
    </w:p>
    <w:p w14:paraId="65445513" w14:textId="77777777" w:rsidR="00BD7095" w:rsidRDefault="00BD7095" w:rsidP="00BD7095">
      <w:pPr>
        <w:rPr>
          <w:b/>
        </w:rPr>
      </w:pPr>
      <w:r>
        <w:t>Incorporate feedback from stakeholders and decide whether to adopt:</w:t>
      </w:r>
    </w:p>
    <w:p w14:paraId="0980A2F5" w14:textId="143E368D" w:rsidR="00BD7095" w:rsidRDefault="290701AD" w:rsidP="00B16E13">
      <w:pPr>
        <w:pStyle w:val="ListParagraph"/>
        <w:rPr>
          <w:b/>
          <w:bCs/>
        </w:rPr>
      </w:pPr>
      <w:bookmarkStart w:id="24" w:name="_heading=h.9wli18xeekja"/>
      <w:bookmarkEnd w:id="24"/>
      <w:r w:rsidRPr="0772994C">
        <w:rPr>
          <w:b/>
          <w:bCs/>
        </w:rPr>
        <w:t>Owner-occupancy incentives:</w:t>
      </w:r>
      <w:r>
        <w:t xml:space="preserve"> Jurisdictions may promote stable homeownership by requiring a first right of offer to buyers who commit to using the property as their primary residence for a specified time. This approach aims to encourage long-term residents and reduce investor-driven purchases (</w:t>
      </w:r>
      <w:r w:rsidR="17FB3BC3">
        <w:t xml:space="preserve">and is </w:t>
      </w:r>
      <w:r>
        <w:t>recommended by the Casita Coalition.)</w:t>
      </w:r>
    </w:p>
    <w:p w14:paraId="26F83772" w14:textId="661FB9B8" w:rsidR="00BD7095" w:rsidRDefault="3BBE90C8" w:rsidP="00B16E13">
      <w:pPr>
        <w:pStyle w:val="ListParagraph"/>
        <w:rPr>
          <w:b/>
          <w:bCs/>
        </w:rPr>
      </w:pPr>
      <w:r w:rsidRPr="0772994C">
        <w:rPr>
          <w:b/>
          <w:bCs/>
        </w:rPr>
        <w:t>R</w:t>
      </w:r>
      <w:r w:rsidR="290701AD" w:rsidRPr="0772994C">
        <w:rPr>
          <w:b/>
          <w:bCs/>
        </w:rPr>
        <w:t>estrictions</w:t>
      </w:r>
      <w:r w:rsidR="5D748821" w:rsidRPr="0772994C">
        <w:rPr>
          <w:b/>
          <w:bCs/>
        </w:rPr>
        <w:t xml:space="preserve"> on the number of ADUs allowed to be sold separately</w:t>
      </w:r>
      <w:r w:rsidR="290701AD" w:rsidRPr="0772994C">
        <w:rPr>
          <w:b/>
          <w:bCs/>
        </w:rPr>
        <w:t>:</w:t>
      </w:r>
      <w:r w:rsidR="290701AD">
        <w:t xml:space="preserve"> To maintain neighborhood stability and prevent speculation</w:t>
      </w:r>
      <w:r w:rsidR="4757327C">
        <w:t>,</w:t>
      </w:r>
      <w:r w:rsidR="290701AD">
        <w:t xml:space="preserve"> consider how and when ADU sales are allowed. Limiting the number of ADUs</w:t>
      </w:r>
      <w:r w:rsidR="7233CEB7">
        <w:t xml:space="preserve"> on a property</w:t>
      </w:r>
      <w:r w:rsidR="290701AD">
        <w:t xml:space="preserve"> that may be converted to condominiums may help deter speculation.</w:t>
      </w:r>
      <w:r>
        <w:t xml:space="preserve"> </w:t>
      </w:r>
    </w:p>
    <w:p w14:paraId="1B73CADC" w14:textId="77777777" w:rsidR="00BD7095" w:rsidRDefault="290701AD" w:rsidP="00B16E13">
      <w:pPr>
        <w:pStyle w:val="ListParagraph"/>
        <w:rPr>
          <w:b/>
          <w:bCs/>
        </w:rPr>
      </w:pPr>
      <w:r w:rsidRPr="0772994C">
        <w:rPr>
          <w:b/>
          <w:bCs/>
        </w:rPr>
        <w:t>Geographic limitations:</w:t>
      </w:r>
      <w:r>
        <w:t xml:space="preserve"> Local governments can </w:t>
      </w:r>
      <w:bookmarkStart w:id="25" w:name="_Int_wr5zKpY8"/>
      <w:r>
        <w:t>designate</w:t>
      </w:r>
      <w:bookmarkEnd w:id="25"/>
      <w:r>
        <w:t xml:space="preserve"> specific zones that allow for ADU condominiums, such as high-opportunity areas or neighborhoods prioritized for denser development. This targeted approach enables jurisdictions to expand housing options thoughtfully within areas already identified for housing needs.</w:t>
      </w:r>
    </w:p>
    <w:p w14:paraId="430F8B52" w14:textId="5B0F488C" w:rsidR="00BD7095" w:rsidRPr="00001B08" w:rsidRDefault="00BD7095" w:rsidP="00B16E13">
      <w:pPr>
        <w:pStyle w:val="ListParagraph"/>
        <w:rPr>
          <w:b/>
        </w:rPr>
      </w:pPr>
      <w:bookmarkStart w:id="26" w:name="_heading=h.aukxwp9pxd2r"/>
      <w:bookmarkEnd w:id="26"/>
      <w:r w:rsidRPr="1EAA7862">
        <w:rPr>
          <w:b/>
          <w:bCs/>
        </w:rPr>
        <w:t xml:space="preserve">Site </w:t>
      </w:r>
      <w:r>
        <w:rPr>
          <w:b/>
          <w:bCs/>
        </w:rPr>
        <w:t>c</w:t>
      </w:r>
      <w:r w:rsidRPr="1EAA7862">
        <w:rPr>
          <w:b/>
          <w:bCs/>
        </w:rPr>
        <w:t xml:space="preserve">ondominium </w:t>
      </w:r>
      <w:r>
        <w:rPr>
          <w:b/>
          <w:bCs/>
        </w:rPr>
        <w:t>m</w:t>
      </w:r>
      <w:r w:rsidRPr="1EAA7862">
        <w:rPr>
          <w:b/>
          <w:bCs/>
        </w:rPr>
        <w:t>odel:</w:t>
      </w:r>
      <w:r>
        <w:t xml:space="preserve"> Consider encouraging a “site condominium” model to appeal to moderate-income homeowners priced out of traditional single-family housing. This model reduces HOA complexities and may simplify financing for owners.</w:t>
      </w:r>
    </w:p>
    <w:p w14:paraId="750E42FA" w14:textId="7EED49BC" w:rsidR="00C03337" w:rsidRDefault="00C03337" w:rsidP="00C03337">
      <w:pPr>
        <w:pStyle w:val="ChecklistStep"/>
      </w:pPr>
      <w:bookmarkStart w:id="27" w:name="_heading=h.4z0rj5nn8fnq"/>
      <w:bookmarkEnd w:id="27"/>
      <w:r>
        <w:t>Consider financial incentives</w:t>
      </w:r>
    </w:p>
    <w:p w14:paraId="1C91E42C" w14:textId="2E12E892" w:rsidR="00885575" w:rsidRPr="00C03337" w:rsidRDefault="00885575" w:rsidP="00B47D48">
      <w:r>
        <w:t>Think about whether</w:t>
      </w:r>
      <w:r w:rsidR="00FD1387">
        <w:t xml:space="preserve"> to offer</w:t>
      </w:r>
      <w:r>
        <w:t xml:space="preserve"> financial incentives </w:t>
      </w:r>
      <w:r w:rsidR="00FD1387">
        <w:t xml:space="preserve">to </w:t>
      </w:r>
      <w:r>
        <w:t xml:space="preserve">further </w:t>
      </w:r>
      <w:r w:rsidR="00154BE9">
        <w:t>policy</w:t>
      </w:r>
      <w:r>
        <w:t xml:space="preserve"> goals</w:t>
      </w:r>
      <w:r w:rsidR="00923301">
        <w:t xml:space="preserve">. Read the </w:t>
      </w:r>
      <w:r w:rsidR="008744B7" w:rsidRPr="008744B7">
        <w:t xml:space="preserve">ABAG RHTA </w:t>
      </w:r>
      <w:hyperlink r:id="rId14" w:history="1">
        <w:r w:rsidR="008744B7">
          <w:rPr>
            <w:rStyle w:val="Hyperlink"/>
          </w:rPr>
          <w:t>ADU Affordability Strategies Memo</w:t>
        </w:r>
      </w:hyperlink>
      <w:r w:rsidR="00FD1387">
        <w:t xml:space="preserve"> to learn more. </w:t>
      </w:r>
    </w:p>
    <w:p w14:paraId="060926BA" w14:textId="70C3FA5A" w:rsidR="00BD7095" w:rsidRDefault="00BD7095" w:rsidP="00B16E13">
      <w:pPr>
        <w:pStyle w:val="ListParagraph"/>
        <w:rPr>
          <w:b/>
          <w:bCs/>
        </w:rPr>
      </w:pPr>
      <w:r w:rsidRPr="1EAA7862">
        <w:rPr>
          <w:b/>
          <w:bCs/>
        </w:rPr>
        <w:t xml:space="preserve">Affordable </w:t>
      </w:r>
      <w:r>
        <w:rPr>
          <w:b/>
          <w:bCs/>
        </w:rPr>
        <w:t>h</w:t>
      </w:r>
      <w:r w:rsidRPr="1EAA7862">
        <w:rPr>
          <w:b/>
          <w:bCs/>
        </w:rPr>
        <w:t xml:space="preserve">omeownership </w:t>
      </w:r>
      <w:r>
        <w:rPr>
          <w:b/>
          <w:bCs/>
        </w:rPr>
        <w:t>o</w:t>
      </w:r>
      <w:r w:rsidRPr="1EAA7862">
        <w:rPr>
          <w:b/>
          <w:bCs/>
        </w:rPr>
        <w:t>ptions:</w:t>
      </w:r>
      <w:r w:rsidRPr="1EAA7862">
        <w:t xml:space="preserve"> Jurisdictions c</w:t>
      </w:r>
      <w:r>
        <w:t>an</w:t>
      </w:r>
      <w:r w:rsidRPr="1EAA7862">
        <w:t xml:space="preserve"> combine ADU </w:t>
      </w:r>
      <w:r>
        <w:t>condominium programs</w:t>
      </w:r>
      <w:r w:rsidRPr="1EAA7862">
        <w:t xml:space="preserve"> with downpayment assistance programs</w:t>
      </w:r>
      <w:r>
        <w:t xml:space="preserve"> (</w:t>
      </w:r>
      <w:r w:rsidRPr="1EAA7862">
        <w:t>such as CalHFA</w:t>
      </w:r>
      <w:r>
        <w:t>)</w:t>
      </w:r>
      <w:r w:rsidRPr="1EAA7862">
        <w:t xml:space="preserve"> to support </w:t>
      </w:r>
      <w:r>
        <w:t xml:space="preserve">low- to </w:t>
      </w:r>
      <w:r w:rsidRPr="1EAA7862">
        <w:t>moderate-income buyers and align with local affordable housing objectives.</w:t>
      </w:r>
    </w:p>
    <w:p w14:paraId="281F51EA" w14:textId="77777777" w:rsidR="00BD7095" w:rsidRDefault="00BD7095" w:rsidP="00B16E13">
      <w:pPr>
        <w:pStyle w:val="ListParagraph"/>
      </w:pPr>
      <w:r w:rsidRPr="1EAA7862">
        <w:rPr>
          <w:b/>
          <w:bCs/>
        </w:rPr>
        <w:t xml:space="preserve">Fee </w:t>
      </w:r>
      <w:r>
        <w:rPr>
          <w:b/>
          <w:bCs/>
        </w:rPr>
        <w:t>w</w:t>
      </w:r>
      <w:r w:rsidRPr="1EAA7862">
        <w:rPr>
          <w:b/>
          <w:bCs/>
        </w:rPr>
        <w:t xml:space="preserve">aivers and </w:t>
      </w:r>
      <w:r>
        <w:rPr>
          <w:b/>
          <w:bCs/>
        </w:rPr>
        <w:t>i</w:t>
      </w:r>
      <w:r w:rsidRPr="1EAA7862">
        <w:rPr>
          <w:b/>
          <w:bCs/>
        </w:rPr>
        <w:t>ncentives</w:t>
      </w:r>
      <w:r w:rsidRPr="1EAA7862">
        <w:t xml:space="preserve">: Consider waiving or reducing fees for </w:t>
      </w:r>
      <w:r>
        <w:t>subdivision</w:t>
      </w:r>
      <w:r w:rsidRPr="1EAA7862">
        <w:t xml:space="preserve"> applications, particularly for projects contributing to affordable housing goals.</w:t>
      </w:r>
    </w:p>
    <w:p w14:paraId="54963527" w14:textId="0232B46F" w:rsidR="00BD7095" w:rsidRDefault="00BD7095" w:rsidP="00B16E13">
      <w:pPr>
        <w:pStyle w:val="ListParagraph"/>
      </w:pPr>
      <w:r w:rsidRPr="0096630C">
        <w:rPr>
          <w:b/>
        </w:rPr>
        <w:t xml:space="preserve">Process </w:t>
      </w:r>
      <w:r w:rsidR="005640CE">
        <w:rPr>
          <w:b/>
        </w:rPr>
        <w:t>s</w:t>
      </w:r>
      <w:r w:rsidRPr="0096630C">
        <w:rPr>
          <w:b/>
        </w:rPr>
        <w:t xml:space="preserve">treamlining and </w:t>
      </w:r>
      <w:r w:rsidR="005640CE">
        <w:rPr>
          <w:b/>
        </w:rPr>
        <w:t>f</w:t>
      </w:r>
      <w:r w:rsidRPr="0096630C">
        <w:rPr>
          <w:b/>
        </w:rPr>
        <w:t xml:space="preserve">inancial </w:t>
      </w:r>
      <w:r w:rsidR="005640CE">
        <w:rPr>
          <w:b/>
        </w:rPr>
        <w:t>s</w:t>
      </w:r>
      <w:r w:rsidRPr="0096630C">
        <w:rPr>
          <w:b/>
        </w:rPr>
        <w:t>upport:</w:t>
      </w:r>
      <w:r>
        <w:t xml:space="preserve"> </w:t>
      </w:r>
      <w:r w:rsidRPr="00092B32">
        <w:t xml:space="preserve">Jurisdictions can alleviate some complexity by </w:t>
      </w:r>
      <w:r>
        <w:t>providing a</w:t>
      </w:r>
      <w:r w:rsidRPr="00092B32">
        <w:t xml:space="preserve"> streamlined process</w:t>
      </w:r>
      <w:r>
        <w:t xml:space="preserve"> for some or all ADU condos</w:t>
      </w:r>
      <w:r w:rsidRPr="00092B32">
        <w:t xml:space="preserve"> or providing low-interest loans for properties where the mortgage is being paid off during the sale.</w:t>
      </w:r>
    </w:p>
    <w:p w14:paraId="21820D62" w14:textId="77777777" w:rsidR="00BD7095" w:rsidRDefault="00BD7095" w:rsidP="00B16E13">
      <w:pPr>
        <w:pStyle w:val="Heading3"/>
        <w:rPr>
          <w:i/>
          <w:iCs/>
        </w:rPr>
      </w:pPr>
      <w:r w:rsidRPr="1EAA7862">
        <w:t>Step 2: Establish Standards and Administrative Processes</w:t>
      </w:r>
    </w:p>
    <w:p w14:paraId="154837E1" w14:textId="77777777" w:rsidR="00BD7095" w:rsidRDefault="00BD7095" w:rsidP="00BD7095">
      <w:pPr>
        <w:pStyle w:val="ChecklistStep"/>
      </w:pPr>
      <w:r>
        <w:t>Define parcel mapping requirements</w:t>
      </w:r>
    </w:p>
    <w:p w14:paraId="0E946CF6" w14:textId="77777777" w:rsidR="00BD7095" w:rsidRDefault="00BD7095" w:rsidP="00B16E13">
      <w:pPr>
        <w:pStyle w:val="ListParagraph"/>
        <w:rPr>
          <w:b/>
          <w:bCs/>
        </w:rPr>
      </w:pPr>
      <w:r w:rsidRPr="1EAA7862">
        <w:rPr>
          <w:b/>
          <w:bCs/>
        </w:rPr>
        <w:t xml:space="preserve">Traditional </w:t>
      </w:r>
      <w:r>
        <w:rPr>
          <w:b/>
          <w:bCs/>
        </w:rPr>
        <w:t>p</w:t>
      </w:r>
      <w:r w:rsidRPr="1EAA7862">
        <w:rPr>
          <w:b/>
          <w:bCs/>
        </w:rPr>
        <w:t>rocess:</w:t>
      </w:r>
      <w:r w:rsidRPr="1EAA7862">
        <w:t xml:space="preserve"> Require a new parcel map to be prepared, reviewed and approved to legally define the boundaries of each condo unit within the property.</w:t>
      </w:r>
    </w:p>
    <w:p w14:paraId="6F24D203" w14:textId="77777777" w:rsidR="00BD7095" w:rsidRDefault="00BD7095" w:rsidP="00B16E13">
      <w:pPr>
        <w:pStyle w:val="ListParagraph"/>
        <w:rPr>
          <w:b/>
          <w:bCs/>
        </w:rPr>
      </w:pPr>
      <w:r w:rsidRPr="1EAA7862">
        <w:rPr>
          <w:b/>
          <w:bCs/>
        </w:rPr>
        <w:t xml:space="preserve">Streamlined </w:t>
      </w:r>
      <w:r>
        <w:rPr>
          <w:b/>
          <w:bCs/>
        </w:rPr>
        <w:t>o</w:t>
      </w:r>
      <w:r w:rsidRPr="1EAA7862">
        <w:rPr>
          <w:b/>
          <w:bCs/>
        </w:rPr>
        <w:t>ption:</w:t>
      </w:r>
      <w:r w:rsidRPr="1EAA7862">
        <w:t xml:space="preserve"> Allow applicants to utilize the streamlined parcel map waiver option under Government Code </w:t>
      </w:r>
      <w:r>
        <w:t xml:space="preserve">Section </w:t>
      </w:r>
      <w:r w:rsidRPr="1EAA7862">
        <w:t>66428(b), which replaces the full mapping process with a Certificate of Compliance when feasible. This approach can reduce costs and complexity for applicants.</w:t>
      </w:r>
    </w:p>
    <w:p w14:paraId="7299A337" w14:textId="77777777" w:rsidR="00BD7095" w:rsidRDefault="00BD7095" w:rsidP="00BD7095">
      <w:pPr>
        <w:pStyle w:val="ChecklistStep"/>
      </w:pPr>
      <w:r>
        <w:t>Define governance structures</w:t>
      </w:r>
    </w:p>
    <w:p w14:paraId="0B176500" w14:textId="77777777" w:rsidR="00BD7095" w:rsidRDefault="00BD7095" w:rsidP="00BD7095">
      <w:r w:rsidRPr="1EAA7862">
        <w:t xml:space="preserve">ADU condos must comply with the Davis-Stirling Common Interest Development Act. </w:t>
      </w:r>
    </w:p>
    <w:p w14:paraId="1B8A79C2" w14:textId="1B8C3A8A" w:rsidR="00BD7095" w:rsidRDefault="290701AD" w:rsidP="00B16E13">
      <w:pPr>
        <w:pStyle w:val="ListParagraph"/>
        <w:rPr>
          <w:b/>
          <w:bCs/>
        </w:rPr>
      </w:pPr>
      <w:r w:rsidRPr="0772994C">
        <w:rPr>
          <w:b/>
          <w:bCs/>
        </w:rPr>
        <w:t>Covenants, conditions and restrictions:</w:t>
      </w:r>
      <w:r>
        <w:t xml:space="preserve"> Mandate the creation of CC&amp;Rs to define property use, cost-sharing agreements and maintenance responsibilities.</w:t>
      </w:r>
    </w:p>
    <w:p w14:paraId="2A6DC944" w14:textId="77777777" w:rsidR="00BD7095" w:rsidRDefault="00BD7095" w:rsidP="00B16E13">
      <w:pPr>
        <w:pStyle w:val="ListParagraph"/>
        <w:rPr>
          <w:b/>
          <w:bCs/>
        </w:rPr>
      </w:pPr>
      <w:r w:rsidRPr="1EAA7862">
        <w:rPr>
          <w:b/>
          <w:bCs/>
        </w:rPr>
        <w:t xml:space="preserve">Condominium </w:t>
      </w:r>
      <w:r>
        <w:rPr>
          <w:b/>
          <w:bCs/>
        </w:rPr>
        <w:t>p</w:t>
      </w:r>
      <w:r w:rsidRPr="1EAA7862">
        <w:rPr>
          <w:b/>
          <w:bCs/>
        </w:rPr>
        <w:t>lan:</w:t>
      </w:r>
      <w:r>
        <w:t xml:space="preserve"> Require this to delineate unit boundaries and shared areas (e.g., yards, parking). Provide guidance for recording the plan with the County Recorder.</w:t>
      </w:r>
    </w:p>
    <w:p w14:paraId="50CEFB9C" w14:textId="4ACEEB7A" w:rsidR="00BD7095" w:rsidRDefault="00BD7095" w:rsidP="00B16E13">
      <w:pPr>
        <w:pStyle w:val="ListParagraph"/>
        <w:rPr>
          <w:b/>
        </w:rPr>
      </w:pPr>
      <w:r w:rsidRPr="2D3B7D7E">
        <w:rPr>
          <w:b/>
        </w:rPr>
        <w:t>Homeowners</w:t>
      </w:r>
      <w:r w:rsidR="002E751A">
        <w:rPr>
          <w:b/>
        </w:rPr>
        <w:t>’</w:t>
      </w:r>
      <w:r w:rsidRPr="2D3B7D7E">
        <w:rPr>
          <w:b/>
        </w:rPr>
        <w:t xml:space="preserve"> </w:t>
      </w:r>
      <w:r w:rsidRPr="2D3B7D7E">
        <w:rPr>
          <w:b/>
          <w:bCs/>
        </w:rPr>
        <w:t>association</w:t>
      </w:r>
      <w:r w:rsidRPr="2D3B7D7E">
        <w:rPr>
          <w:b/>
        </w:rPr>
        <w:t>:</w:t>
      </w:r>
      <w:r w:rsidRPr="2D3B7D7E">
        <w:t xml:space="preserve"> Ensure compliance with the Davis-Stirling Act by requiring the formation of an HOA or similar governance structure, even for two-unit setups. For small projects, consider allowing simplified governance arrangements like site condominiums or basic maintenance agreements.</w:t>
      </w:r>
    </w:p>
    <w:p w14:paraId="2F977B92" w14:textId="77777777" w:rsidR="00BD7095" w:rsidRDefault="00BD7095" w:rsidP="00BD7095">
      <w:pPr>
        <w:pStyle w:val="ChecklistStep"/>
      </w:pPr>
      <w:r>
        <w:t>Plan for safety inspections</w:t>
      </w:r>
    </w:p>
    <w:p w14:paraId="616C5918" w14:textId="77777777" w:rsidR="00BD7095" w:rsidRDefault="00BD7095" w:rsidP="00BD7095">
      <w:r w:rsidRPr="1EAA7862">
        <w:t xml:space="preserve">Before an ADU can be sold separately, it must pass a safety inspection. </w:t>
      </w:r>
      <w:r>
        <w:t>Government Code Section 66342</w:t>
      </w:r>
      <w:r w:rsidRPr="1EAA7862">
        <w:t xml:space="preserve"> gives two options, and localities have discretion regarding which one to require in specific instances:</w:t>
      </w:r>
    </w:p>
    <w:p w14:paraId="14A2CB62" w14:textId="77777777" w:rsidR="00BD7095" w:rsidRDefault="00BD7095" w:rsidP="00B16E13">
      <w:pPr>
        <w:pStyle w:val="ListParagraph"/>
      </w:pPr>
      <w:r w:rsidRPr="1EAA7862">
        <w:rPr>
          <w:b/>
          <w:bCs/>
        </w:rPr>
        <w:t xml:space="preserve">Certificate of </w:t>
      </w:r>
      <w:r>
        <w:rPr>
          <w:b/>
          <w:bCs/>
        </w:rPr>
        <w:t>o</w:t>
      </w:r>
      <w:r w:rsidRPr="1EAA7862">
        <w:rPr>
          <w:b/>
          <w:bCs/>
        </w:rPr>
        <w:t>ccupancy</w:t>
      </w:r>
      <w:r>
        <w:rPr>
          <w:b/>
          <w:bCs/>
        </w:rPr>
        <w:t xml:space="preserve"> (COO)</w:t>
      </w:r>
      <w:r w:rsidRPr="1EAA7862">
        <w:rPr>
          <w:b/>
          <w:bCs/>
        </w:rPr>
        <w:t>:</w:t>
      </w:r>
      <w:r w:rsidRPr="1EAA7862">
        <w:t xml:space="preserve"> Require this to serve as the safety standard for the newly built ADUs, since a C</w:t>
      </w:r>
      <w:r>
        <w:t>O</w:t>
      </w:r>
      <w:r w:rsidRPr="1EAA7862">
        <w:t>O is generally already required.</w:t>
      </w:r>
    </w:p>
    <w:p w14:paraId="44612407" w14:textId="77777777" w:rsidR="00BD7095" w:rsidRDefault="00BD7095" w:rsidP="00B16E13">
      <w:pPr>
        <w:pStyle w:val="ListParagraph"/>
      </w:pPr>
      <w:r w:rsidRPr="1EAA7862">
        <w:rPr>
          <w:b/>
          <w:bCs/>
        </w:rPr>
        <w:t>HUD-</w:t>
      </w:r>
      <w:r>
        <w:rPr>
          <w:b/>
          <w:bCs/>
        </w:rPr>
        <w:t>c</w:t>
      </w:r>
      <w:r w:rsidRPr="1EAA7862">
        <w:rPr>
          <w:b/>
          <w:bCs/>
        </w:rPr>
        <w:t xml:space="preserve">ertified </w:t>
      </w:r>
      <w:r>
        <w:rPr>
          <w:b/>
          <w:bCs/>
        </w:rPr>
        <w:t>h</w:t>
      </w:r>
      <w:r w:rsidRPr="1EAA7862">
        <w:rPr>
          <w:b/>
          <w:bCs/>
        </w:rPr>
        <w:t xml:space="preserve">ousing </w:t>
      </w:r>
      <w:r>
        <w:rPr>
          <w:b/>
          <w:bCs/>
        </w:rPr>
        <w:t>q</w:t>
      </w:r>
      <w:r w:rsidRPr="1EAA7862">
        <w:rPr>
          <w:b/>
          <w:bCs/>
        </w:rPr>
        <w:t xml:space="preserve">uality </w:t>
      </w:r>
      <w:r>
        <w:rPr>
          <w:b/>
          <w:bCs/>
        </w:rPr>
        <w:t>s</w:t>
      </w:r>
      <w:r w:rsidRPr="1EAA7862">
        <w:rPr>
          <w:b/>
          <w:bCs/>
        </w:rPr>
        <w:t xml:space="preserve">tandards (HQS) </w:t>
      </w:r>
      <w:r>
        <w:rPr>
          <w:b/>
          <w:bCs/>
        </w:rPr>
        <w:t>r</w:t>
      </w:r>
      <w:r w:rsidRPr="1EAA7862">
        <w:rPr>
          <w:b/>
          <w:bCs/>
        </w:rPr>
        <w:t>eport:</w:t>
      </w:r>
      <w:r w:rsidRPr="1EAA7862">
        <w:t xml:space="preserve"> For existing ADUs, consider requiring a HUD-certified inspector’s report, especially for older units that may not have undergone rigorous inspections at the time of construction.</w:t>
      </w:r>
    </w:p>
    <w:p w14:paraId="5DAFE793" w14:textId="77777777" w:rsidR="00BD7095" w:rsidRDefault="00BD7095" w:rsidP="00BD7095">
      <w:pPr>
        <w:pStyle w:val="ChecklistStep"/>
      </w:pPr>
      <w:r>
        <w:t>Account for lienholder &amp; HOA consent</w:t>
      </w:r>
    </w:p>
    <w:p w14:paraId="4053D3BC" w14:textId="77777777" w:rsidR="00BD7095" w:rsidRDefault="00BD7095" w:rsidP="00B16E13">
      <w:pPr>
        <w:pStyle w:val="ListParagraph"/>
      </w:pPr>
      <w:r w:rsidRPr="1EAA7862">
        <w:rPr>
          <w:b/>
          <w:bCs/>
        </w:rPr>
        <w:t xml:space="preserve">Lienholder </w:t>
      </w:r>
      <w:r>
        <w:rPr>
          <w:b/>
          <w:bCs/>
        </w:rPr>
        <w:t>c</w:t>
      </w:r>
      <w:r w:rsidRPr="1EAA7862">
        <w:rPr>
          <w:b/>
          <w:bCs/>
        </w:rPr>
        <w:t xml:space="preserve">onsent: </w:t>
      </w:r>
      <w:r w:rsidRPr="1EAA7862">
        <w:t xml:space="preserve">Properties with existing mortgages or liens require consent from lenders to proceed with </w:t>
      </w:r>
      <w:r>
        <w:t>subdividing the property</w:t>
      </w:r>
      <w:r w:rsidRPr="1EAA7862">
        <w:t xml:space="preserve">. Include a requirement for applicants to obtain consent from lienholders where applicable. Provide template consent language aligned with </w:t>
      </w:r>
      <w:r>
        <w:t>Government Code Section 66342</w:t>
      </w:r>
      <w:r w:rsidRPr="1EAA7862">
        <w:t xml:space="preserve"> to simplify this step for applicants.</w:t>
      </w:r>
    </w:p>
    <w:p w14:paraId="6AEEAB43" w14:textId="7C36E874" w:rsidR="00BD7095" w:rsidRDefault="00BD7095" w:rsidP="00B16E13">
      <w:pPr>
        <w:pStyle w:val="ListParagraph"/>
      </w:pPr>
      <w:r w:rsidRPr="1EAA7862">
        <w:rPr>
          <w:b/>
          <w:bCs/>
        </w:rPr>
        <w:t>Preexisting HOA:</w:t>
      </w:r>
      <w:r w:rsidRPr="1EAA7862">
        <w:t xml:space="preserve"> If </w:t>
      </w:r>
      <w:r>
        <w:t xml:space="preserve">an </w:t>
      </w:r>
      <w:r w:rsidRPr="1EAA7862">
        <w:t>HOA</w:t>
      </w:r>
      <w:r>
        <w:t xml:space="preserve"> (or other common interest development association)</w:t>
      </w:r>
      <w:r w:rsidRPr="1EAA7862">
        <w:t xml:space="preserve"> already exists that governs the property, it will need to sign off on the new condo</w:t>
      </w:r>
      <w:r w:rsidR="007A19A2">
        <w:t>minium</w:t>
      </w:r>
      <w:r w:rsidRPr="1EAA7862">
        <w:t xml:space="preserve"> plan. Provide template consent language to simplify this step for applicants.</w:t>
      </w:r>
    </w:p>
    <w:p w14:paraId="612D0C9E" w14:textId="77777777" w:rsidR="00BD7095" w:rsidRDefault="00BD7095" w:rsidP="00BD7095">
      <w:pPr>
        <w:pStyle w:val="ChecklistStep"/>
      </w:pPr>
      <w:r>
        <w:t>Establish utility and infrastructure requirements</w:t>
      </w:r>
    </w:p>
    <w:p w14:paraId="1849FD2A" w14:textId="77777777" w:rsidR="00BD7095" w:rsidRDefault="00BD7095" w:rsidP="00B16E13">
      <w:pPr>
        <w:pStyle w:val="ListParagraph"/>
        <w:rPr>
          <w:b/>
          <w:bCs/>
        </w:rPr>
      </w:pPr>
      <w:r w:rsidRPr="1EAA7862">
        <w:rPr>
          <w:b/>
          <w:bCs/>
        </w:rPr>
        <w:t xml:space="preserve">Utility </w:t>
      </w:r>
      <w:r>
        <w:rPr>
          <w:b/>
          <w:bCs/>
        </w:rPr>
        <w:t>p</w:t>
      </w:r>
      <w:r w:rsidRPr="1EAA7862">
        <w:rPr>
          <w:b/>
          <w:bCs/>
        </w:rPr>
        <w:t xml:space="preserve">rovider </w:t>
      </w:r>
      <w:r>
        <w:rPr>
          <w:b/>
          <w:bCs/>
        </w:rPr>
        <w:t>n</w:t>
      </w:r>
      <w:r w:rsidRPr="1EAA7862">
        <w:rPr>
          <w:b/>
          <w:bCs/>
        </w:rPr>
        <w:t>otification:</w:t>
      </w:r>
      <w:r w:rsidRPr="1EAA7862">
        <w:t xml:space="preserve"> Provide contact information for utilities that provide services in your jurisdiction</w:t>
      </w:r>
      <w:r>
        <w:t xml:space="preserve"> and e</w:t>
      </w:r>
      <w:r w:rsidRPr="1EAA7862">
        <w:t xml:space="preserve">nsure applicants notify utility providers </w:t>
      </w:r>
      <w:r>
        <w:t xml:space="preserve">as part </w:t>
      </w:r>
      <w:r w:rsidRPr="1EAA7862">
        <w:t xml:space="preserve">of the </w:t>
      </w:r>
      <w:r>
        <w:t xml:space="preserve">subdivision process </w:t>
      </w:r>
      <w:r w:rsidRPr="1EAA7862">
        <w:t xml:space="preserve">and </w:t>
      </w:r>
      <w:r>
        <w:t>a way to confirm</w:t>
      </w:r>
      <w:r w:rsidRPr="1EAA7862">
        <w:t xml:space="preserve"> that they address requirements for separate utility connections.</w:t>
      </w:r>
    </w:p>
    <w:p w14:paraId="69820015" w14:textId="77777777" w:rsidR="00BD7095" w:rsidRDefault="00BD7095" w:rsidP="00B16E13">
      <w:pPr>
        <w:pStyle w:val="ListParagraph"/>
        <w:rPr>
          <w:b/>
          <w:bCs/>
        </w:rPr>
      </w:pPr>
      <w:r w:rsidRPr="1EAA7862">
        <w:rPr>
          <w:b/>
          <w:bCs/>
        </w:rPr>
        <w:t>Separate Hookups or Alternative Solutions</w:t>
      </w:r>
      <w:r w:rsidRPr="1EAA7862">
        <w:t xml:space="preserve">: </w:t>
      </w:r>
      <w:r>
        <w:t>May</w:t>
      </w:r>
      <w:r w:rsidRPr="1EAA7862">
        <w:t xml:space="preserve"> require separate utility connections to ensure clear billing and maintenance for each unit.</w:t>
      </w:r>
    </w:p>
    <w:p w14:paraId="3B4A1EF0" w14:textId="77777777" w:rsidR="00BD7095" w:rsidRDefault="00BD7095" w:rsidP="00B16E13">
      <w:pPr>
        <w:pStyle w:val="ListParagraph"/>
        <w:rPr>
          <w:b/>
          <w:bCs/>
        </w:rPr>
      </w:pPr>
      <w:r w:rsidRPr="1EAA7862">
        <w:rPr>
          <w:b/>
          <w:bCs/>
        </w:rPr>
        <w:t>Special Cases:</w:t>
      </w:r>
      <w:r>
        <w:t xml:space="preserve"> Allow submetering or alternative solutions where full utility separation is infeasible.</w:t>
      </w:r>
    </w:p>
    <w:p w14:paraId="2591B9F3" w14:textId="77777777" w:rsidR="00BD7095" w:rsidRDefault="00BD7095" w:rsidP="00B16E13">
      <w:pPr>
        <w:pStyle w:val="Heading3"/>
      </w:pPr>
      <w:bookmarkStart w:id="28" w:name="_heading=h.mdiqeotpfap"/>
      <w:bookmarkEnd w:id="28"/>
      <w:r>
        <w:t>Step 3: Review and update local ordinances</w:t>
      </w:r>
    </w:p>
    <w:p w14:paraId="6297742B" w14:textId="77777777" w:rsidR="00BD7095" w:rsidRDefault="00BD7095" w:rsidP="00BD7095">
      <w:pPr>
        <w:pStyle w:val="ChecklistStep"/>
      </w:pPr>
      <w:r>
        <w:t>Assess local ordinances for compatibility</w:t>
      </w:r>
    </w:p>
    <w:p w14:paraId="67508E1B" w14:textId="6DAE8AAF" w:rsidR="00BD7095" w:rsidRPr="003C076B" w:rsidRDefault="290701AD" w:rsidP="00BD7095">
      <w:pPr>
        <w:rPr>
          <w:b/>
          <w:bCs/>
        </w:rPr>
      </w:pPr>
      <w:r>
        <w:t>Conduct a thorough review of zoning, subdivision and condominium codes to identify barriers to ADU</w:t>
      </w:r>
      <w:r w:rsidR="21DC550A">
        <w:t xml:space="preserve"> condos</w:t>
      </w:r>
      <w:r>
        <w:t>. Examples include:</w:t>
      </w:r>
    </w:p>
    <w:p w14:paraId="18687EA6" w14:textId="77777777" w:rsidR="00BD7095" w:rsidRDefault="00BD7095" w:rsidP="00B16E13">
      <w:pPr>
        <w:pStyle w:val="ListParagraph"/>
        <w:rPr>
          <w:b/>
        </w:rPr>
      </w:pPr>
      <w:r>
        <w:t>Subdivision requirements that make mapping burdensome or costly.</w:t>
      </w:r>
    </w:p>
    <w:p w14:paraId="7BCF5BCD" w14:textId="77777777" w:rsidR="00BD7095" w:rsidRPr="00617947" w:rsidRDefault="00BD7095" w:rsidP="00B16E13">
      <w:pPr>
        <w:pStyle w:val="ListParagraph"/>
        <w:rPr>
          <w:b/>
        </w:rPr>
      </w:pPr>
      <w:r>
        <w:t>Outdated definitions of “condominium” that exclude small-scale projects.</w:t>
      </w:r>
    </w:p>
    <w:p w14:paraId="5D01BBD6" w14:textId="77777777" w:rsidR="00BD7095" w:rsidRDefault="00BD7095" w:rsidP="00B16E13">
      <w:pPr>
        <w:pStyle w:val="ListParagraph"/>
        <w:rPr>
          <w:b/>
        </w:rPr>
      </w:pPr>
      <w:r>
        <w:t>Condominium conversion provisions.</w:t>
      </w:r>
    </w:p>
    <w:p w14:paraId="268FDE08" w14:textId="77777777" w:rsidR="00BD7095" w:rsidRDefault="00BD7095" w:rsidP="00BD7095">
      <w:pPr>
        <w:pStyle w:val="ChecklistStep"/>
      </w:pPr>
      <w:r>
        <w:t>Align ordinances with local housing goals</w:t>
      </w:r>
    </w:p>
    <w:p w14:paraId="784591D9" w14:textId="77777777" w:rsidR="00BD7095" w:rsidRDefault="00BD7095" w:rsidP="00BD7095">
      <w:r w:rsidRPr="1EAA7862">
        <w:t>Consider your jurisdiction’s housing goals and tailor local qualification requirements and rules.</w:t>
      </w:r>
    </w:p>
    <w:p w14:paraId="1FF933D6" w14:textId="77777777" w:rsidR="00BD7095" w:rsidRDefault="00BD7095" w:rsidP="00BD7095">
      <w:pPr>
        <w:pStyle w:val="ChecklistStep"/>
      </w:pPr>
      <w:r>
        <w:t>Draft and adopt enabling ordinances</w:t>
      </w:r>
    </w:p>
    <w:p w14:paraId="364651EA" w14:textId="77777777" w:rsidR="00BD7095" w:rsidRPr="003C076B" w:rsidRDefault="00BD7095" w:rsidP="00BD7095">
      <w:pPr>
        <w:rPr>
          <w:b/>
          <w:bCs/>
        </w:rPr>
      </w:pPr>
      <w:r w:rsidRPr="1EAA7862">
        <w:t>Pass new ordinances or modify existing ones to:</w:t>
      </w:r>
    </w:p>
    <w:p w14:paraId="42C14830" w14:textId="77777777" w:rsidR="00BD7095" w:rsidRDefault="00BD7095" w:rsidP="00B16E13">
      <w:pPr>
        <w:pStyle w:val="ListParagraph"/>
        <w:rPr>
          <w:b/>
          <w:bCs/>
        </w:rPr>
      </w:pPr>
      <w:r w:rsidRPr="1EAA7862">
        <w:t xml:space="preserve">Authorize </w:t>
      </w:r>
      <w:r>
        <w:t>creation and separate conveyance of ADUs as condominiums</w:t>
      </w:r>
      <w:r w:rsidRPr="1EAA7862">
        <w:t xml:space="preserve">, explicitly referencing </w:t>
      </w:r>
      <w:r>
        <w:t>Government Code Section 66342</w:t>
      </w:r>
      <w:r w:rsidRPr="1EAA7862">
        <w:t>.</w:t>
      </w:r>
    </w:p>
    <w:p w14:paraId="0BFB2C89" w14:textId="77777777" w:rsidR="00BD7095" w:rsidRDefault="00BD7095" w:rsidP="00B16E13">
      <w:pPr>
        <w:pStyle w:val="ListParagraph"/>
        <w:rPr>
          <w:b/>
        </w:rPr>
      </w:pPr>
      <w:r>
        <w:t>Define compliance requirements for the Subdivision Map Act (e.g., parcel maps, tentative and final maps, or waivers) and Davis-Stirling Act (e.g., CC&amp;Rs, condominium plans, HOA governance).</w:t>
      </w:r>
    </w:p>
    <w:p w14:paraId="3DE8481B" w14:textId="69594CE5" w:rsidR="00BD7095" w:rsidRPr="00F54FAF" w:rsidRDefault="00BD7095" w:rsidP="00B16E13">
      <w:pPr>
        <w:pStyle w:val="ListParagraph"/>
        <w:rPr>
          <w:b/>
          <w:bCs/>
        </w:rPr>
      </w:pPr>
      <w:r w:rsidRPr="1EAA7862">
        <w:t xml:space="preserve">Consider using model legislation, </w:t>
      </w:r>
      <w:r w:rsidRPr="007A3D49">
        <w:t xml:space="preserve">such as the </w:t>
      </w:r>
      <w:r w:rsidR="008744B7" w:rsidRPr="008744B7">
        <w:t xml:space="preserve">ABAG RHTA </w:t>
      </w:r>
      <w:hyperlink r:id="rId15" w:history="1">
        <w:r w:rsidR="008744B7">
          <w:rPr>
            <w:rStyle w:val="Hyperlink"/>
          </w:rPr>
          <w:t>ADU Model Ordinance Language</w:t>
        </w:r>
      </w:hyperlink>
      <w:r w:rsidRPr="007A3D49">
        <w:t xml:space="preserve"> </w:t>
      </w:r>
      <w:r w:rsidR="0052544E">
        <w:t xml:space="preserve">(coming soon) </w:t>
      </w:r>
      <w:r w:rsidRPr="1EAA7862">
        <w:t>as a starting point.</w:t>
      </w:r>
    </w:p>
    <w:p w14:paraId="13230077" w14:textId="77777777" w:rsidR="00BD7095" w:rsidRDefault="00BD7095" w:rsidP="00B16E13">
      <w:pPr>
        <w:pStyle w:val="Heading3"/>
      </w:pPr>
      <w:bookmarkStart w:id="29" w:name="_heading=h.hd79dfcspu2y"/>
      <w:bookmarkStart w:id="30" w:name="_heading=h.qxl6rhqqxs7z"/>
      <w:bookmarkStart w:id="31" w:name="_heading=h.ts813sqzghy0"/>
      <w:bookmarkStart w:id="32" w:name="_heading=h.4skb3hjxkdze"/>
      <w:bookmarkStart w:id="33" w:name="_heading=h.mv47wfjr8dqu" w:colFirst="0" w:colLast="0"/>
      <w:bookmarkEnd w:id="29"/>
      <w:bookmarkEnd w:id="30"/>
      <w:bookmarkEnd w:id="31"/>
      <w:bookmarkEnd w:id="32"/>
      <w:bookmarkEnd w:id="33"/>
      <w:r>
        <w:t>Step 4: Provide a</w:t>
      </w:r>
      <w:r w:rsidRPr="00377E94">
        <w:t>pplicant</w:t>
      </w:r>
      <w:r>
        <w:t xml:space="preserve"> support and public resources</w:t>
      </w:r>
    </w:p>
    <w:p w14:paraId="40D581BD" w14:textId="77777777" w:rsidR="00BD7095" w:rsidRDefault="00BD7095" w:rsidP="00BD7095">
      <w:pPr>
        <w:pStyle w:val="ChecklistStep"/>
      </w:pPr>
      <w:r>
        <w:t>Develop application guidelines and materials</w:t>
      </w:r>
    </w:p>
    <w:p w14:paraId="59DF0574" w14:textId="77777777" w:rsidR="00BD7095" w:rsidRPr="002F2BCC" w:rsidRDefault="00BD7095" w:rsidP="00FD1C65">
      <w:pPr>
        <w:pStyle w:val="Bulletstext"/>
        <w:numPr>
          <w:ilvl w:val="0"/>
          <w:numId w:val="5"/>
        </w:numPr>
        <w:rPr>
          <w:b/>
        </w:rPr>
      </w:pPr>
      <w:r w:rsidRPr="00722B16">
        <w:rPr>
          <w:b/>
          <w:bCs/>
        </w:rPr>
        <w:t xml:space="preserve">Guidance and </w:t>
      </w:r>
      <w:r>
        <w:rPr>
          <w:b/>
          <w:bCs/>
        </w:rPr>
        <w:t>a</w:t>
      </w:r>
      <w:r w:rsidRPr="00722B16">
        <w:rPr>
          <w:b/>
          <w:bCs/>
        </w:rPr>
        <w:t xml:space="preserve">pplication </w:t>
      </w:r>
      <w:r>
        <w:rPr>
          <w:b/>
          <w:bCs/>
        </w:rPr>
        <w:t>c</w:t>
      </w:r>
      <w:r w:rsidRPr="00722B16">
        <w:rPr>
          <w:b/>
          <w:bCs/>
        </w:rPr>
        <w:t>hecklists:</w:t>
      </w:r>
      <w:r>
        <w:t xml:space="preserve"> Create general guidance and application checklists with detailed information about the requirements and steps in the process. </w:t>
      </w:r>
    </w:p>
    <w:p w14:paraId="5BE10C27" w14:textId="77777777" w:rsidR="00BD7095" w:rsidRPr="00E97BB4" w:rsidRDefault="00BD7095" w:rsidP="00B16E13">
      <w:pPr>
        <w:pStyle w:val="ListParagraph"/>
        <w:rPr>
          <w:b/>
          <w:bCs/>
        </w:rPr>
      </w:pPr>
      <w:r w:rsidRPr="1EAA7862">
        <w:rPr>
          <w:b/>
          <w:bCs/>
        </w:rPr>
        <w:t xml:space="preserve">Consumer </w:t>
      </w:r>
      <w:r>
        <w:rPr>
          <w:b/>
          <w:bCs/>
        </w:rPr>
        <w:t>n</w:t>
      </w:r>
      <w:r w:rsidRPr="1EAA7862">
        <w:rPr>
          <w:b/>
          <w:bCs/>
        </w:rPr>
        <w:t>otices:</w:t>
      </w:r>
      <w:r w:rsidRPr="1EAA7862">
        <w:t xml:space="preserve"> Develop and include consumer notices in guidance and/or application materials (as mandated by </w:t>
      </w:r>
      <w:r>
        <w:t>Government Code Section 66342</w:t>
      </w:r>
      <w:r w:rsidRPr="1EAA7862">
        <w:t>).</w:t>
      </w:r>
    </w:p>
    <w:p w14:paraId="639C2C47" w14:textId="1055115F" w:rsidR="00BD7095" w:rsidRPr="0070755F" w:rsidRDefault="290701AD" w:rsidP="00B16E13">
      <w:pPr>
        <w:pStyle w:val="ListParagraph"/>
      </w:pPr>
      <w:r w:rsidRPr="0772994C">
        <w:rPr>
          <w:b/>
          <w:bCs/>
        </w:rPr>
        <w:t>Template documents:</w:t>
      </w:r>
      <w:r>
        <w:t xml:space="preserve"> Create and make public templates or examples of CC&amp;Rs, HOA Agreements and Condominium Plans to reduce confusion and administrative burden for homeowners.</w:t>
      </w:r>
    </w:p>
    <w:p w14:paraId="795B8026" w14:textId="77777777" w:rsidR="00BD7095" w:rsidRDefault="00BD7095" w:rsidP="00BD7095">
      <w:pPr>
        <w:pStyle w:val="ChecklistStep"/>
      </w:pPr>
      <w:r>
        <w:t>Create tools for public information and outreach</w:t>
      </w:r>
    </w:p>
    <w:p w14:paraId="46502246" w14:textId="72E5D3D2" w:rsidR="00BD7095" w:rsidRPr="00BC6DD7" w:rsidRDefault="290701AD" w:rsidP="0772994C">
      <w:pPr>
        <w:pStyle w:val="ListParagraph"/>
        <w:rPr>
          <w:b/>
          <w:bCs/>
          <w:i/>
          <w:iCs/>
        </w:rPr>
      </w:pPr>
      <w:r w:rsidRPr="0772994C">
        <w:rPr>
          <w:b/>
          <w:bCs/>
        </w:rPr>
        <w:t>Public-facing website:</w:t>
      </w:r>
      <w:r w:rsidRPr="0772994C">
        <w:rPr>
          <w:i/>
          <w:iCs/>
        </w:rPr>
        <w:t xml:space="preserve"> </w:t>
      </w:r>
      <w:r>
        <w:t>Include FAQs, step-by-step instructions, contact information and resources for applicants.</w:t>
      </w:r>
    </w:p>
    <w:p w14:paraId="0B3FA3A3" w14:textId="75FC0736" w:rsidR="00BD7095" w:rsidRPr="00BC6DD7" w:rsidRDefault="290701AD" w:rsidP="00B16E13">
      <w:pPr>
        <w:pStyle w:val="ListParagraph"/>
        <w:rPr>
          <w:b/>
          <w:bCs/>
        </w:rPr>
      </w:pPr>
      <w:r w:rsidRPr="0772994C">
        <w:rPr>
          <w:b/>
          <w:bCs/>
        </w:rPr>
        <w:t>Outreach events:</w:t>
      </w:r>
      <w:r w:rsidRPr="0772994C">
        <w:rPr>
          <w:i/>
          <w:iCs/>
        </w:rPr>
        <w:t xml:space="preserve"> </w:t>
      </w:r>
      <w:r>
        <w:t>Conduct workshops, webinars, or public meetings to educate homeowners, developers and lenders about the program.</w:t>
      </w:r>
    </w:p>
    <w:p w14:paraId="23754D47" w14:textId="77777777" w:rsidR="00BD7095" w:rsidRPr="00BC6DD7" w:rsidRDefault="00BD7095" w:rsidP="00B16E13">
      <w:pPr>
        <w:pStyle w:val="ListParagraph"/>
        <w:rPr>
          <w:b/>
          <w:bCs/>
        </w:rPr>
      </w:pPr>
      <w:bookmarkStart w:id="34" w:name="_heading=h.clc0z59ah0jm"/>
      <w:bookmarkEnd w:id="34"/>
      <w:r w:rsidRPr="1EAA7862">
        <w:rPr>
          <w:b/>
          <w:bCs/>
        </w:rPr>
        <w:t xml:space="preserve">Financial </w:t>
      </w:r>
      <w:r>
        <w:rPr>
          <w:b/>
          <w:bCs/>
        </w:rPr>
        <w:t>s</w:t>
      </w:r>
      <w:r w:rsidRPr="1EAA7862">
        <w:rPr>
          <w:b/>
          <w:bCs/>
        </w:rPr>
        <w:t>upport:</w:t>
      </w:r>
      <w:r w:rsidRPr="1EAA7862">
        <w:rPr>
          <w:i/>
          <w:iCs/>
        </w:rPr>
        <w:t xml:space="preserve"> </w:t>
      </w:r>
      <w:bookmarkStart w:id="35" w:name="_heading=h.x0yeldgmmwd5"/>
      <w:bookmarkEnd w:id="35"/>
      <w:r w:rsidRPr="1EAA7862">
        <w:t xml:space="preserve">Consider fee waivers or financial assistance (e.g., CalHFA downpayment programs) to make </w:t>
      </w:r>
      <w:r>
        <w:t>subdividing properties to separately convey ADUs</w:t>
      </w:r>
      <w:r w:rsidRPr="1EAA7862">
        <w:t xml:space="preserve"> accessible to moderate-income homeowners.</w:t>
      </w:r>
    </w:p>
    <w:p w14:paraId="5087950B" w14:textId="77777777" w:rsidR="00BD7095" w:rsidRDefault="00BD7095" w:rsidP="00E524D1">
      <w:pPr>
        <w:pStyle w:val="Heading2"/>
        <w:spacing w:before="240"/>
        <w:rPr>
          <w:color w:val="000000"/>
          <w:sz w:val="22"/>
          <w:szCs w:val="22"/>
        </w:rPr>
      </w:pPr>
      <w:bookmarkStart w:id="36" w:name="_heading=h.899q169okvw9" w:colFirst="0" w:colLast="0"/>
      <w:bookmarkStart w:id="37" w:name="_heading=h.147n2zr" w:colFirst="0" w:colLast="0"/>
      <w:bookmarkStart w:id="38" w:name="_heading=h.3o7alnk" w:colFirst="0" w:colLast="0"/>
      <w:bookmarkStart w:id="39" w:name="_heading=h.ihv636" w:colFirst="0" w:colLast="0"/>
      <w:bookmarkStart w:id="40" w:name="_Toc209794944"/>
      <w:bookmarkStart w:id="41" w:name="_Ref210894805"/>
      <w:bookmarkEnd w:id="36"/>
      <w:bookmarkEnd w:id="37"/>
      <w:bookmarkEnd w:id="38"/>
      <w:bookmarkEnd w:id="39"/>
      <w:r>
        <w:t>Tools &amp; Resources</w:t>
      </w:r>
      <w:bookmarkEnd w:id="40"/>
      <w:bookmarkEnd w:id="41"/>
    </w:p>
    <w:p w14:paraId="7C6DADDF" w14:textId="60ADA06C" w:rsidR="00BD7095" w:rsidRDefault="290701AD" w:rsidP="00BD7095">
      <w:pPr>
        <w:spacing w:before="240" w:after="240"/>
      </w:pPr>
      <w:r>
        <w:t>To support the effective implementation of ADU condominium programs, jurisdictions should leverage existing tools, templates and examples. Below is a list of resources that provide guidance, legal frameworks and practical tools for program design and administration.</w:t>
      </w:r>
    </w:p>
    <w:p w14:paraId="16B42CEA" w14:textId="77777777" w:rsidR="00BD7095" w:rsidRDefault="00BD7095" w:rsidP="00B16E13">
      <w:pPr>
        <w:pStyle w:val="Heading3"/>
      </w:pPr>
      <w:bookmarkStart w:id="42" w:name="_heading=h.86cqazoit3j" w:colFirst="0" w:colLast="0"/>
      <w:bookmarkEnd w:id="42"/>
      <w:r>
        <w:t>General Information, Guidance &amp; Templates</w:t>
      </w:r>
    </w:p>
    <w:p w14:paraId="192BCBE0" w14:textId="77777777" w:rsidR="00BD7095" w:rsidRDefault="00BD7095" w:rsidP="00B16E13">
      <w:pPr>
        <w:pStyle w:val="ListParagraph"/>
        <w:rPr>
          <w:highlight w:val="white"/>
        </w:rPr>
      </w:pPr>
      <w:r>
        <w:rPr>
          <w:highlight w:val="white"/>
        </w:rPr>
        <w:t>ABAG Regional Housing Technical Assistance Resources</w:t>
      </w:r>
    </w:p>
    <w:p w14:paraId="40391310" w14:textId="77777777" w:rsidR="00BD7095" w:rsidRDefault="00BD7095" w:rsidP="00FD1C65">
      <w:pPr>
        <w:pStyle w:val="ListParagraph"/>
        <w:numPr>
          <w:ilvl w:val="1"/>
          <w:numId w:val="3"/>
        </w:numPr>
        <w:rPr>
          <w:highlight w:val="white"/>
        </w:rPr>
      </w:pPr>
      <w:hyperlink r:id="rId16" w:history="1">
        <w:r w:rsidRPr="007D4A19">
          <w:rPr>
            <w:rStyle w:val="Hyperlink"/>
            <w:b/>
            <w:bCs/>
            <w:highlight w:val="white"/>
          </w:rPr>
          <w:t>Public Information Templates</w:t>
        </w:r>
      </w:hyperlink>
      <w:r>
        <w:rPr>
          <w:highlight w:val="white"/>
        </w:rPr>
        <w:t xml:space="preserve"> communicating with the public about ADUs.</w:t>
      </w:r>
    </w:p>
    <w:p w14:paraId="689D199D" w14:textId="77777777" w:rsidR="00BD7095" w:rsidRPr="0070755F" w:rsidRDefault="00BD7095" w:rsidP="00FD1C65">
      <w:pPr>
        <w:pStyle w:val="ListParagraph"/>
        <w:numPr>
          <w:ilvl w:val="1"/>
          <w:numId w:val="3"/>
        </w:numPr>
        <w:rPr>
          <w:highlight w:val="white"/>
        </w:rPr>
      </w:pPr>
      <w:hyperlink r:id="rId17" w:history="1">
        <w:r w:rsidRPr="00685120">
          <w:rPr>
            <w:rStyle w:val="Hyperlink"/>
            <w:b/>
            <w:bCs/>
            <w:highlight w:val="white"/>
          </w:rPr>
          <w:t>ADU Model Ordinance</w:t>
        </w:r>
      </w:hyperlink>
      <w:r>
        <w:rPr>
          <w:highlight w:val="white"/>
        </w:rPr>
        <w:t xml:space="preserve"> example language for local adoption. </w:t>
      </w:r>
    </w:p>
    <w:p w14:paraId="6DEC7CD7" w14:textId="77777777" w:rsidR="00BD7095" w:rsidRPr="0049116B" w:rsidRDefault="00BD7095" w:rsidP="00B16E13">
      <w:pPr>
        <w:pStyle w:val="ListParagraph"/>
        <w:rPr>
          <w:b/>
          <w:bCs/>
        </w:rPr>
      </w:pPr>
      <w:hyperlink r:id="rId18" w:history="1">
        <w:r>
          <w:rPr>
            <w:rStyle w:val="Hyperlink"/>
            <w:b/>
            <w:bCs/>
          </w:rPr>
          <w:t>City of S</w:t>
        </w:r>
        <w:r w:rsidRPr="0049116B">
          <w:rPr>
            <w:rStyle w:val="Hyperlink"/>
            <w:b/>
            <w:bCs/>
          </w:rPr>
          <w:t xml:space="preserve">eattle </w:t>
        </w:r>
        <w:r>
          <w:rPr>
            <w:rStyle w:val="Hyperlink"/>
          </w:rPr>
          <w:t>Office of Planning and Community Development 2023 Annual Report on ADUs</w:t>
        </w:r>
      </w:hyperlink>
    </w:p>
    <w:p w14:paraId="247E3806" w14:textId="77777777" w:rsidR="00BD7095" w:rsidRDefault="00BD7095" w:rsidP="00B16E13">
      <w:pPr>
        <w:pStyle w:val="Heading3"/>
      </w:pPr>
      <w:bookmarkStart w:id="43" w:name="_heading=h.20mzsuz5z1bz" w:colFirst="0" w:colLast="0"/>
      <w:bookmarkEnd w:id="43"/>
      <w:r>
        <w:t>Implementation Examples</w:t>
      </w:r>
    </w:p>
    <w:p w14:paraId="1937F1A8" w14:textId="77777777" w:rsidR="00BD7095" w:rsidRPr="0093430F" w:rsidRDefault="00BD7095" w:rsidP="00B16E13">
      <w:pPr>
        <w:pStyle w:val="ListParagraph"/>
      </w:pPr>
      <w:r w:rsidRPr="1EAA7862">
        <w:t xml:space="preserve">City of San José: </w:t>
      </w:r>
    </w:p>
    <w:p w14:paraId="123E8BB5" w14:textId="77777777" w:rsidR="00BD7095" w:rsidRPr="00736C1A" w:rsidRDefault="00BD7095" w:rsidP="00FD1C65">
      <w:pPr>
        <w:pStyle w:val="ListParagraph"/>
        <w:numPr>
          <w:ilvl w:val="1"/>
          <w:numId w:val="3"/>
        </w:numPr>
      </w:pPr>
      <w:hyperlink r:id="rId19" w:history="1">
        <w:r w:rsidRPr="008E5D5F">
          <w:rPr>
            <w:rStyle w:val="Hyperlink"/>
            <w:bCs/>
          </w:rPr>
          <w:t>ADU Condominium Conversion Webpage</w:t>
        </w:r>
      </w:hyperlink>
    </w:p>
    <w:p w14:paraId="048251C9" w14:textId="77777777" w:rsidR="00BD7095" w:rsidRPr="0093430F" w:rsidRDefault="00BD7095" w:rsidP="00FD1C65">
      <w:pPr>
        <w:pStyle w:val="ListParagraph"/>
        <w:numPr>
          <w:ilvl w:val="1"/>
          <w:numId w:val="3"/>
        </w:numPr>
      </w:pPr>
      <w:hyperlink r:id="rId20" w:history="1">
        <w:r w:rsidRPr="008E5D5F">
          <w:rPr>
            <w:rStyle w:val="Hyperlink"/>
            <w:bCs/>
          </w:rPr>
          <w:t>Planning ADU Condo Conversion Checklist</w:t>
        </w:r>
      </w:hyperlink>
    </w:p>
    <w:p w14:paraId="168833E2" w14:textId="77777777" w:rsidR="00BD7095" w:rsidRPr="001120AB" w:rsidRDefault="00BD7095" w:rsidP="00FD1C65">
      <w:pPr>
        <w:pStyle w:val="ListParagraph"/>
        <w:numPr>
          <w:ilvl w:val="1"/>
          <w:numId w:val="3"/>
        </w:numPr>
      </w:pPr>
      <w:hyperlink r:id="rId21" w:history="1">
        <w:r w:rsidRPr="00C02A78">
          <w:rPr>
            <w:rStyle w:val="Hyperlink"/>
            <w:bCs/>
          </w:rPr>
          <w:t>ADU Condominium Parcel Mapping Instructions</w:t>
        </w:r>
      </w:hyperlink>
    </w:p>
    <w:p w14:paraId="023B30DC" w14:textId="77777777" w:rsidR="00BD7095" w:rsidRPr="001120AB" w:rsidRDefault="00BD7095" w:rsidP="00FD1C65">
      <w:pPr>
        <w:pStyle w:val="ListParagraph"/>
        <w:numPr>
          <w:ilvl w:val="1"/>
          <w:numId w:val="3"/>
        </w:numPr>
      </w:pPr>
      <w:hyperlink r:id="rId22" w:history="1">
        <w:r w:rsidRPr="00C02A78">
          <w:rPr>
            <w:rStyle w:val="Hyperlink"/>
            <w:bCs/>
          </w:rPr>
          <w:t>ADU Condominium Parcel Map Application</w:t>
        </w:r>
      </w:hyperlink>
    </w:p>
    <w:p w14:paraId="33CE0D89" w14:textId="77777777" w:rsidR="00BD7095" w:rsidRDefault="00BD7095" w:rsidP="00FD1C65">
      <w:pPr>
        <w:pStyle w:val="ListParagraph"/>
        <w:numPr>
          <w:ilvl w:val="1"/>
          <w:numId w:val="3"/>
        </w:numPr>
      </w:pPr>
      <w:hyperlink r:id="rId23" w:history="1">
        <w:r w:rsidRPr="00D3105D">
          <w:rPr>
            <w:rStyle w:val="Hyperlink"/>
            <w:bCs/>
          </w:rPr>
          <w:t>Public Works AB1033 Parcel Map Checklist</w:t>
        </w:r>
      </w:hyperlink>
    </w:p>
    <w:p w14:paraId="02EA21A9" w14:textId="77777777" w:rsidR="00BD7095" w:rsidRPr="0049116B" w:rsidRDefault="00BD7095" w:rsidP="00B16E13">
      <w:pPr>
        <w:pStyle w:val="ListParagraph"/>
      </w:pPr>
      <w:hyperlink r:id="rId24" w:history="1">
        <w:r w:rsidRPr="0049116B">
          <w:rPr>
            <w:rStyle w:val="Hyperlink"/>
            <w:b/>
            <w:bCs/>
          </w:rPr>
          <w:t>City of Oakland</w:t>
        </w:r>
        <w:r w:rsidRPr="0049116B">
          <w:rPr>
            <w:rStyle w:val="Hyperlink"/>
          </w:rPr>
          <w:t xml:space="preserve"> Parcel Map Waiver Supplemental Submittal Requirements</w:t>
        </w:r>
      </w:hyperlink>
    </w:p>
    <w:p w14:paraId="6B19EF30" w14:textId="77777777" w:rsidR="00BD7095" w:rsidRDefault="00BD7095" w:rsidP="00B16E13">
      <w:pPr>
        <w:pStyle w:val="ListParagraph"/>
      </w:pPr>
      <w:hyperlink r:id="rId25" w:history="1">
        <w:r w:rsidRPr="0049116B">
          <w:rPr>
            <w:rStyle w:val="Hyperlink"/>
            <w:b/>
          </w:rPr>
          <w:t xml:space="preserve">City of Berkeley </w:t>
        </w:r>
        <w:r>
          <w:rPr>
            <w:rStyle w:val="Hyperlink"/>
            <w:bCs/>
          </w:rPr>
          <w:t>staff report recommending implementation of AB 1033</w:t>
        </w:r>
      </w:hyperlink>
      <w:r w:rsidRPr="001B304A">
        <w:t xml:space="preserve"> </w:t>
      </w:r>
      <w:bookmarkStart w:id="44" w:name="_heading=h.sza17qm21mvo" w:colFirst="0" w:colLast="0"/>
      <w:bookmarkEnd w:id="44"/>
    </w:p>
    <w:p w14:paraId="5CF9F761" w14:textId="77777777" w:rsidR="00BD7095" w:rsidRDefault="00BD7095" w:rsidP="00B16E13">
      <w:pPr>
        <w:pStyle w:val="ListParagraph"/>
      </w:pPr>
      <w:hyperlink r:id="rId26" w:history="1">
        <w:r w:rsidRPr="0049116B">
          <w:rPr>
            <w:rStyle w:val="Hyperlink"/>
            <w:b/>
          </w:rPr>
          <w:t>City of San Diego</w:t>
        </w:r>
        <w:r>
          <w:rPr>
            <w:rStyle w:val="Hyperlink"/>
            <w:bCs/>
          </w:rPr>
          <w:t xml:space="preserve"> staff report recommending implementation of AB 1033</w:t>
        </w:r>
      </w:hyperlink>
    </w:p>
    <w:p w14:paraId="3A91D35A" w14:textId="3C6E1500" w:rsidR="00F34CA9" w:rsidRPr="004417E5" w:rsidRDefault="00F34CA9" w:rsidP="004417E5"/>
    <w:sectPr w:rsidR="00F34CA9" w:rsidRPr="004417E5" w:rsidSect="00DB3A11">
      <w:headerReference w:type="default" r:id="rId27"/>
      <w:footerReference w:type="default" r:id="rId28"/>
      <w:footerReference w:type="first" r:id="rId29"/>
      <w:type w:val="continuous"/>
      <w:pgSz w:w="12240" w:h="15840"/>
      <w:pgMar w:top="1620" w:right="720" w:bottom="1260" w:left="720" w:header="360" w:footer="36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994DF9" w14:textId="77777777" w:rsidR="00CF4412" w:rsidRDefault="00CF4412" w:rsidP="004A7BA7">
      <w:r>
        <w:separator/>
      </w:r>
    </w:p>
  </w:endnote>
  <w:endnote w:type="continuationSeparator" w:id="0">
    <w:p w14:paraId="6DAABB7C" w14:textId="77777777" w:rsidR="00CF4412" w:rsidRDefault="00CF4412" w:rsidP="004A7B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4DAF08" w14:textId="289DA0A3" w:rsidR="009F72D3" w:rsidRDefault="009F72D3" w:rsidP="001853FF">
    <w:pPr>
      <w:pStyle w:val="Footer"/>
      <w:tabs>
        <w:tab w:val="clear" w:pos="9360"/>
        <w:tab w:val="right" w:pos="10800"/>
      </w:tabs>
      <w:rPr>
        <w:noProof/>
      </w:rPr>
    </w:pPr>
    <w:r>
      <w:rPr>
        <w:noProof/>
      </w:rPr>
      <w:drawing>
        <wp:anchor distT="0" distB="0" distL="114300" distR="114300" simplePos="0" relativeHeight="251658240" behindDoc="1" locked="0" layoutInCell="1" allowOverlap="0" wp14:anchorId="4EAB2B89" wp14:editId="3348C8E4">
          <wp:simplePos x="0" y="0"/>
          <wp:positionH relativeFrom="margin">
            <wp:align>center</wp:align>
          </wp:positionH>
          <wp:positionV relativeFrom="page">
            <wp:posOffset>9467605</wp:posOffset>
          </wp:positionV>
          <wp:extent cx="7251065" cy="227965"/>
          <wp:effectExtent l="0" t="0" r="6985" b="635"/>
          <wp:wrapTopAndBottom/>
          <wp:docPr id="1107416292" name="Graphic 110741629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c 6">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7251065" cy="227965"/>
                  </a:xfrm>
                  <a:prstGeom prst="rect">
                    <a:avLst/>
                  </a:prstGeom>
                </pic:spPr>
              </pic:pic>
            </a:graphicData>
          </a:graphic>
          <wp14:sizeRelH relativeFrom="page">
            <wp14:pctWidth>0</wp14:pctWidth>
          </wp14:sizeRelH>
          <wp14:sizeRelV relativeFrom="page">
            <wp14:pctHeight>0</wp14:pctHeight>
          </wp14:sizeRelV>
        </wp:anchor>
      </w:drawing>
    </w:r>
    <w:sdt>
      <w:sdtPr>
        <w:id w:val="-1703321063"/>
        <w:docPartObj>
          <w:docPartGallery w:val="Page Numbers (Bottom of Page)"/>
          <w:docPartUnique/>
        </w:docPartObj>
      </w:sdtPr>
      <w:sdtEndPr>
        <w:rPr>
          <w:noProof/>
        </w:rPr>
      </w:sdtEndPr>
      <w:sdtContent>
        <w:r w:rsidR="00947598">
          <w:t>11/4</w:t>
        </w:r>
        <w:r>
          <w:t>/2025</w:t>
        </w:r>
        <w:r>
          <w:tab/>
        </w:r>
        <w:r>
          <w:tab/>
        </w:r>
        <w:r>
          <w:fldChar w:fldCharType="begin"/>
        </w:r>
        <w:r>
          <w:instrText xml:space="preserve"> PAGE   \* MERGEFORMAT </w:instrText>
        </w:r>
        <w:r>
          <w:fldChar w:fldCharType="separate"/>
        </w:r>
        <w:r>
          <w:t>1</w:t>
        </w:r>
        <w:r>
          <w:rPr>
            <w:noProof/>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4057C" w14:textId="3C40B50C" w:rsidR="00633444" w:rsidRDefault="00000000" w:rsidP="00285720">
    <w:pPr>
      <w:pStyle w:val="Footer"/>
      <w:tabs>
        <w:tab w:val="clear" w:pos="9360"/>
        <w:tab w:val="right" w:pos="10800"/>
      </w:tabs>
      <w:rPr>
        <w:noProof/>
      </w:rPr>
    </w:pPr>
    <w:sdt>
      <w:sdtPr>
        <w:id w:val="-46373778"/>
        <w:docPartObj>
          <w:docPartGallery w:val="Page Numbers (Bottom of Page)"/>
          <w:docPartUnique/>
        </w:docPartObj>
      </w:sdtPr>
      <w:sdtEndPr>
        <w:rPr>
          <w:noProof/>
        </w:rPr>
      </w:sdtEndPr>
      <w:sdtContent>
        <w:r w:rsidR="00285720">
          <w:t>9/25</w:t>
        </w:r>
        <w:r w:rsidR="00633444">
          <w:t>/2025</w:t>
        </w:r>
        <w:r w:rsidR="00633444">
          <w:tab/>
        </w:r>
        <w:r w:rsidR="00633444">
          <w:tab/>
        </w:r>
        <w:r w:rsidR="00633444">
          <w:fldChar w:fldCharType="begin"/>
        </w:r>
        <w:r w:rsidR="00633444">
          <w:instrText xml:space="preserve"> PAGE   \* MERGEFORMAT </w:instrText>
        </w:r>
        <w:r w:rsidR="00633444">
          <w:fldChar w:fldCharType="separate"/>
        </w:r>
        <w:r w:rsidR="00633444">
          <w:t>2</w:t>
        </w:r>
        <w:r w:rsidR="00633444">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70D7DB" w14:textId="77777777" w:rsidR="00CF4412" w:rsidRDefault="00CF4412" w:rsidP="004A7BA7">
      <w:r>
        <w:separator/>
      </w:r>
    </w:p>
  </w:footnote>
  <w:footnote w:type="continuationSeparator" w:id="0">
    <w:p w14:paraId="6CE245D3" w14:textId="77777777" w:rsidR="00CF4412" w:rsidRDefault="00CF4412" w:rsidP="004A7BA7">
      <w:r>
        <w:continuationSeparator/>
      </w:r>
    </w:p>
  </w:footnote>
  <w:footnote w:id="1">
    <w:p w14:paraId="4EBF9C39" w14:textId="77777777" w:rsidR="00BD7095" w:rsidRPr="00563729" w:rsidRDefault="00BD7095" w:rsidP="00BD7095">
      <w:pPr>
        <w:pStyle w:val="FootnoteText"/>
      </w:pPr>
      <w:r>
        <w:rPr>
          <w:rStyle w:val="FootnoteReference"/>
        </w:rPr>
        <w:footnoteRef/>
      </w:r>
      <w:r>
        <w:t xml:space="preserve"> Seattle Office of Planning and Community Development (OPCD) 2023 Annual Report on ADUs, p.24</w:t>
      </w:r>
    </w:p>
  </w:footnote>
  <w:footnote w:id="2">
    <w:p w14:paraId="27D92035" w14:textId="77777777" w:rsidR="00BD7095" w:rsidRPr="00114C0A" w:rsidRDefault="00BD7095" w:rsidP="00BD7095">
      <w:pPr>
        <w:pStyle w:val="FootnoteText"/>
      </w:pPr>
      <w:r>
        <w:rPr>
          <w:rStyle w:val="FootnoteReference"/>
        </w:rPr>
        <w:footnoteRef/>
      </w:r>
      <w:r>
        <w:t xml:space="preserve"> Seattle OPCD 2023 Annual Report on ADUs, p. 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6B706B" w14:textId="5C1AADCC" w:rsidR="002B5169" w:rsidRDefault="00210040" w:rsidP="004A7BA7">
    <w:r>
      <w:rPr>
        <w:noProof/>
      </w:rPr>
      <w:drawing>
        <wp:anchor distT="0" distB="0" distL="114300" distR="114300" simplePos="0" relativeHeight="251658241" behindDoc="1" locked="0" layoutInCell="1" allowOverlap="1" wp14:anchorId="068A4434" wp14:editId="5939EC41">
          <wp:simplePos x="0" y="0"/>
          <wp:positionH relativeFrom="margin">
            <wp:posOffset>-184639</wp:posOffset>
          </wp:positionH>
          <wp:positionV relativeFrom="topMargin">
            <wp:posOffset>154061</wp:posOffset>
          </wp:positionV>
          <wp:extent cx="7150608" cy="741137"/>
          <wp:effectExtent l="0" t="0" r="0" b="1905"/>
          <wp:wrapNone/>
          <wp:docPr id="541428213" name="Graphic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7150608" cy="741137"/>
                  </a:xfrm>
                  <a:prstGeom prst="rect">
                    <a:avLst/>
                  </a:prstGeom>
                </pic:spPr>
              </pic:pic>
            </a:graphicData>
          </a:graphic>
          <wp14:sizeRelH relativeFrom="page">
            <wp14:pctWidth>0</wp14:pctWidth>
          </wp14:sizeRelH>
          <wp14:sizeRelV relativeFrom="page">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bookmark int2:bookmarkName="_Int_Y4EhrdLU" int2:invalidationBookmarkName="" int2:hashCode="mj6OuSL05JpFEn" int2:id="SIV6AMgX">
      <int2:state int2:value="Rejected" int2:type="style"/>
    </int2:bookmark>
    <int2:bookmark int2:bookmarkName="_Int_wr5zKpY8" int2:invalidationBookmarkName="" int2:hashCode="COD+StDkG7rj02" int2:id="hAiOCV2P">
      <int2:state int2:value="Rejected" int2:type="styl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473B0"/>
    <w:multiLevelType w:val="hybridMultilevel"/>
    <w:tmpl w:val="081A10B2"/>
    <w:lvl w:ilvl="0" w:tplc="E91A1D2C">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DA3F15"/>
    <w:multiLevelType w:val="multilevel"/>
    <w:tmpl w:val="874E20F2"/>
    <w:styleLink w:val="CurrentList1"/>
    <w:lvl w:ilvl="0">
      <w:numFmt w:val="bullet"/>
      <w:lvlText w:val="•"/>
      <w:lvlJc w:val="left"/>
      <w:pPr>
        <w:ind w:left="540" w:hanging="360"/>
      </w:pPr>
      <w:rPr>
        <w:rFonts w:ascii="Segoe UI Symbol" w:eastAsiaTheme="minorHAnsi" w:hAnsi="Segoe UI Symbol" w:cs="Segoe UI 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1980" w:hanging="360"/>
      </w:pPr>
      <w:rPr>
        <w:rFonts w:ascii="Wingdings" w:hAnsi="Wingdings" w:hint="default"/>
      </w:rPr>
    </w:lvl>
    <w:lvl w:ilvl="3">
      <w:start w:val="1"/>
      <w:numFmt w:val="bullet"/>
      <w:lvlText w:val=""/>
      <w:lvlJc w:val="left"/>
      <w:pPr>
        <w:ind w:left="2700" w:hanging="360"/>
      </w:pPr>
      <w:rPr>
        <w:rFonts w:ascii="Symbol" w:hAnsi="Symbol" w:hint="default"/>
      </w:rPr>
    </w:lvl>
    <w:lvl w:ilvl="4">
      <w:start w:val="1"/>
      <w:numFmt w:val="bullet"/>
      <w:lvlText w:val="o"/>
      <w:lvlJc w:val="left"/>
      <w:pPr>
        <w:ind w:left="3420" w:hanging="360"/>
      </w:pPr>
      <w:rPr>
        <w:rFonts w:ascii="Courier New" w:hAnsi="Courier New" w:cs="Courier New" w:hint="default"/>
      </w:rPr>
    </w:lvl>
    <w:lvl w:ilvl="5">
      <w:start w:val="1"/>
      <w:numFmt w:val="bullet"/>
      <w:lvlText w:val=""/>
      <w:lvlJc w:val="left"/>
      <w:pPr>
        <w:ind w:left="4140" w:hanging="360"/>
      </w:pPr>
      <w:rPr>
        <w:rFonts w:ascii="Wingdings" w:hAnsi="Wingdings" w:hint="default"/>
      </w:rPr>
    </w:lvl>
    <w:lvl w:ilvl="6">
      <w:start w:val="1"/>
      <w:numFmt w:val="bullet"/>
      <w:lvlText w:val=""/>
      <w:lvlJc w:val="left"/>
      <w:pPr>
        <w:ind w:left="4860" w:hanging="360"/>
      </w:pPr>
      <w:rPr>
        <w:rFonts w:ascii="Symbol" w:hAnsi="Symbol" w:hint="default"/>
      </w:rPr>
    </w:lvl>
    <w:lvl w:ilvl="7">
      <w:start w:val="1"/>
      <w:numFmt w:val="bullet"/>
      <w:lvlText w:val="o"/>
      <w:lvlJc w:val="left"/>
      <w:pPr>
        <w:ind w:left="5580" w:hanging="360"/>
      </w:pPr>
      <w:rPr>
        <w:rFonts w:ascii="Courier New" w:hAnsi="Courier New" w:cs="Courier New" w:hint="default"/>
      </w:rPr>
    </w:lvl>
    <w:lvl w:ilvl="8">
      <w:start w:val="1"/>
      <w:numFmt w:val="bullet"/>
      <w:lvlText w:val=""/>
      <w:lvlJc w:val="left"/>
      <w:pPr>
        <w:ind w:left="6300" w:hanging="360"/>
      </w:pPr>
      <w:rPr>
        <w:rFonts w:ascii="Wingdings" w:hAnsi="Wingdings" w:hint="default"/>
      </w:rPr>
    </w:lvl>
  </w:abstractNum>
  <w:abstractNum w:abstractNumId="2" w15:restartNumberingAfterBreak="0">
    <w:nsid w:val="096510EE"/>
    <w:multiLevelType w:val="multilevel"/>
    <w:tmpl w:val="41FA5F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660871"/>
    <w:multiLevelType w:val="multilevel"/>
    <w:tmpl w:val="D3781A90"/>
    <w:styleLink w:val="CurrentList2"/>
    <w:lvl w:ilvl="0">
      <w:start w:val="1"/>
      <w:numFmt w:val="bullet"/>
      <w:lvlText w:val=""/>
      <w:lvlJc w:val="left"/>
      <w:pPr>
        <w:ind w:left="900" w:hanging="360"/>
      </w:pPr>
      <w:rPr>
        <w:rFonts w:ascii="Wingdings" w:hAnsi="Wingdings" w:hint="default"/>
      </w:rPr>
    </w:lvl>
    <w:lvl w:ilvl="1">
      <w:start w:val="1"/>
      <w:numFmt w:val="bullet"/>
      <w:lvlText w:val="o"/>
      <w:lvlJc w:val="left"/>
      <w:pPr>
        <w:ind w:left="1620" w:hanging="360"/>
      </w:pPr>
      <w:rPr>
        <w:rFonts w:ascii="Courier New" w:hAnsi="Courier New" w:cs="Courier New" w:hint="default"/>
      </w:rPr>
    </w:lvl>
    <w:lvl w:ilvl="2">
      <w:start w:val="1"/>
      <w:numFmt w:val="bullet"/>
      <w:lvlText w:val=""/>
      <w:lvlJc w:val="left"/>
      <w:pPr>
        <w:ind w:left="2340" w:hanging="360"/>
      </w:pPr>
      <w:rPr>
        <w:rFonts w:ascii="Wingdings" w:hAnsi="Wingdings" w:hint="default"/>
      </w:rPr>
    </w:lvl>
    <w:lvl w:ilvl="3">
      <w:start w:val="1"/>
      <w:numFmt w:val="bullet"/>
      <w:lvlText w:val=""/>
      <w:lvlJc w:val="left"/>
      <w:pPr>
        <w:ind w:left="3060" w:hanging="360"/>
      </w:pPr>
      <w:rPr>
        <w:rFonts w:ascii="Symbol" w:hAnsi="Symbol" w:hint="default"/>
      </w:rPr>
    </w:lvl>
    <w:lvl w:ilvl="4">
      <w:start w:val="1"/>
      <w:numFmt w:val="bullet"/>
      <w:lvlText w:val="o"/>
      <w:lvlJc w:val="left"/>
      <w:pPr>
        <w:ind w:left="3780" w:hanging="360"/>
      </w:pPr>
      <w:rPr>
        <w:rFonts w:ascii="Courier New" w:hAnsi="Courier New" w:cs="Courier New" w:hint="default"/>
      </w:rPr>
    </w:lvl>
    <w:lvl w:ilvl="5">
      <w:start w:val="1"/>
      <w:numFmt w:val="bullet"/>
      <w:lvlText w:val=""/>
      <w:lvlJc w:val="left"/>
      <w:pPr>
        <w:ind w:left="4500" w:hanging="360"/>
      </w:pPr>
      <w:rPr>
        <w:rFonts w:ascii="Wingdings" w:hAnsi="Wingdings" w:hint="default"/>
      </w:rPr>
    </w:lvl>
    <w:lvl w:ilvl="6">
      <w:start w:val="1"/>
      <w:numFmt w:val="bullet"/>
      <w:lvlText w:val=""/>
      <w:lvlJc w:val="left"/>
      <w:pPr>
        <w:ind w:left="5220" w:hanging="360"/>
      </w:pPr>
      <w:rPr>
        <w:rFonts w:ascii="Symbol" w:hAnsi="Symbol" w:hint="default"/>
      </w:rPr>
    </w:lvl>
    <w:lvl w:ilvl="7">
      <w:start w:val="1"/>
      <w:numFmt w:val="bullet"/>
      <w:lvlText w:val="o"/>
      <w:lvlJc w:val="left"/>
      <w:pPr>
        <w:ind w:left="5940" w:hanging="360"/>
      </w:pPr>
      <w:rPr>
        <w:rFonts w:ascii="Courier New" w:hAnsi="Courier New" w:cs="Courier New" w:hint="default"/>
      </w:rPr>
    </w:lvl>
    <w:lvl w:ilvl="8">
      <w:start w:val="1"/>
      <w:numFmt w:val="bullet"/>
      <w:lvlText w:val=""/>
      <w:lvlJc w:val="left"/>
      <w:pPr>
        <w:ind w:left="6660" w:hanging="360"/>
      </w:pPr>
      <w:rPr>
        <w:rFonts w:ascii="Wingdings" w:hAnsi="Wingdings" w:hint="default"/>
      </w:rPr>
    </w:lvl>
  </w:abstractNum>
  <w:abstractNum w:abstractNumId="4" w15:restartNumberingAfterBreak="0">
    <w:nsid w:val="284F2B43"/>
    <w:multiLevelType w:val="hybridMultilevel"/>
    <w:tmpl w:val="01E6112E"/>
    <w:lvl w:ilvl="0" w:tplc="79C28340">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9F539A8"/>
    <w:multiLevelType w:val="hybridMultilevel"/>
    <w:tmpl w:val="E9AAAA06"/>
    <w:lvl w:ilvl="0" w:tplc="A7A04154">
      <w:start w:val="1"/>
      <w:numFmt w:val="bullet"/>
      <w:pStyle w:val="Bulletstext"/>
      <w:lvlText w:val=""/>
      <w:lvlJc w:val="left"/>
      <w:pPr>
        <w:ind w:left="720" w:hanging="360"/>
      </w:pPr>
      <w:rPr>
        <w:rFonts w:ascii="Symbol" w:hAnsi="Symbol" w:hint="default"/>
        <w:sz w:val="32"/>
      </w:rPr>
    </w:lvl>
    <w:lvl w:ilvl="1" w:tplc="B5DE87AC">
      <w:start w:val="1"/>
      <w:numFmt w:val="bullet"/>
      <w:lvlText w:val="o"/>
      <w:lvlJc w:val="left"/>
      <w:pPr>
        <w:ind w:left="1440" w:hanging="360"/>
      </w:pPr>
      <w:rPr>
        <w:rFonts w:ascii="Courier New" w:hAnsi="Courier New" w:cs="Courier New" w:hint="default"/>
      </w:rPr>
    </w:lvl>
    <w:lvl w:ilvl="2" w:tplc="761A3554">
      <w:start w:val="1"/>
      <w:numFmt w:val="bullet"/>
      <w:lvlText w:val=""/>
      <w:lvlJc w:val="left"/>
      <w:pPr>
        <w:ind w:left="2160" w:hanging="360"/>
      </w:pPr>
      <w:rPr>
        <w:rFonts w:ascii="Wingdings" w:hAnsi="Wingdings" w:hint="default"/>
      </w:rPr>
    </w:lvl>
    <w:lvl w:ilvl="3" w:tplc="27925C0E" w:tentative="1">
      <w:start w:val="1"/>
      <w:numFmt w:val="bullet"/>
      <w:lvlText w:val=""/>
      <w:lvlJc w:val="left"/>
      <w:pPr>
        <w:ind w:left="2880" w:hanging="360"/>
      </w:pPr>
      <w:rPr>
        <w:rFonts w:ascii="Symbol" w:hAnsi="Symbol" w:hint="default"/>
      </w:rPr>
    </w:lvl>
    <w:lvl w:ilvl="4" w:tplc="09B47BCA" w:tentative="1">
      <w:start w:val="1"/>
      <w:numFmt w:val="bullet"/>
      <w:lvlText w:val="o"/>
      <w:lvlJc w:val="left"/>
      <w:pPr>
        <w:ind w:left="3600" w:hanging="360"/>
      </w:pPr>
      <w:rPr>
        <w:rFonts w:ascii="Courier New" w:hAnsi="Courier New" w:cs="Courier New" w:hint="default"/>
      </w:rPr>
    </w:lvl>
    <w:lvl w:ilvl="5" w:tplc="5FDCD41E" w:tentative="1">
      <w:start w:val="1"/>
      <w:numFmt w:val="bullet"/>
      <w:lvlText w:val=""/>
      <w:lvlJc w:val="left"/>
      <w:pPr>
        <w:ind w:left="4320" w:hanging="360"/>
      </w:pPr>
      <w:rPr>
        <w:rFonts w:ascii="Wingdings" w:hAnsi="Wingdings" w:hint="default"/>
      </w:rPr>
    </w:lvl>
    <w:lvl w:ilvl="6" w:tplc="0B5888B4" w:tentative="1">
      <w:start w:val="1"/>
      <w:numFmt w:val="bullet"/>
      <w:lvlText w:val=""/>
      <w:lvlJc w:val="left"/>
      <w:pPr>
        <w:ind w:left="5040" w:hanging="360"/>
      </w:pPr>
      <w:rPr>
        <w:rFonts w:ascii="Symbol" w:hAnsi="Symbol" w:hint="default"/>
      </w:rPr>
    </w:lvl>
    <w:lvl w:ilvl="7" w:tplc="D6703440" w:tentative="1">
      <w:start w:val="1"/>
      <w:numFmt w:val="bullet"/>
      <w:lvlText w:val="o"/>
      <w:lvlJc w:val="left"/>
      <w:pPr>
        <w:ind w:left="5760" w:hanging="360"/>
      </w:pPr>
      <w:rPr>
        <w:rFonts w:ascii="Courier New" w:hAnsi="Courier New" w:cs="Courier New" w:hint="default"/>
      </w:rPr>
    </w:lvl>
    <w:lvl w:ilvl="8" w:tplc="CAC20852" w:tentative="1">
      <w:start w:val="1"/>
      <w:numFmt w:val="bullet"/>
      <w:lvlText w:val=""/>
      <w:lvlJc w:val="left"/>
      <w:pPr>
        <w:ind w:left="6480" w:hanging="360"/>
      </w:pPr>
      <w:rPr>
        <w:rFonts w:ascii="Wingdings" w:hAnsi="Wingdings" w:hint="default"/>
      </w:rPr>
    </w:lvl>
  </w:abstractNum>
  <w:abstractNum w:abstractNumId="6" w15:restartNumberingAfterBreak="0">
    <w:nsid w:val="51363E71"/>
    <w:multiLevelType w:val="hybridMultilevel"/>
    <w:tmpl w:val="4F1AF242"/>
    <w:lvl w:ilvl="0" w:tplc="CA8E2528">
      <w:start w:val="1"/>
      <w:numFmt w:val="bullet"/>
      <w:pStyle w:val="Heading5"/>
      <w:lvlText w:val="o"/>
      <w:lvlJc w:val="left"/>
      <w:pPr>
        <w:ind w:left="720" w:hanging="360"/>
      </w:pPr>
      <w:rPr>
        <w:rFonts w:ascii="Wingdings" w:hAnsi="Wingdings" w:hint="default"/>
      </w:rPr>
    </w:lvl>
    <w:lvl w:ilvl="1" w:tplc="D4D6ABC8" w:tentative="1">
      <w:start w:val="1"/>
      <w:numFmt w:val="bullet"/>
      <w:lvlText w:val="o"/>
      <w:lvlJc w:val="left"/>
      <w:pPr>
        <w:ind w:left="1440" w:hanging="360"/>
      </w:pPr>
      <w:rPr>
        <w:rFonts w:ascii="Courier New" w:hAnsi="Courier New" w:cs="Courier New" w:hint="default"/>
      </w:rPr>
    </w:lvl>
    <w:lvl w:ilvl="2" w:tplc="9030FC44" w:tentative="1">
      <w:start w:val="1"/>
      <w:numFmt w:val="bullet"/>
      <w:lvlText w:val=""/>
      <w:lvlJc w:val="left"/>
      <w:pPr>
        <w:ind w:left="2160" w:hanging="360"/>
      </w:pPr>
      <w:rPr>
        <w:rFonts w:ascii="Wingdings" w:hAnsi="Wingdings" w:hint="default"/>
      </w:rPr>
    </w:lvl>
    <w:lvl w:ilvl="3" w:tplc="69FC731C" w:tentative="1">
      <w:start w:val="1"/>
      <w:numFmt w:val="bullet"/>
      <w:lvlText w:val=""/>
      <w:lvlJc w:val="left"/>
      <w:pPr>
        <w:ind w:left="2880" w:hanging="360"/>
      </w:pPr>
      <w:rPr>
        <w:rFonts w:ascii="Symbol" w:hAnsi="Symbol" w:hint="default"/>
      </w:rPr>
    </w:lvl>
    <w:lvl w:ilvl="4" w:tplc="7E3C2804" w:tentative="1">
      <w:start w:val="1"/>
      <w:numFmt w:val="bullet"/>
      <w:lvlText w:val="o"/>
      <w:lvlJc w:val="left"/>
      <w:pPr>
        <w:ind w:left="3600" w:hanging="360"/>
      </w:pPr>
      <w:rPr>
        <w:rFonts w:ascii="Courier New" w:hAnsi="Courier New" w:cs="Courier New" w:hint="default"/>
      </w:rPr>
    </w:lvl>
    <w:lvl w:ilvl="5" w:tplc="A94EBC78" w:tentative="1">
      <w:start w:val="1"/>
      <w:numFmt w:val="bullet"/>
      <w:lvlText w:val=""/>
      <w:lvlJc w:val="left"/>
      <w:pPr>
        <w:ind w:left="4320" w:hanging="360"/>
      </w:pPr>
      <w:rPr>
        <w:rFonts w:ascii="Wingdings" w:hAnsi="Wingdings" w:hint="default"/>
      </w:rPr>
    </w:lvl>
    <w:lvl w:ilvl="6" w:tplc="D4648040" w:tentative="1">
      <w:start w:val="1"/>
      <w:numFmt w:val="bullet"/>
      <w:lvlText w:val=""/>
      <w:lvlJc w:val="left"/>
      <w:pPr>
        <w:ind w:left="5040" w:hanging="360"/>
      </w:pPr>
      <w:rPr>
        <w:rFonts w:ascii="Symbol" w:hAnsi="Symbol" w:hint="default"/>
      </w:rPr>
    </w:lvl>
    <w:lvl w:ilvl="7" w:tplc="A9F4934C" w:tentative="1">
      <w:start w:val="1"/>
      <w:numFmt w:val="bullet"/>
      <w:lvlText w:val="o"/>
      <w:lvlJc w:val="left"/>
      <w:pPr>
        <w:ind w:left="5760" w:hanging="360"/>
      </w:pPr>
      <w:rPr>
        <w:rFonts w:ascii="Courier New" w:hAnsi="Courier New" w:cs="Courier New" w:hint="default"/>
      </w:rPr>
    </w:lvl>
    <w:lvl w:ilvl="8" w:tplc="6EDC4F86" w:tentative="1">
      <w:start w:val="1"/>
      <w:numFmt w:val="bullet"/>
      <w:lvlText w:val=""/>
      <w:lvlJc w:val="left"/>
      <w:pPr>
        <w:ind w:left="6480" w:hanging="360"/>
      </w:pPr>
      <w:rPr>
        <w:rFonts w:ascii="Wingdings" w:hAnsi="Wingdings" w:hint="default"/>
      </w:rPr>
    </w:lvl>
  </w:abstractNum>
  <w:abstractNum w:abstractNumId="7" w15:restartNumberingAfterBreak="0">
    <w:nsid w:val="5609674B"/>
    <w:multiLevelType w:val="hybridMultilevel"/>
    <w:tmpl w:val="0B96EAF0"/>
    <w:lvl w:ilvl="0" w:tplc="88360CAE">
      <w:start w:val="1"/>
      <w:numFmt w:val="bullet"/>
      <w:lvlText w:val=""/>
      <w:lvlJc w:val="left"/>
      <w:pPr>
        <w:ind w:left="720" w:hanging="360"/>
      </w:pPr>
      <w:rPr>
        <w:rFonts w:ascii="Symbol" w:hAnsi="Symbol" w:hint="default"/>
        <w:sz w:val="22"/>
      </w:rPr>
    </w:lvl>
    <w:lvl w:ilvl="1" w:tplc="C87A7482" w:tentative="1">
      <w:start w:val="1"/>
      <w:numFmt w:val="bullet"/>
      <w:lvlText w:val="o"/>
      <w:lvlJc w:val="left"/>
      <w:pPr>
        <w:ind w:left="1440" w:hanging="360"/>
      </w:pPr>
      <w:rPr>
        <w:rFonts w:ascii="Courier New" w:hAnsi="Courier New" w:cs="Courier New" w:hint="default"/>
      </w:rPr>
    </w:lvl>
    <w:lvl w:ilvl="2" w:tplc="2410D7AE" w:tentative="1">
      <w:start w:val="1"/>
      <w:numFmt w:val="bullet"/>
      <w:lvlText w:val=""/>
      <w:lvlJc w:val="left"/>
      <w:pPr>
        <w:ind w:left="2160" w:hanging="360"/>
      </w:pPr>
      <w:rPr>
        <w:rFonts w:ascii="Wingdings" w:hAnsi="Wingdings" w:hint="default"/>
      </w:rPr>
    </w:lvl>
    <w:lvl w:ilvl="3" w:tplc="EB84AA2A" w:tentative="1">
      <w:start w:val="1"/>
      <w:numFmt w:val="bullet"/>
      <w:lvlText w:val=""/>
      <w:lvlJc w:val="left"/>
      <w:pPr>
        <w:ind w:left="2880" w:hanging="360"/>
      </w:pPr>
      <w:rPr>
        <w:rFonts w:ascii="Symbol" w:hAnsi="Symbol" w:hint="default"/>
      </w:rPr>
    </w:lvl>
    <w:lvl w:ilvl="4" w:tplc="9DBE2BAA" w:tentative="1">
      <w:start w:val="1"/>
      <w:numFmt w:val="bullet"/>
      <w:lvlText w:val="o"/>
      <w:lvlJc w:val="left"/>
      <w:pPr>
        <w:ind w:left="3600" w:hanging="360"/>
      </w:pPr>
      <w:rPr>
        <w:rFonts w:ascii="Courier New" w:hAnsi="Courier New" w:cs="Courier New" w:hint="default"/>
      </w:rPr>
    </w:lvl>
    <w:lvl w:ilvl="5" w:tplc="9992EA76" w:tentative="1">
      <w:start w:val="1"/>
      <w:numFmt w:val="bullet"/>
      <w:lvlText w:val=""/>
      <w:lvlJc w:val="left"/>
      <w:pPr>
        <w:ind w:left="4320" w:hanging="360"/>
      </w:pPr>
      <w:rPr>
        <w:rFonts w:ascii="Wingdings" w:hAnsi="Wingdings" w:hint="default"/>
      </w:rPr>
    </w:lvl>
    <w:lvl w:ilvl="6" w:tplc="4838EB86" w:tentative="1">
      <w:start w:val="1"/>
      <w:numFmt w:val="bullet"/>
      <w:lvlText w:val=""/>
      <w:lvlJc w:val="left"/>
      <w:pPr>
        <w:ind w:left="5040" w:hanging="360"/>
      </w:pPr>
      <w:rPr>
        <w:rFonts w:ascii="Symbol" w:hAnsi="Symbol" w:hint="default"/>
      </w:rPr>
    </w:lvl>
    <w:lvl w:ilvl="7" w:tplc="F670D7EA" w:tentative="1">
      <w:start w:val="1"/>
      <w:numFmt w:val="bullet"/>
      <w:lvlText w:val="o"/>
      <w:lvlJc w:val="left"/>
      <w:pPr>
        <w:ind w:left="5760" w:hanging="360"/>
      </w:pPr>
      <w:rPr>
        <w:rFonts w:ascii="Courier New" w:hAnsi="Courier New" w:cs="Courier New" w:hint="default"/>
      </w:rPr>
    </w:lvl>
    <w:lvl w:ilvl="8" w:tplc="AF06E4BA" w:tentative="1">
      <w:start w:val="1"/>
      <w:numFmt w:val="bullet"/>
      <w:lvlText w:val=""/>
      <w:lvlJc w:val="left"/>
      <w:pPr>
        <w:ind w:left="6480" w:hanging="360"/>
      </w:pPr>
      <w:rPr>
        <w:rFonts w:ascii="Wingdings" w:hAnsi="Wingdings" w:hint="default"/>
      </w:rPr>
    </w:lvl>
  </w:abstractNum>
  <w:num w:numId="1" w16cid:durableId="1136872147">
    <w:abstractNumId w:val="1"/>
  </w:num>
  <w:num w:numId="2" w16cid:durableId="222571883">
    <w:abstractNumId w:val="3"/>
  </w:num>
  <w:num w:numId="3" w16cid:durableId="2077126365">
    <w:abstractNumId w:val="2"/>
    <w:lvlOverride w:ilvl="3">
      <w:lvl w:ilvl="3">
        <w:numFmt w:val="bullet"/>
        <w:lvlText w:val="o"/>
        <w:lvlJc w:val="left"/>
        <w:pPr>
          <w:tabs>
            <w:tab w:val="num" w:pos="2880"/>
          </w:tabs>
          <w:ind w:left="2880" w:hanging="360"/>
        </w:pPr>
        <w:rPr>
          <w:rFonts w:ascii="Courier New" w:hAnsi="Courier New" w:hint="default"/>
          <w:sz w:val="20"/>
        </w:rPr>
      </w:lvl>
    </w:lvlOverride>
  </w:num>
  <w:num w:numId="4" w16cid:durableId="609432934">
    <w:abstractNumId w:val="5"/>
  </w:num>
  <w:num w:numId="5" w16cid:durableId="87241679">
    <w:abstractNumId w:val="7"/>
  </w:num>
  <w:num w:numId="6" w16cid:durableId="1575238084">
    <w:abstractNumId w:val="6"/>
  </w:num>
  <w:num w:numId="7" w16cid:durableId="1977562109">
    <w:abstractNumId w:val="4"/>
  </w:num>
  <w:num w:numId="8" w16cid:durableId="686298276">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52B0"/>
    <w:rsid w:val="00001B08"/>
    <w:rsid w:val="00006C37"/>
    <w:rsid w:val="0001574A"/>
    <w:rsid w:val="00031324"/>
    <w:rsid w:val="00032264"/>
    <w:rsid w:val="00043F95"/>
    <w:rsid w:val="000458BE"/>
    <w:rsid w:val="00063873"/>
    <w:rsid w:val="00064E04"/>
    <w:rsid w:val="000742C7"/>
    <w:rsid w:val="00081095"/>
    <w:rsid w:val="00084A62"/>
    <w:rsid w:val="00096896"/>
    <w:rsid w:val="000B68B8"/>
    <w:rsid w:val="000D0021"/>
    <w:rsid w:val="000D0AAA"/>
    <w:rsid w:val="000D66F3"/>
    <w:rsid w:val="000E1904"/>
    <w:rsid w:val="000E28D2"/>
    <w:rsid w:val="000E663D"/>
    <w:rsid w:val="000F0061"/>
    <w:rsid w:val="000F1AA1"/>
    <w:rsid w:val="000F3BD0"/>
    <w:rsid w:val="000F4F52"/>
    <w:rsid w:val="001143CC"/>
    <w:rsid w:val="00117EF4"/>
    <w:rsid w:val="00124F32"/>
    <w:rsid w:val="00145CFB"/>
    <w:rsid w:val="00146892"/>
    <w:rsid w:val="00154BE9"/>
    <w:rsid w:val="0017195F"/>
    <w:rsid w:val="00180670"/>
    <w:rsid w:val="0018512E"/>
    <w:rsid w:val="001853FF"/>
    <w:rsid w:val="001936D9"/>
    <w:rsid w:val="00194509"/>
    <w:rsid w:val="00197096"/>
    <w:rsid w:val="001A0966"/>
    <w:rsid w:val="001A1E09"/>
    <w:rsid w:val="001B067E"/>
    <w:rsid w:val="001C2BCE"/>
    <w:rsid w:val="001D217E"/>
    <w:rsid w:val="001D430C"/>
    <w:rsid w:val="001D7C22"/>
    <w:rsid w:val="001F1A41"/>
    <w:rsid w:val="001F2BA6"/>
    <w:rsid w:val="002012A0"/>
    <w:rsid w:val="0020355A"/>
    <w:rsid w:val="00206AA3"/>
    <w:rsid w:val="00210040"/>
    <w:rsid w:val="0021472E"/>
    <w:rsid w:val="00217845"/>
    <w:rsid w:val="00223A55"/>
    <w:rsid w:val="00224FF8"/>
    <w:rsid w:val="00236267"/>
    <w:rsid w:val="00243627"/>
    <w:rsid w:val="00255D53"/>
    <w:rsid w:val="002677C5"/>
    <w:rsid w:val="002752B0"/>
    <w:rsid w:val="002759E0"/>
    <w:rsid w:val="00276525"/>
    <w:rsid w:val="00280C64"/>
    <w:rsid w:val="00281CA7"/>
    <w:rsid w:val="002847C8"/>
    <w:rsid w:val="00285720"/>
    <w:rsid w:val="00291DF4"/>
    <w:rsid w:val="0029468D"/>
    <w:rsid w:val="0029758C"/>
    <w:rsid w:val="002A1AD4"/>
    <w:rsid w:val="002A55B9"/>
    <w:rsid w:val="002A5B73"/>
    <w:rsid w:val="002A7864"/>
    <w:rsid w:val="002B5169"/>
    <w:rsid w:val="002C3DBD"/>
    <w:rsid w:val="002C5855"/>
    <w:rsid w:val="002C5B30"/>
    <w:rsid w:val="002D1D8D"/>
    <w:rsid w:val="002D4617"/>
    <w:rsid w:val="002E0973"/>
    <w:rsid w:val="002E58B7"/>
    <w:rsid w:val="002E751A"/>
    <w:rsid w:val="002F1A74"/>
    <w:rsid w:val="002F43B7"/>
    <w:rsid w:val="00303EBC"/>
    <w:rsid w:val="0030643A"/>
    <w:rsid w:val="00313BE3"/>
    <w:rsid w:val="003142E2"/>
    <w:rsid w:val="00325D36"/>
    <w:rsid w:val="00342CF4"/>
    <w:rsid w:val="00347D6E"/>
    <w:rsid w:val="00363C66"/>
    <w:rsid w:val="0036521D"/>
    <w:rsid w:val="00366A47"/>
    <w:rsid w:val="00366B95"/>
    <w:rsid w:val="0038190E"/>
    <w:rsid w:val="003870F1"/>
    <w:rsid w:val="00391E24"/>
    <w:rsid w:val="003A40E1"/>
    <w:rsid w:val="003A597F"/>
    <w:rsid w:val="003B54C9"/>
    <w:rsid w:val="003C45A8"/>
    <w:rsid w:val="003C475B"/>
    <w:rsid w:val="003C555F"/>
    <w:rsid w:val="003D2FA2"/>
    <w:rsid w:val="003D4E7C"/>
    <w:rsid w:val="003D7A44"/>
    <w:rsid w:val="003E5E6C"/>
    <w:rsid w:val="003E6D70"/>
    <w:rsid w:val="003E7E70"/>
    <w:rsid w:val="003F1FF2"/>
    <w:rsid w:val="00410003"/>
    <w:rsid w:val="00411D83"/>
    <w:rsid w:val="0041797D"/>
    <w:rsid w:val="00421D86"/>
    <w:rsid w:val="0042248B"/>
    <w:rsid w:val="00430925"/>
    <w:rsid w:val="00432634"/>
    <w:rsid w:val="004356A7"/>
    <w:rsid w:val="004417E5"/>
    <w:rsid w:val="00445C69"/>
    <w:rsid w:val="0044603A"/>
    <w:rsid w:val="00461A9C"/>
    <w:rsid w:val="00462EB8"/>
    <w:rsid w:val="00476025"/>
    <w:rsid w:val="004915BB"/>
    <w:rsid w:val="0049700F"/>
    <w:rsid w:val="004975A5"/>
    <w:rsid w:val="004A4294"/>
    <w:rsid w:val="004A7BA7"/>
    <w:rsid w:val="004C5F08"/>
    <w:rsid w:val="004D5B14"/>
    <w:rsid w:val="004D6F51"/>
    <w:rsid w:val="004D7D77"/>
    <w:rsid w:val="00501E74"/>
    <w:rsid w:val="00502376"/>
    <w:rsid w:val="00505D30"/>
    <w:rsid w:val="005072B9"/>
    <w:rsid w:val="00514538"/>
    <w:rsid w:val="00521BA9"/>
    <w:rsid w:val="00523605"/>
    <w:rsid w:val="00524279"/>
    <w:rsid w:val="0052544E"/>
    <w:rsid w:val="005269C5"/>
    <w:rsid w:val="00526B6D"/>
    <w:rsid w:val="00536B1E"/>
    <w:rsid w:val="00540D18"/>
    <w:rsid w:val="00547DCF"/>
    <w:rsid w:val="00561557"/>
    <w:rsid w:val="005640CE"/>
    <w:rsid w:val="00574CF0"/>
    <w:rsid w:val="00575EB4"/>
    <w:rsid w:val="00593125"/>
    <w:rsid w:val="00594974"/>
    <w:rsid w:val="005A5D8C"/>
    <w:rsid w:val="005B44B5"/>
    <w:rsid w:val="005B75E1"/>
    <w:rsid w:val="005B783F"/>
    <w:rsid w:val="005C1543"/>
    <w:rsid w:val="005D163F"/>
    <w:rsid w:val="005D60A9"/>
    <w:rsid w:val="005F349B"/>
    <w:rsid w:val="00603C9F"/>
    <w:rsid w:val="0060687D"/>
    <w:rsid w:val="00607191"/>
    <w:rsid w:val="006165D1"/>
    <w:rsid w:val="006223DC"/>
    <w:rsid w:val="00626315"/>
    <w:rsid w:val="0062797C"/>
    <w:rsid w:val="00632A9F"/>
    <w:rsid w:val="00633444"/>
    <w:rsid w:val="006338D5"/>
    <w:rsid w:val="006431DD"/>
    <w:rsid w:val="00650238"/>
    <w:rsid w:val="006570E2"/>
    <w:rsid w:val="006646FC"/>
    <w:rsid w:val="00664A33"/>
    <w:rsid w:val="006656CF"/>
    <w:rsid w:val="006757DE"/>
    <w:rsid w:val="00695300"/>
    <w:rsid w:val="006A0153"/>
    <w:rsid w:val="006A469E"/>
    <w:rsid w:val="006B07C9"/>
    <w:rsid w:val="006B421B"/>
    <w:rsid w:val="006B592E"/>
    <w:rsid w:val="006D3BEB"/>
    <w:rsid w:val="006E4430"/>
    <w:rsid w:val="006E7BC8"/>
    <w:rsid w:val="007008F4"/>
    <w:rsid w:val="007103AA"/>
    <w:rsid w:val="00722A85"/>
    <w:rsid w:val="00723BB7"/>
    <w:rsid w:val="00724BB5"/>
    <w:rsid w:val="0074188F"/>
    <w:rsid w:val="00746D0C"/>
    <w:rsid w:val="00753F73"/>
    <w:rsid w:val="007624D3"/>
    <w:rsid w:val="00772BAB"/>
    <w:rsid w:val="00781F35"/>
    <w:rsid w:val="00791930"/>
    <w:rsid w:val="00794BBF"/>
    <w:rsid w:val="007A19A2"/>
    <w:rsid w:val="007A416C"/>
    <w:rsid w:val="007A6EDB"/>
    <w:rsid w:val="007B758F"/>
    <w:rsid w:val="007E0C90"/>
    <w:rsid w:val="007E2083"/>
    <w:rsid w:val="007E4011"/>
    <w:rsid w:val="007E4677"/>
    <w:rsid w:val="007E5F5C"/>
    <w:rsid w:val="007F2143"/>
    <w:rsid w:val="007F2F21"/>
    <w:rsid w:val="007F7AE5"/>
    <w:rsid w:val="00802235"/>
    <w:rsid w:val="00806594"/>
    <w:rsid w:val="008164A4"/>
    <w:rsid w:val="008170CB"/>
    <w:rsid w:val="00821806"/>
    <w:rsid w:val="00833B44"/>
    <w:rsid w:val="00840520"/>
    <w:rsid w:val="008408FB"/>
    <w:rsid w:val="00852BAD"/>
    <w:rsid w:val="00861126"/>
    <w:rsid w:val="00866079"/>
    <w:rsid w:val="008744B7"/>
    <w:rsid w:val="00875A58"/>
    <w:rsid w:val="00885575"/>
    <w:rsid w:val="008919A7"/>
    <w:rsid w:val="00892A94"/>
    <w:rsid w:val="008A10F9"/>
    <w:rsid w:val="008B695B"/>
    <w:rsid w:val="008B6992"/>
    <w:rsid w:val="008E37E5"/>
    <w:rsid w:val="008E5B70"/>
    <w:rsid w:val="008E7C7A"/>
    <w:rsid w:val="008F1FBA"/>
    <w:rsid w:val="00902742"/>
    <w:rsid w:val="0090428C"/>
    <w:rsid w:val="00923301"/>
    <w:rsid w:val="009319A9"/>
    <w:rsid w:val="00933C59"/>
    <w:rsid w:val="00934F6D"/>
    <w:rsid w:val="009365D3"/>
    <w:rsid w:val="00947598"/>
    <w:rsid w:val="00951C35"/>
    <w:rsid w:val="00952FB9"/>
    <w:rsid w:val="0096543E"/>
    <w:rsid w:val="00982456"/>
    <w:rsid w:val="009870D0"/>
    <w:rsid w:val="009937A7"/>
    <w:rsid w:val="009A7FB9"/>
    <w:rsid w:val="009B11E4"/>
    <w:rsid w:val="009C04FC"/>
    <w:rsid w:val="009F1F9B"/>
    <w:rsid w:val="009F72D3"/>
    <w:rsid w:val="00A118A6"/>
    <w:rsid w:val="00A11AC6"/>
    <w:rsid w:val="00A15997"/>
    <w:rsid w:val="00A22183"/>
    <w:rsid w:val="00A245C6"/>
    <w:rsid w:val="00A2648E"/>
    <w:rsid w:val="00A3352C"/>
    <w:rsid w:val="00A365F7"/>
    <w:rsid w:val="00A4003E"/>
    <w:rsid w:val="00A449E9"/>
    <w:rsid w:val="00A53680"/>
    <w:rsid w:val="00A54873"/>
    <w:rsid w:val="00A55902"/>
    <w:rsid w:val="00A6374C"/>
    <w:rsid w:val="00A66B07"/>
    <w:rsid w:val="00A70367"/>
    <w:rsid w:val="00A73F50"/>
    <w:rsid w:val="00A837B0"/>
    <w:rsid w:val="00A84FF0"/>
    <w:rsid w:val="00A868C7"/>
    <w:rsid w:val="00A9080C"/>
    <w:rsid w:val="00A92C87"/>
    <w:rsid w:val="00A96F53"/>
    <w:rsid w:val="00AA152B"/>
    <w:rsid w:val="00AB33B5"/>
    <w:rsid w:val="00AB6DA5"/>
    <w:rsid w:val="00AC0389"/>
    <w:rsid w:val="00AC26C2"/>
    <w:rsid w:val="00AC5320"/>
    <w:rsid w:val="00AD22C5"/>
    <w:rsid w:val="00AE03C3"/>
    <w:rsid w:val="00AE21CA"/>
    <w:rsid w:val="00AE6229"/>
    <w:rsid w:val="00AF1E2D"/>
    <w:rsid w:val="00AF4045"/>
    <w:rsid w:val="00B07E60"/>
    <w:rsid w:val="00B16E13"/>
    <w:rsid w:val="00B17CEE"/>
    <w:rsid w:val="00B42969"/>
    <w:rsid w:val="00B42A4E"/>
    <w:rsid w:val="00B47D2D"/>
    <w:rsid w:val="00B47D48"/>
    <w:rsid w:val="00B63573"/>
    <w:rsid w:val="00B75844"/>
    <w:rsid w:val="00B759F5"/>
    <w:rsid w:val="00B82871"/>
    <w:rsid w:val="00B902C3"/>
    <w:rsid w:val="00B93460"/>
    <w:rsid w:val="00B95C55"/>
    <w:rsid w:val="00BB4275"/>
    <w:rsid w:val="00BC6F79"/>
    <w:rsid w:val="00BD3496"/>
    <w:rsid w:val="00BD7095"/>
    <w:rsid w:val="00BD76BB"/>
    <w:rsid w:val="00BE7C14"/>
    <w:rsid w:val="00BF168F"/>
    <w:rsid w:val="00BF5317"/>
    <w:rsid w:val="00BF5D9A"/>
    <w:rsid w:val="00C01972"/>
    <w:rsid w:val="00C03337"/>
    <w:rsid w:val="00C06656"/>
    <w:rsid w:val="00C143A0"/>
    <w:rsid w:val="00C236C8"/>
    <w:rsid w:val="00C34D15"/>
    <w:rsid w:val="00C35EEA"/>
    <w:rsid w:val="00C3771E"/>
    <w:rsid w:val="00C438DF"/>
    <w:rsid w:val="00C701B2"/>
    <w:rsid w:val="00C75768"/>
    <w:rsid w:val="00C82F14"/>
    <w:rsid w:val="00C841B8"/>
    <w:rsid w:val="00C9046F"/>
    <w:rsid w:val="00C96889"/>
    <w:rsid w:val="00CA7896"/>
    <w:rsid w:val="00CA7DF6"/>
    <w:rsid w:val="00CC1C13"/>
    <w:rsid w:val="00CC77E4"/>
    <w:rsid w:val="00CD67AF"/>
    <w:rsid w:val="00CD7F49"/>
    <w:rsid w:val="00CE7AC6"/>
    <w:rsid w:val="00CF1347"/>
    <w:rsid w:val="00CF4412"/>
    <w:rsid w:val="00D209C1"/>
    <w:rsid w:val="00D22264"/>
    <w:rsid w:val="00D34AD3"/>
    <w:rsid w:val="00D54294"/>
    <w:rsid w:val="00D54BE6"/>
    <w:rsid w:val="00D5535A"/>
    <w:rsid w:val="00D560CF"/>
    <w:rsid w:val="00D6470A"/>
    <w:rsid w:val="00D70621"/>
    <w:rsid w:val="00D70908"/>
    <w:rsid w:val="00D73692"/>
    <w:rsid w:val="00D918CD"/>
    <w:rsid w:val="00DB2DAE"/>
    <w:rsid w:val="00DB314B"/>
    <w:rsid w:val="00DB3A11"/>
    <w:rsid w:val="00E005E6"/>
    <w:rsid w:val="00E10B65"/>
    <w:rsid w:val="00E26068"/>
    <w:rsid w:val="00E30ACA"/>
    <w:rsid w:val="00E414D7"/>
    <w:rsid w:val="00E47046"/>
    <w:rsid w:val="00E524D1"/>
    <w:rsid w:val="00E60647"/>
    <w:rsid w:val="00E66581"/>
    <w:rsid w:val="00E667E2"/>
    <w:rsid w:val="00E81DD5"/>
    <w:rsid w:val="00E93DFE"/>
    <w:rsid w:val="00E94042"/>
    <w:rsid w:val="00E95BDF"/>
    <w:rsid w:val="00E96F3C"/>
    <w:rsid w:val="00E973A8"/>
    <w:rsid w:val="00EA2F25"/>
    <w:rsid w:val="00EA523A"/>
    <w:rsid w:val="00EA5D3F"/>
    <w:rsid w:val="00EC3B15"/>
    <w:rsid w:val="00EC6C04"/>
    <w:rsid w:val="00ED1A2D"/>
    <w:rsid w:val="00ED566A"/>
    <w:rsid w:val="00EE4A35"/>
    <w:rsid w:val="00EE5F81"/>
    <w:rsid w:val="00EFB631"/>
    <w:rsid w:val="00F00952"/>
    <w:rsid w:val="00F2045D"/>
    <w:rsid w:val="00F250EE"/>
    <w:rsid w:val="00F25402"/>
    <w:rsid w:val="00F34CA9"/>
    <w:rsid w:val="00F433B0"/>
    <w:rsid w:val="00F45995"/>
    <w:rsid w:val="00F6379C"/>
    <w:rsid w:val="00F63AD3"/>
    <w:rsid w:val="00F7641E"/>
    <w:rsid w:val="00F8422C"/>
    <w:rsid w:val="00F850DA"/>
    <w:rsid w:val="00F8774A"/>
    <w:rsid w:val="00F878DD"/>
    <w:rsid w:val="00F90105"/>
    <w:rsid w:val="00F90A0E"/>
    <w:rsid w:val="00FA4EF4"/>
    <w:rsid w:val="00FB0ACD"/>
    <w:rsid w:val="00FB7B5D"/>
    <w:rsid w:val="00FC2311"/>
    <w:rsid w:val="00FC408F"/>
    <w:rsid w:val="00FD1387"/>
    <w:rsid w:val="00FD1C65"/>
    <w:rsid w:val="00FD3479"/>
    <w:rsid w:val="00FE1367"/>
    <w:rsid w:val="00FE2799"/>
    <w:rsid w:val="00FE7D90"/>
    <w:rsid w:val="00FF4D1B"/>
    <w:rsid w:val="01C4393F"/>
    <w:rsid w:val="036B39BD"/>
    <w:rsid w:val="03CD6E1C"/>
    <w:rsid w:val="04976C0A"/>
    <w:rsid w:val="04A91AB7"/>
    <w:rsid w:val="04EEB384"/>
    <w:rsid w:val="051E0154"/>
    <w:rsid w:val="06533E47"/>
    <w:rsid w:val="0772994C"/>
    <w:rsid w:val="09145664"/>
    <w:rsid w:val="0A6866C7"/>
    <w:rsid w:val="0A7E1CAC"/>
    <w:rsid w:val="0AE0148F"/>
    <w:rsid w:val="116CC112"/>
    <w:rsid w:val="11E55D4F"/>
    <w:rsid w:val="14BED7B4"/>
    <w:rsid w:val="1589007A"/>
    <w:rsid w:val="160F8FB2"/>
    <w:rsid w:val="1662EEAC"/>
    <w:rsid w:val="17AA2C0A"/>
    <w:rsid w:val="17FB3BC3"/>
    <w:rsid w:val="1870D6FD"/>
    <w:rsid w:val="18A8A2F9"/>
    <w:rsid w:val="1BA9EA5C"/>
    <w:rsid w:val="1E9DD958"/>
    <w:rsid w:val="1ED7A7FA"/>
    <w:rsid w:val="20A67AFF"/>
    <w:rsid w:val="21DC550A"/>
    <w:rsid w:val="240C1D4D"/>
    <w:rsid w:val="247CEB41"/>
    <w:rsid w:val="24CC1722"/>
    <w:rsid w:val="25F51A18"/>
    <w:rsid w:val="2799E0C7"/>
    <w:rsid w:val="27BAE892"/>
    <w:rsid w:val="28EE9278"/>
    <w:rsid w:val="290701AD"/>
    <w:rsid w:val="2A00FF2D"/>
    <w:rsid w:val="2AC59630"/>
    <w:rsid w:val="2B8AB6A0"/>
    <w:rsid w:val="2BC23838"/>
    <w:rsid w:val="2CECAE15"/>
    <w:rsid w:val="32558094"/>
    <w:rsid w:val="326BE180"/>
    <w:rsid w:val="32A321B9"/>
    <w:rsid w:val="32B42DD1"/>
    <w:rsid w:val="35430A9B"/>
    <w:rsid w:val="3669D68B"/>
    <w:rsid w:val="36A17FD4"/>
    <w:rsid w:val="37C5006C"/>
    <w:rsid w:val="3AB0053E"/>
    <w:rsid w:val="3AB0C537"/>
    <w:rsid w:val="3B6C3C9F"/>
    <w:rsid w:val="3BBE90C8"/>
    <w:rsid w:val="3DFA51AB"/>
    <w:rsid w:val="3EE7CE24"/>
    <w:rsid w:val="3F409D77"/>
    <w:rsid w:val="445E8B86"/>
    <w:rsid w:val="45FABD56"/>
    <w:rsid w:val="4600D13C"/>
    <w:rsid w:val="46C003B0"/>
    <w:rsid w:val="4757327C"/>
    <w:rsid w:val="4C493CA8"/>
    <w:rsid w:val="4E3803EE"/>
    <w:rsid w:val="4F2E087E"/>
    <w:rsid w:val="4FE74215"/>
    <w:rsid w:val="50E19D64"/>
    <w:rsid w:val="5177F3E8"/>
    <w:rsid w:val="52752CA7"/>
    <w:rsid w:val="52B57419"/>
    <w:rsid w:val="54961B4A"/>
    <w:rsid w:val="5533154F"/>
    <w:rsid w:val="553EFA7A"/>
    <w:rsid w:val="56E5C327"/>
    <w:rsid w:val="57A0A524"/>
    <w:rsid w:val="585BF8C4"/>
    <w:rsid w:val="58F2F30C"/>
    <w:rsid w:val="58FE1C2F"/>
    <w:rsid w:val="5D748821"/>
    <w:rsid w:val="60E5D8E3"/>
    <w:rsid w:val="623E1343"/>
    <w:rsid w:val="62B09B25"/>
    <w:rsid w:val="63AD5C1E"/>
    <w:rsid w:val="63D31C94"/>
    <w:rsid w:val="63F57C6D"/>
    <w:rsid w:val="65553392"/>
    <w:rsid w:val="67EE6F0D"/>
    <w:rsid w:val="6A70D050"/>
    <w:rsid w:val="6C31DB5E"/>
    <w:rsid w:val="6D1D0423"/>
    <w:rsid w:val="6D224EEC"/>
    <w:rsid w:val="71229352"/>
    <w:rsid w:val="71543DC1"/>
    <w:rsid w:val="7233CEB7"/>
    <w:rsid w:val="7350E67C"/>
    <w:rsid w:val="75A4A335"/>
    <w:rsid w:val="75F51C52"/>
    <w:rsid w:val="761139C3"/>
    <w:rsid w:val="7A755C1F"/>
    <w:rsid w:val="7B550057"/>
    <w:rsid w:val="7C06FE6D"/>
    <w:rsid w:val="7C15F283"/>
    <w:rsid w:val="7CCD437F"/>
    <w:rsid w:val="7D084EE8"/>
    <w:rsid w:val="7DB9CD2F"/>
    <w:rsid w:val="7DD2021D"/>
    <w:rsid w:val="7F30B4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550030"/>
  <w15:chartTrackingRefBased/>
  <w15:docId w15:val="{0D781D18-0D29-4B4A-BD38-D60A0779DE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01B2"/>
    <w:pPr>
      <w:spacing w:after="160" w:line="259" w:lineRule="auto"/>
    </w:pPr>
    <w:rPr>
      <w:rFonts w:ascii="Calibri" w:eastAsiaTheme="majorEastAsia" w:hAnsi="Calibri" w:cs="Times New Roman"/>
    </w:rPr>
  </w:style>
  <w:style w:type="paragraph" w:styleId="Heading1">
    <w:name w:val="heading 1"/>
    <w:basedOn w:val="Title"/>
    <w:next w:val="Normal"/>
    <w:link w:val="Heading1Char"/>
    <w:uiPriority w:val="9"/>
    <w:qFormat/>
    <w:rsid w:val="006338D5"/>
    <w:pPr>
      <w:outlineLvl w:val="0"/>
    </w:pPr>
  </w:style>
  <w:style w:type="paragraph" w:styleId="Heading2">
    <w:name w:val="heading 2"/>
    <w:basedOn w:val="Normal"/>
    <w:next w:val="Normal"/>
    <w:link w:val="Heading2Char"/>
    <w:uiPriority w:val="9"/>
    <w:unhideWhenUsed/>
    <w:qFormat/>
    <w:rsid w:val="006338D5"/>
    <w:pPr>
      <w:keepNext/>
      <w:keepLines/>
      <w:contextualSpacing/>
      <w:outlineLvl w:val="1"/>
    </w:pPr>
    <w:rPr>
      <w:rFonts w:cstheme="minorHAnsi"/>
      <w:b/>
      <w:bCs/>
      <w:color w:val="000000" w:themeColor="text1"/>
      <w:sz w:val="36"/>
      <w:szCs w:val="28"/>
    </w:rPr>
  </w:style>
  <w:style w:type="paragraph" w:styleId="Heading3">
    <w:name w:val="heading 3"/>
    <w:basedOn w:val="Normal"/>
    <w:next w:val="Normal"/>
    <w:link w:val="Heading3Char"/>
    <w:uiPriority w:val="9"/>
    <w:unhideWhenUsed/>
    <w:qFormat/>
    <w:rsid w:val="00B16E13"/>
    <w:pPr>
      <w:keepNext/>
      <w:keepLines/>
      <w:contextualSpacing/>
      <w:outlineLvl w:val="2"/>
    </w:pPr>
    <w:rPr>
      <w:rFonts w:cstheme="minorHAnsi"/>
      <w:b/>
      <w:bCs/>
      <w:color w:val="1174A9"/>
      <w:sz w:val="28"/>
      <w:szCs w:val="28"/>
    </w:rPr>
  </w:style>
  <w:style w:type="paragraph" w:styleId="Heading4">
    <w:name w:val="heading 4"/>
    <w:basedOn w:val="Normal"/>
    <w:next w:val="Normal"/>
    <w:link w:val="Heading4Char"/>
    <w:uiPriority w:val="9"/>
    <w:unhideWhenUsed/>
    <w:qFormat/>
    <w:rsid w:val="002F1A74"/>
    <w:pPr>
      <w:keepNext/>
      <w:keepLines/>
      <w:spacing w:before="40" w:after="0"/>
      <w:outlineLvl w:val="3"/>
    </w:pPr>
    <w:rPr>
      <w:rFonts w:asciiTheme="majorHAnsi" w:hAnsiTheme="majorHAnsi" w:cstheme="majorBidi"/>
      <w:i/>
      <w:iCs/>
      <w:color w:val="2F5496" w:themeColor="accent1" w:themeShade="BF"/>
    </w:rPr>
  </w:style>
  <w:style w:type="paragraph" w:styleId="Heading5">
    <w:name w:val="heading 5"/>
    <w:basedOn w:val="Bulletstext"/>
    <w:next w:val="Normal"/>
    <w:link w:val="Heading5Char"/>
    <w:uiPriority w:val="9"/>
    <w:unhideWhenUsed/>
    <w:qFormat/>
    <w:rsid w:val="00BD7095"/>
    <w:pPr>
      <w:numPr>
        <w:numId w:val="6"/>
      </w:numPr>
      <w:outlineLvl w:val="4"/>
    </w:pPr>
    <w:rPr>
      <w:b/>
      <w:bCs/>
      <w:sz w:val="24"/>
      <w:szCs w:val="24"/>
      <w:lang w:val="en-US"/>
    </w:rPr>
  </w:style>
  <w:style w:type="paragraph" w:styleId="Heading6">
    <w:name w:val="heading 6"/>
    <w:basedOn w:val="Normal"/>
    <w:next w:val="Normal"/>
    <w:link w:val="Heading6Char"/>
    <w:uiPriority w:val="9"/>
    <w:semiHidden/>
    <w:unhideWhenUsed/>
    <w:qFormat/>
    <w:rsid w:val="00BD7095"/>
    <w:pPr>
      <w:keepNext/>
      <w:keepLines/>
      <w:spacing w:before="240" w:after="80" w:line="276" w:lineRule="auto"/>
      <w:outlineLvl w:val="5"/>
    </w:pPr>
    <w:rPr>
      <w:rFonts w:ascii="Aptos" w:eastAsia="Arial" w:hAnsi="Aptos" w:cs="Arial"/>
      <w:i/>
      <w:color w:val="666666"/>
      <w:sz w:val="22"/>
      <w:szCs w:val="22"/>
      <w:lang w:val="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03C9F"/>
    <w:pPr>
      <w:tabs>
        <w:tab w:val="center" w:pos="4680"/>
        <w:tab w:val="right" w:pos="9360"/>
      </w:tabs>
    </w:pPr>
  </w:style>
  <w:style w:type="character" w:customStyle="1" w:styleId="HeaderChar">
    <w:name w:val="Header Char"/>
    <w:basedOn w:val="DefaultParagraphFont"/>
    <w:link w:val="Header"/>
    <w:uiPriority w:val="99"/>
    <w:rsid w:val="00603C9F"/>
  </w:style>
  <w:style w:type="paragraph" w:styleId="Footer">
    <w:name w:val="footer"/>
    <w:basedOn w:val="Normal"/>
    <w:link w:val="FooterChar"/>
    <w:uiPriority w:val="99"/>
    <w:unhideWhenUsed/>
    <w:rsid w:val="00603C9F"/>
    <w:pPr>
      <w:tabs>
        <w:tab w:val="center" w:pos="4680"/>
        <w:tab w:val="right" w:pos="9360"/>
      </w:tabs>
    </w:pPr>
  </w:style>
  <w:style w:type="character" w:customStyle="1" w:styleId="FooterChar">
    <w:name w:val="Footer Char"/>
    <w:basedOn w:val="DefaultParagraphFont"/>
    <w:link w:val="Footer"/>
    <w:uiPriority w:val="99"/>
    <w:rsid w:val="00603C9F"/>
  </w:style>
  <w:style w:type="character" w:customStyle="1" w:styleId="Heading1Char">
    <w:name w:val="Heading 1 Char"/>
    <w:basedOn w:val="DefaultParagraphFont"/>
    <w:link w:val="Heading1"/>
    <w:uiPriority w:val="9"/>
    <w:rsid w:val="006338D5"/>
    <w:rPr>
      <w:rFonts w:ascii="Calibri" w:eastAsiaTheme="majorEastAsia" w:hAnsi="Calibri" w:cstheme="majorBidi"/>
      <w:b/>
      <w:bCs/>
      <w:color w:val="000000" w:themeColor="text1"/>
      <w:spacing w:val="-10"/>
      <w:kern w:val="28"/>
      <w:sz w:val="48"/>
      <w:szCs w:val="48"/>
    </w:rPr>
  </w:style>
  <w:style w:type="paragraph" w:styleId="Title">
    <w:name w:val="Title"/>
    <w:basedOn w:val="Normal"/>
    <w:next w:val="Normal"/>
    <w:link w:val="TitleChar"/>
    <w:uiPriority w:val="10"/>
    <w:qFormat/>
    <w:rsid w:val="0096543E"/>
    <w:pPr>
      <w:spacing w:before="120" w:after="240"/>
      <w:contextualSpacing/>
    </w:pPr>
    <w:rPr>
      <w:rFonts w:cstheme="majorBidi"/>
      <w:b/>
      <w:bCs/>
      <w:color w:val="000000" w:themeColor="text1"/>
      <w:spacing w:val="-10"/>
      <w:kern w:val="28"/>
      <w:sz w:val="48"/>
      <w:szCs w:val="48"/>
    </w:rPr>
  </w:style>
  <w:style w:type="character" w:customStyle="1" w:styleId="TitleChar">
    <w:name w:val="Title Char"/>
    <w:basedOn w:val="DefaultParagraphFont"/>
    <w:link w:val="Title"/>
    <w:uiPriority w:val="10"/>
    <w:rsid w:val="0096543E"/>
    <w:rPr>
      <w:rFonts w:ascii="Calibri" w:eastAsiaTheme="majorEastAsia" w:hAnsi="Calibri" w:cstheme="majorBidi"/>
      <w:b/>
      <w:bCs/>
      <w:color w:val="000000" w:themeColor="text1"/>
      <w:spacing w:val="-10"/>
      <w:kern w:val="28"/>
      <w:sz w:val="48"/>
      <w:szCs w:val="48"/>
    </w:rPr>
  </w:style>
  <w:style w:type="character" w:customStyle="1" w:styleId="Heading2Char">
    <w:name w:val="Heading 2 Char"/>
    <w:basedOn w:val="DefaultParagraphFont"/>
    <w:link w:val="Heading2"/>
    <w:uiPriority w:val="9"/>
    <w:rsid w:val="006338D5"/>
    <w:rPr>
      <w:rFonts w:ascii="Calibri" w:eastAsiaTheme="majorEastAsia" w:hAnsi="Calibri" w:cstheme="minorHAnsi"/>
      <w:b/>
      <w:bCs/>
      <w:color w:val="000000" w:themeColor="text1"/>
      <w:sz w:val="36"/>
      <w:szCs w:val="28"/>
    </w:rPr>
  </w:style>
  <w:style w:type="character" w:customStyle="1" w:styleId="Heading3Char">
    <w:name w:val="Heading 3 Char"/>
    <w:basedOn w:val="DefaultParagraphFont"/>
    <w:link w:val="Heading3"/>
    <w:uiPriority w:val="9"/>
    <w:rsid w:val="00B16E13"/>
    <w:rPr>
      <w:rFonts w:ascii="Calibri" w:eastAsiaTheme="majorEastAsia" w:hAnsi="Calibri" w:cstheme="minorHAnsi"/>
      <w:b/>
      <w:bCs/>
      <w:color w:val="1174A9"/>
      <w:sz w:val="28"/>
      <w:szCs w:val="28"/>
    </w:rPr>
  </w:style>
  <w:style w:type="paragraph" w:styleId="ListParagraph">
    <w:name w:val="List Paragraph"/>
    <w:basedOn w:val="Normal"/>
    <w:link w:val="ListParagraphChar"/>
    <w:uiPriority w:val="34"/>
    <w:qFormat/>
    <w:rsid w:val="00B16E13"/>
    <w:pPr>
      <w:numPr>
        <w:numId w:val="7"/>
      </w:numPr>
      <w:spacing w:after="120"/>
    </w:pPr>
  </w:style>
  <w:style w:type="character" w:styleId="Hyperlink">
    <w:name w:val="Hyperlink"/>
    <w:basedOn w:val="DefaultParagraphFont"/>
    <w:uiPriority w:val="99"/>
    <w:unhideWhenUsed/>
    <w:rsid w:val="00063873"/>
    <w:rPr>
      <w:color w:val="0563C1" w:themeColor="hyperlink"/>
      <w:u w:val="single"/>
    </w:rPr>
  </w:style>
  <w:style w:type="character" w:styleId="UnresolvedMention">
    <w:name w:val="Unresolved Mention"/>
    <w:basedOn w:val="DefaultParagraphFont"/>
    <w:uiPriority w:val="99"/>
    <w:semiHidden/>
    <w:unhideWhenUsed/>
    <w:rsid w:val="00063873"/>
    <w:rPr>
      <w:color w:val="605E5C"/>
      <w:shd w:val="clear" w:color="auto" w:fill="E1DFDD"/>
    </w:rPr>
  </w:style>
  <w:style w:type="numbering" w:customStyle="1" w:styleId="CurrentList1">
    <w:name w:val="Current List1"/>
    <w:uiPriority w:val="99"/>
    <w:rsid w:val="00E26068"/>
    <w:pPr>
      <w:numPr>
        <w:numId w:val="1"/>
      </w:numPr>
    </w:pPr>
  </w:style>
  <w:style w:type="numbering" w:customStyle="1" w:styleId="CurrentList2">
    <w:name w:val="Current List2"/>
    <w:uiPriority w:val="99"/>
    <w:rsid w:val="00A54873"/>
    <w:pPr>
      <w:numPr>
        <w:numId w:val="2"/>
      </w:numPr>
    </w:pPr>
  </w:style>
  <w:style w:type="character" w:styleId="CommentReference">
    <w:name w:val="annotation reference"/>
    <w:basedOn w:val="DefaultParagraphFont"/>
    <w:uiPriority w:val="99"/>
    <w:semiHidden/>
    <w:unhideWhenUsed/>
    <w:rsid w:val="00952FB9"/>
    <w:rPr>
      <w:sz w:val="16"/>
      <w:szCs w:val="16"/>
    </w:rPr>
  </w:style>
  <w:style w:type="paragraph" w:styleId="CommentText">
    <w:name w:val="annotation text"/>
    <w:basedOn w:val="Normal"/>
    <w:link w:val="CommentTextChar"/>
    <w:uiPriority w:val="99"/>
    <w:unhideWhenUsed/>
    <w:rsid w:val="00952FB9"/>
    <w:pPr>
      <w:spacing w:line="240" w:lineRule="auto"/>
    </w:pPr>
    <w:rPr>
      <w:sz w:val="20"/>
      <w:szCs w:val="20"/>
    </w:rPr>
  </w:style>
  <w:style w:type="character" w:customStyle="1" w:styleId="CommentTextChar">
    <w:name w:val="Comment Text Char"/>
    <w:basedOn w:val="DefaultParagraphFont"/>
    <w:link w:val="CommentText"/>
    <w:uiPriority w:val="99"/>
    <w:rsid w:val="00952FB9"/>
    <w:rPr>
      <w:sz w:val="20"/>
      <w:szCs w:val="20"/>
    </w:rPr>
  </w:style>
  <w:style w:type="paragraph" w:styleId="CommentSubject">
    <w:name w:val="annotation subject"/>
    <w:basedOn w:val="CommentText"/>
    <w:next w:val="CommentText"/>
    <w:link w:val="CommentSubjectChar"/>
    <w:uiPriority w:val="99"/>
    <w:semiHidden/>
    <w:unhideWhenUsed/>
    <w:rsid w:val="00952FB9"/>
    <w:rPr>
      <w:b/>
      <w:bCs/>
    </w:rPr>
  </w:style>
  <w:style w:type="character" w:customStyle="1" w:styleId="CommentSubjectChar">
    <w:name w:val="Comment Subject Char"/>
    <w:basedOn w:val="CommentTextChar"/>
    <w:link w:val="CommentSubject"/>
    <w:uiPriority w:val="99"/>
    <w:semiHidden/>
    <w:rsid w:val="00952FB9"/>
    <w:rPr>
      <w:b/>
      <w:bCs/>
      <w:sz w:val="20"/>
      <w:szCs w:val="20"/>
    </w:rPr>
  </w:style>
  <w:style w:type="character" w:customStyle="1" w:styleId="Heading4Char">
    <w:name w:val="Heading 4 Char"/>
    <w:basedOn w:val="DefaultParagraphFont"/>
    <w:link w:val="Heading4"/>
    <w:uiPriority w:val="9"/>
    <w:rsid w:val="002F1A74"/>
    <w:rPr>
      <w:rFonts w:asciiTheme="majorHAnsi" w:eastAsiaTheme="majorEastAsia" w:hAnsiTheme="majorHAnsi" w:cstheme="majorBidi"/>
      <w:i/>
      <w:iCs/>
      <w:color w:val="2F5496" w:themeColor="accent1" w:themeShade="BF"/>
    </w:rPr>
  </w:style>
  <w:style w:type="table" w:styleId="TableGrid">
    <w:name w:val="Table Grid"/>
    <w:basedOn w:val="TableNormal"/>
    <w:uiPriority w:val="39"/>
    <w:rsid w:val="002F1A74"/>
    <w:rPr>
      <w:rFonts w:ascii="Times New Roman" w:eastAsia="Times New Roman" w:hAnsi="Times New Roman" w:cs="Times New Roman"/>
      <w:sz w:val="20"/>
      <w:szCs w:val="20"/>
    </w:rPr>
    <w:tblPr>
      <w:tblStyleRowBandSize w:val="1"/>
      <w:tblBorders>
        <w:top w:val="single" w:sz="4" w:space="0" w:color="D2E7E7"/>
        <w:left w:val="single" w:sz="4" w:space="0" w:color="D2E7E7"/>
        <w:bottom w:val="single" w:sz="4" w:space="0" w:color="D2E7E7"/>
        <w:right w:val="single" w:sz="4" w:space="0" w:color="D2E7E7"/>
        <w:insideH w:val="single" w:sz="4" w:space="0" w:color="D2E7E7"/>
        <w:insideV w:val="single" w:sz="4" w:space="0" w:color="D2E7E7"/>
      </w:tblBorders>
      <w:tblCellMar>
        <w:top w:w="58" w:type="dxa"/>
        <w:bottom w:w="58" w:type="dxa"/>
      </w:tblCellMar>
    </w:tblPr>
    <w:trPr>
      <w:cantSplit/>
    </w:trPr>
    <w:tcPr>
      <w:shd w:val="clear" w:color="auto" w:fill="auto"/>
    </w:tcPr>
    <w:tblStylePr w:type="firstRow">
      <w:pPr>
        <w:jc w:val="center"/>
      </w:pPr>
      <w:rPr>
        <w:color w:val="FFFFFF"/>
      </w:rPr>
      <w:tblPr/>
      <w:tcPr>
        <w:tcBorders>
          <w:top w:val="single" w:sz="4" w:space="0" w:color="1174A9"/>
          <w:left w:val="single" w:sz="4" w:space="0" w:color="1174A9"/>
          <w:bottom w:val="single" w:sz="4" w:space="0" w:color="1174A9"/>
          <w:right w:val="single" w:sz="4" w:space="0" w:color="1174A9"/>
          <w:insideH w:val="single" w:sz="4" w:space="0" w:color="1174A9"/>
          <w:insideV w:val="single" w:sz="4" w:space="0" w:color="1174A9"/>
        </w:tcBorders>
        <w:shd w:val="clear" w:color="auto" w:fill="1174A9"/>
      </w:tcPr>
    </w:tblStylePr>
    <w:tblStylePr w:type="band1Horz">
      <w:tblPr/>
      <w:tcPr>
        <w:shd w:val="clear" w:color="auto" w:fill="F5F8F8"/>
      </w:tcPr>
    </w:tblStylePr>
  </w:style>
  <w:style w:type="paragraph" w:customStyle="1" w:styleId="Tabletext">
    <w:name w:val="Table text"/>
    <w:basedOn w:val="Normal"/>
    <w:qFormat/>
    <w:rsid w:val="002F1A74"/>
    <w:pPr>
      <w:spacing w:after="0"/>
    </w:pPr>
    <w:rPr>
      <w:szCs w:val="22"/>
    </w:rPr>
  </w:style>
  <w:style w:type="paragraph" w:customStyle="1" w:styleId="Tableheading">
    <w:name w:val="Table heading"/>
    <w:basedOn w:val="Normal"/>
    <w:qFormat/>
    <w:rsid w:val="002F1A74"/>
    <w:pPr>
      <w:spacing w:after="0"/>
    </w:pPr>
    <w:rPr>
      <w:b/>
      <w:bCs/>
      <w:color w:val="FFFFFF"/>
      <w:szCs w:val="22"/>
    </w:rPr>
  </w:style>
  <w:style w:type="paragraph" w:customStyle="1" w:styleId="Boxedtext">
    <w:name w:val="Boxed text"/>
    <w:basedOn w:val="Normal"/>
    <w:qFormat/>
    <w:rsid w:val="002F1A74"/>
    <w:pPr>
      <w:pBdr>
        <w:top w:val="single" w:sz="4" w:space="1" w:color="auto"/>
        <w:left w:val="single" w:sz="4" w:space="4" w:color="auto"/>
        <w:bottom w:val="single" w:sz="4" w:space="1" w:color="auto"/>
        <w:right w:val="single" w:sz="4" w:space="4" w:color="auto"/>
      </w:pBdr>
    </w:pPr>
    <w:rPr>
      <w:rFonts w:cs="Calibri"/>
      <w:szCs w:val="22"/>
    </w:rPr>
  </w:style>
  <w:style w:type="paragraph" w:customStyle="1" w:styleId="TableTitle">
    <w:name w:val="Table Title"/>
    <w:basedOn w:val="Heading2"/>
    <w:qFormat/>
    <w:rsid w:val="0096543E"/>
    <w:pPr>
      <w:spacing w:after="120"/>
    </w:pPr>
    <w:rPr>
      <w:sz w:val="24"/>
    </w:rPr>
  </w:style>
  <w:style w:type="character" w:styleId="Emphasis">
    <w:name w:val="Emphasis"/>
    <w:uiPriority w:val="20"/>
    <w:qFormat/>
    <w:rsid w:val="00664A33"/>
    <w:rPr>
      <w:rFonts w:ascii="Calibri" w:hAnsi="Calibri" w:cs="Calibri"/>
      <w:b/>
      <w:iCs/>
      <w:color w:val="2C3656"/>
      <w:sz w:val="24"/>
      <w:szCs w:val="24"/>
    </w:rPr>
  </w:style>
  <w:style w:type="character" w:customStyle="1" w:styleId="normaltextrun">
    <w:name w:val="normaltextrun"/>
    <w:basedOn w:val="DefaultParagraphFont"/>
    <w:rsid w:val="00664A33"/>
    <w:rPr>
      <w:rFonts w:ascii="Calibri" w:hAnsi="Calibri" w:cs="Calibri"/>
      <w:color w:val="000000"/>
      <w:sz w:val="24"/>
      <w:szCs w:val="24"/>
    </w:rPr>
  </w:style>
  <w:style w:type="character" w:customStyle="1" w:styleId="ListParagraphChar">
    <w:name w:val="List Paragraph Char"/>
    <w:link w:val="ListParagraph"/>
    <w:uiPriority w:val="34"/>
    <w:locked/>
    <w:rsid w:val="00B16E13"/>
    <w:rPr>
      <w:rFonts w:ascii="Calibri" w:eastAsiaTheme="majorEastAsia" w:hAnsi="Calibri" w:cs="Times New Roman"/>
    </w:rPr>
  </w:style>
  <w:style w:type="paragraph" w:customStyle="1" w:styleId="CallOutBox">
    <w:name w:val="Call Out Box"/>
    <w:basedOn w:val="Normal"/>
    <w:link w:val="CallOutBoxChar"/>
    <w:uiPriority w:val="1"/>
    <w:qFormat/>
    <w:rsid w:val="001853FF"/>
    <w:pPr>
      <w:shd w:val="clear" w:color="auto" w:fill="E7E6E6" w:themeFill="background2"/>
      <w:spacing w:before="240" w:line="278" w:lineRule="auto"/>
    </w:pPr>
    <w:rPr>
      <w:rFonts w:eastAsiaTheme="minorHAnsi" w:cstheme="minorBidi"/>
      <w:b/>
      <w:bCs/>
      <w:kern w:val="2"/>
      <w:szCs w:val="22"/>
      <w14:ligatures w14:val="standardContextual"/>
    </w:rPr>
  </w:style>
  <w:style w:type="character" w:customStyle="1" w:styleId="CallOutBoxChar">
    <w:name w:val="Call Out Box Char"/>
    <w:basedOn w:val="DefaultParagraphFont"/>
    <w:link w:val="CallOutBox"/>
    <w:uiPriority w:val="1"/>
    <w:rsid w:val="001853FF"/>
    <w:rPr>
      <w:rFonts w:ascii="Calibri" w:hAnsi="Calibri"/>
      <w:b/>
      <w:bCs/>
      <w:kern w:val="2"/>
      <w:szCs w:val="22"/>
      <w:shd w:val="clear" w:color="auto" w:fill="E7E6E6" w:themeFill="background2"/>
      <w14:ligatures w14:val="standardContextual"/>
    </w:rPr>
  </w:style>
  <w:style w:type="paragraph" w:styleId="FootnoteText">
    <w:name w:val="footnote text"/>
    <w:basedOn w:val="Normal"/>
    <w:link w:val="FootnoteTextChar"/>
    <w:uiPriority w:val="99"/>
    <w:semiHidden/>
    <w:unhideWhenUsed/>
    <w:rsid w:val="006B592E"/>
    <w:pPr>
      <w:spacing w:after="0" w:line="240" w:lineRule="auto"/>
    </w:pPr>
    <w:rPr>
      <w:rFonts w:ascii="Aptos" w:eastAsiaTheme="minorHAnsi" w:hAnsi="Aptos" w:cstheme="minorBidi"/>
      <w:kern w:val="2"/>
      <w:sz w:val="20"/>
      <w:szCs w:val="20"/>
      <w14:ligatures w14:val="standardContextual"/>
    </w:rPr>
  </w:style>
  <w:style w:type="character" w:customStyle="1" w:styleId="FootnoteTextChar">
    <w:name w:val="Footnote Text Char"/>
    <w:basedOn w:val="DefaultParagraphFont"/>
    <w:link w:val="FootnoteText"/>
    <w:uiPriority w:val="99"/>
    <w:semiHidden/>
    <w:rsid w:val="006B592E"/>
    <w:rPr>
      <w:rFonts w:ascii="Aptos" w:hAnsi="Aptos"/>
      <w:kern w:val="2"/>
      <w:sz w:val="20"/>
      <w:szCs w:val="20"/>
      <w14:ligatures w14:val="standardContextual"/>
    </w:rPr>
  </w:style>
  <w:style w:type="character" w:styleId="FootnoteReference">
    <w:name w:val="footnote reference"/>
    <w:basedOn w:val="DefaultParagraphFont"/>
    <w:uiPriority w:val="99"/>
    <w:semiHidden/>
    <w:unhideWhenUsed/>
    <w:rsid w:val="006B592E"/>
    <w:rPr>
      <w:vertAlign w:val="superscript"/>
    </w:rPr>
  </w:style>
  <w:style w:type="paragraph" w:styleId="NoSpacing">
    <w:name w:val="No Spacing"/>
    <w:uiPriority w:val="1"/>
    <w:qFormat/>
    <w:rsid w:val="006E7BC8"/>
    <w:rPr>
      <w:rFonts w:ascii="Calibri" w:eastAsiaTheme="majorEastAsia" w:hAnsi="Calibri" w:cs="Times New Roman"/>
    </w:rPr>
  </w:style>
  <w:style w:type="character" w:customStyle="1" w:styleId="Heading5Char">
    <w:name w:val="Heading 5 Char"/>
    <w:basedOn w:val="DefaultParagraphFont"/>
    <w:link w:val="Heading5"/>
    <w:uiPriority w:val="9"/>
    <w:rsid w:val="00BD7095"/>
    <w:rPr>
      <w:rFonts w:ascii="Aptos" w:eastAsia="Arial" w:hAnsi="Aptos" w:cs="Arial"/>
      <w:b/>
      <w:bCs/>
    </w:rPr>
  </w:style>
  <w:style w:type="character" w:customStyle="1" w:styleId="Heading6Char">
    <w:name w:val="Heading 6 Char"/>
    <w:basedOn w:val="DefaultParagraphFont"/>
    <w:link w:val="Heading6"/>
    <w:uiPriority w:val="9"/>
    <w:semiHidden/>
    <w:rsid w:val="00BD7095"/>
    <w:rPr>
      <w:rFonts w:ascii="Aptos" w:eastAsia="Arial" w:hAnsi="Aptos" w:cs="Arial"/>
      <w:i/>
      <w:color w:val="666666"/>
      <w:sz w:val="22"/>
      <w:szCs w:val="22"/>
      <w:lang w:val="en"/>
    </w:rPr>
  </w:style>
  <w:style w:type="paragraph" w:styleId="Subtitle">
    <w:name w:val="Subtitle"/>
    <w:basedOn w:val="Normal"/>
    <w:next w:val="Normal"/>
    <w:link w:val="SubtitleChar"/>
    <w:uiPriority w:val="11"/>
    <w:qFormat/>
    <w:rsid w:val="00BD7095"/>
    <w:pPr>
      <w:keepNext/>
      <w:keepLines/>
      <w:spacing w:after="320" w:line="276" w:lineRule="auto"/>
    </w:pPr>
    <w:rPr>
      <w:rFonts w:ascii="Aptos" w:eastAsia="Arial" w:hAnsi="Aptos" w:cs="Arial"/>
      <w:color w:val="666666"/>
      <w:sz w:val="30"/>
      <w:szCs w:val="30"/>
      <w:lang w:val="en"/>
    </w:rPr>
  </w:style>
  <w:style w:type="character" w:customStyle="1" w:styleId="SubtitleChar">
    <w:name w:val="Subtitle Char"/>
    <w:basedOn w:val="DefaultParagraphFont"/>
    <w:link w:val="Subtitle"/>
    <w:uiPriority w:val="11"/>
    <w:rsid w:val="00BD7095"/>
    <w:rPr>
      <w:rFonts w:ascii="Aptos" w:eastAsia="Arial" w:hAnsi="Aptos" w:cs="Arial"/>
      <w:color w:val="666666"/>
      <w:sz w:val="30"/>
      <w:szCs w:val="30"/>
      <w:lang w:val="en"/>
    </w:rPr>
  </w:style>
  <w:style w:type="paragraph" w:customStyle="1" w:styleId="Bulletstext">
    <w:name w:val="Bullets text"/>
    <w:basedOn w:val="Normal"/>
    <w:rsid w:val="00BD7095"/>
    <w:pPr>
      <w:numPr>
        <w:numId w:val="4"/>
      </w:numPr>
      <w:spacing w:line="276" w:lineRule="auto"/>
    </w:pPr>
    <w:rPr>
      <w:rFonts w:ascii="Aptos" w:eastAsia="Arial" w:hAnsi="Aptos" w:cs="Arial"/>
      <w:sz w:val="22"/>
      <w:szCs w:val="22"/>
      <w:lang w:val="en"/>
    </w:rPr>
  </w:style>
  <w:style w:type="character" w:styleId="FollowedHyperlink">
    <w:name w:val="FollowedHyperlink"/>
    <w:basedOn w:val="DefaultParagraphFont"/>
    <w:uiPriority w:val="99"/>
    <w:semiHidden/>
    <w:unhideWhenUsed/>
    <w:rsid w:val="00BD7095"/>
    <w:rPr>
      <w:color w:val="954F72" w:themeColor="followedHyperlink"/>
      <w:u w:val="single"/>
    </w:rPr>
  </w:style>
  <w:style w:type="paragraph" w:styleId="Revision">
    <w:name w:val="Revision"/>
    <w:hidden/>
    <w:uiPriority w:val="99"/>
    <w:semiHidden/>
    <w:rsid w:val="00BD7095"/>
    <w:rPr>
      <w:rFonts w:ascii="Aptos" w:eastAsia="Arial" w:hAnsi="Aptos" w:cs="Arial"/>
      <w:sz w:val="22"/>
      <w:szCs w:val="22"/>
      <w:lang w:val="en"/>
    </w:rPr>
  </w:style>
  <w:style w:type="paragraph" w:customStyle="1" w:styleId="ChecklistStep">
    <w:name w:val="Checklist Step"/>
    <w:basedOn w:val="Heading5"/>
    <w:qFormat/>
    <w:rsid w:val="00B16E13"/>
    <w:pPr>
      <w:ind w:left="360"/>
    </w:pPr>
    <w:rPr>
      <w:rFonts w:ascii="Calibri" w:hAnsi="Calibri"/>
    </w:rPr>
  </w:style>
  <w:style w:type="character" w:styleId="Mention">
    <w:name w:val="Mention"/>
    <w:basedOn w:val="DefaultParagraphFont"/>
    <w:uiPriority w:val="99"/>
    <w:unhideWhenUsed/>
    <w:rsid w:val="00BD7095"/>
    <w:rPr>
      <w:color w:val="2B579A"/>
      <w:shd w:val="clear" w:color="auto" w:fill="E1DFDD"/>
    </w:rPr>
  </w:style>
  <w:style w:type="character" w:styleId="PageNumber">
    <w:name w:val="page number"/>
    <w:basedOn w:val="DefaultParagraphFont"/>
    <w:uiPriority w:val="99"/>
    <w:semiHidden/>
    <w:unhideWhenUsed/>
    <w:rsid w:val="00BD7095"/>
  </w:style>
  <w:style w:type="paragraph" w:customStyle="1" w:styleId="DocID">
    <w:name w:val="DocID"/>
    <w:basedOn w:val="Footer"/>
    <w:next w:val="Footer"/>
    <w:link w:val="DocIDChar"/>
    <w:rsid w:val="00BD7095"/>
    <w:pPr>
      <w:tabs>
        <w:tab w:val="clear" w:pos="4680"/>
        <w:tab w:val="clear" w:pos="9360"/>
      </w:tabs>
      <w:spacing w:after="0" w:line="240" w:lineRule="auto"/>
    </w:pPr>
    <w:rPr>
      <w:rFonts w:ascii="Times New Roman" w:eastAsia="Times New Roman" w:hAnsi="Times New Roman"/>
      <w:sz w:val="16"/>
      <w:szCs w:val="20"/>
    </w:rPr>
  </w:style>
  <w:style w:type="character" w:customStyle="1" w:styleId="DocIDChar">
    <w:name w:val="DocID Char"/>
    <w:basedOn w:val="DefaultParagraphFont"/>
    <w:link w:val="DocID"/>
    <w:rsid w:val="00BD7095"/>
    <w:rPr>
      <w:rFonts w:ascii="Times New Roman" w:eastAsia="Times New Roman" w:hAnsi="Times New Roman" w:cs="Times New Roman"/>
      <w:sz w:val="16"/>
      <w:szCs w:val="20"/>
    </w:rPr>
  </w:style>
  <w:style w:type="paragraph" w:styleId="TOCHeading">
    <w:name w:val="TOC Heading"/>
    <w:basedOn w:val="Heading1"/>
    <w:next w:val="Normal"/>
    <w:uiPriority w:val="39"/>
    <w:unhideWhenUsed/>
    <w:qFormat/>
    <w:rsid w:val="00430925"/>
    <w:pPr>
      <w:keepNext/>
      <w:keepLines/>
      <w:spacing w:before="240" w:after="0"/>
      <w:contextualSpacing w:val="0"/>
      <w:outlineLvl w:val="9"/>
    </w:pPr>
    <w:rPr>
      <w:rFonts w:asciiTheme="majorHAnsi" w:hAnsiTheme="majorHAnsi"/>
      <w:b w:val="0"/>
      <w:bCs w:val="0"/>
      <w:color w:val="2F5496" w:themeColor="accent1" w:themeShade="BF"/>
      <w:spacing w:val="0"/>
      <w:kern w:val="0"/>
      <w:sz w:val="32"/>
      <w:szCs w:val="32"/>
    </w:rPr>
  </w:style>
  <w:style w:type="paragraph" w:styleId="TOC1">
    <w:name w:val="toc 1"/>
    <w:basedOn w:val="Normal"/>
    <w:next w:val="Normal"/>
    <w:autoRedefine/>
    <w:uiPriority w:val="39"/>
    <w:unhideWhenUsed/>
    <w:rsid w:val="00430925"/>
    <w:pPr>
      <w:spacing w:after="100"/>
    </w:pPr>
  </w:style>
  <w:style w:type="paragraph" w:styleId="TOC2">
    <w:name w:val="toc 2"/>
    <w:basedOn w:val="Normal"/>
    <w:next w:val="Normal"/>
    <w:autoRedefine/>
    <w:uiPriority w:val="39"/>
    <w:unhideWhenUsed/>
    <w:rsid w:val="00430925"/>
    <w:pPr>
      <w:spacing w:after="100"/>
      <w:ind w:left="240"/>
    </w:pPr>
  </w:style>
  <w:style w:type="paragraph" w:styleId="TOC3">
    <w:name w:val="toc 3"/>
    <w:basedOn w:val="Normal"/>
    <w:next w:val="Normal"/>
    <w:autoRedefine/>
    <w:uiPriority w:val="39"/>
    <w:unhideWhenUsed/>
    <w:rsid w:val="00430925"/>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5044285">
      <w:bodyDiv w:val="1"/>
      <w:marLeft w:val="0"/>
      <w:marRight w:val="0"/>
      <w:marTop w:val="0"/>
      <w:marBottom w:val="0"/>
      <w:divBdr>
        <w:top w:val="none" w:sz="0" w:space="0" w:color="auto"/>
        <w:left w:val="none" w:sz="0" w:space="0" w:color="auto"/>
        <w:bottom w:val="none" w:sz="0" w:space="0" w:color="auto"/>
        <w:right w:val="none" w:sz="0" w:space="0" w:color="auto"/>
      </w:divBdr>
      <w:divsChild>
        <w:div w:id="690768133">
          <w:marLeft w:val="0"/>
          <w:marRight w:val="0"/>
          <w:marTop w:val="0"/>
          <w:marBottom w:val="0"/>
          <w:divBdr>
            <w:top w:val="none" w:sz="0" w:space="0" w:color="auto"/>
            <w:left w:val="none" w:sz="0" w:space="0" w:color="auto"/>
            <w:bottom w:val="none" w:sz="0" w:space="0" w:color="auto"/>
            <w:right w:val="none" w:sz="0" w:space="0" w:color="auto"/>
          </w:divBdr>
          <w:divsChild>
            <w:div w:id="2012247283">
              <w:marLeft w:val="0"/>
              <w:marRight w:val="0"/>
              <w:marTop w:val="0"/>
              <w:marBottom w:val="0"/>
              <w:divBdr>
                <w:top w:val="none" w:sz="0" w:space="0" w:color="auto"/>
                <w:left w:val="none" w:sz="0" w:space="0" w:color="auto"/>
                <w:bottom w:val="none" w:sz="0" w:space="0" w:color="auto"/>
                <w:right w:val="none" w:sz="0" w:space="0" w:color="auto"/>
              </w:divBdr>
              <w:divsChild>
                <w:div w:id="606353755">
                  <w:marLeft w:val="300"/>
                  <w:marRight w:val="0"/>
                  <w:marTop w:val="300"/>
                  <w:marBottom w:val="0"/>
                  <w:divBdr>
                    <w:top w:val="none" w:sz="0" w:space="0" w:color="auto"/>
                    <w:left w:val="none" w:sz="0" w:space="0" w:color="auto"/>
                    <w:bottom w:val="none" w:sz="0" w:space="0" w:color="auto"/>
                    <w:right w:val="none" w:sz="0" w:space="0" w:color="auto"/>
                  </w:divBdr>
                  <w:divsChild>
                    <w:div w:id="526331007">
                      <w:marLeft w:val="0"/>
                      <w:marRight w:val="0"/>
                      <w:marTop w:val="300"/>
                      <w:marBottom w:val="0"/>
                      <w:divBdr>
                        <w:top w:val="single" w:sz="6" w:space="5" w:color="CCCCCC"/>
                        <w:left w:val="single" w:sz="6" w:space="9" w:color="CCCCCC"/>
                        <w:bottom w:val="single" w:sz="6" w:space="5" w:color="CCCCCC"/>
                        <w:right w:val="single" w:sz="6" w:space="9" w:color="CCCCCC"/>
                      </w:divBdr>
                    </w:div>
                  </w:divsChild>
                </w:div>
              </w:divsChild>
            </w:div>
          </w:divsChild>
        </w:div>
      </w:divsChild>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bag.ca.gov/technical-assistance/accessory-dwelling-unit-adu-technical-assistance-guidance-memos-state-law" TargetMode="External"/><Relationship Id="rId18" Type="http://schemas.openxmlformats.org/officeDocument/2006/relationships/hyperlink" Target="https://www.seattle.gov/documents/Departments/OPCD/OngoingInitiatives/EncouragingBackyardCottages/OPCD-ADU-Report-2023.pdf" TargetMode="External"/><Relationship Id="rId26" Type="http://schemas.openxmlformats.org/officeDocument/2006/relationships/hyperlink" Target="https://www.sandiego.gov/sites/default/files/2025-04/planning-commission-report-no-pc-25-016_0.pdf" TargetMode="External"/><Relationship Id="rId3" Type="http://schemas.openxmlformats.org/officeDocument/2006/relationships/customXml" Target="../customXml/item3.xml"/><Relationship Id="rId21" Type="http://schemas.openxmlformats.org/officeDocument/2006/relationships/hyperlink" Target="https://www.sanjoseca.gov/home/showpublisheddocument/113157/638568361130170000" TargetMode="External"/><Relationship Id="rId7" Type="http://schemas.openxmlformats.org/officeDocument/2006/relationships/settings" Target="settings.xml"/><Relationship Id="rId12" Type="http://schemas.openxmlformats.org/officeDocument/2006/relationships/hyperlink" Target="https://abag.ca.gov/our-work/housing/regional-housing-technical-assistance/technical-assistance-anti-displacement" TargetMode="External"/><Relationship Id="rId17" Type="http://schemas.openxmlformats.org/officeDocument/2006/relationships/hyperlink" Target="https://abag.ca.gov/technical-assistance/accessory-dwelling-unit-adu-technical-assistance-guidance-memos-state-law" TargetMode="External"/><Relationship Id="rId25" Type="http://schemas.openxmlformats.org/officeDocument/2006/relationships/hyperlink" Target="https://berkeleyca.gov/sites/default/files/documents/2025-07-29%20Item%2028%20Accessory%20Dwelling%20Units%20%28ADUs%29%20%20Amendments%20to%20Title%2021%20%28Subdivisions%29%20to%20Allow%20Separate%20Sale%20of%20ADUs.pdf" TargetMode="External"/><Relationship Id="rId2" Type="http://schemas.openxmlformats.org/officeDocument/2006/relationships/customXml" Target="../customXml/item2.xml"/><Relationship Id="rId16" Type="http://schemas.openxmlformats.org/officeDocument/2006/relationships/hyperlink" Target="https://abag.ca.gov/technical-assistance/accessory-dwelling-unit-adu-technical-assistance-public-information-resources" TargetMode="External"/><Relationship Id="rId20" Type="http://schemas.openxmlformats.org/officeDocument/2006/relationships/hyperlink" Target="https://www.sanjoseca.gov/home/showpublisheddocument/113197/638578605500230000"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cao-94612.s3.amazonaws.com/documents/Supplemental-Parcel-Map-Waiver-Application-Updated-10-19-22.pdf" TargetMode="External"/><Relationship Id="rId32" Type="http://schemas.microsoft.com/office/2020/10/relationships/intelligence" Target="intelligence2.xml"/><Relationship Id="rId5" Type="http://schemas.openxmlformats.org/officeDocument/2006/relationships/numbering" Target="numbering.xml"/><Relationship Id="rId15" Type="http://schemas.openxmlformats.org/officeDocument/2006/relationships/hyperlink" Target="https://abag.ca.gov/technical-assistance/accessory-dwelling-unit-adu-technical-assistance-guidance-memos-state-law" TargetMode="External"/><Relationship Id="rId23" Type="http://schemas.openxmlformats.org/officeDocument/2006/relationships/hyperlink" Target="https://www.sanjoseca.gov/home/showpublisheddocument/113155/638568361346300000" TargetMode="Externa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sanjoseca.gov/businesses/development-services-permit-center/accessory-dwelling-units-adus/adu-condominium-conversions"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bag.ca.gov/technical-assistance/accessory-dwelling-unit-adu-technical-assistance-guidance-memos-state-law" TargetMode="External"/><Relationship Id="rId22" Type="http://schemas.openxmlformats.org/officeDocument/2006/relationships/hyperlink" Target="https://www.sanjoseca.gov/home/showpublisheddocument/113153/638568363119270000" TargetMode="External"/><Relationship Id="rId27" Type="http://schemas.openxmlformats.org/officeDocument/2006/relationships/header" Target="header1.xml"/><Relationship Id="rId30"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mcdevitt\AppData\Local\Microsoft\Windows\INetCache\Content.Outlook\OQDUS0VT\TALP-Fact_Sheet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37c4623-e045-4d32-a3c5-986fdca23b03">
      <Terms xmlns="http://schemas.microsoft.com/office/infopath/2007/PartnerControls"/>
    </lcf76f155ced4ddcb4097134ff3c332f>
    <TaxCatchAll xmlns="68255fae-2e4a-41d2-a3b7-31b762e4c54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B4B1AB57F2A8B43BC78F724B81138D8" ma:contentTypeVersion="13" ma:contentTypeDescription="Create a new document." ma:contentTypeScope="" ma:versionID="436a97c62d83680c013c4221ad4f0bc9">
  <xsd:schema xmlns:xsd="http://www.w3.org/2001/XMLSchema" xmlns:xs="http://www.w3.org/2001/XMLSchema" xmlns:p="http://schemas.microsoft.com/office/2006/metadata/properties" xmlns:ns2="437c4623-e045-4d32-a3c5-986fdca23b03" xmlns:ns3="68255fae-2e4a-41d2-a3b7-31b762e4c54a" targetNamespace="http://schemas.microsoft.com/office/2006/metadata/properties" ma:root="true" ma:fieldsID="e95b39e6a7e3531a721f2c2dfd4bed84" ns2:_="" ns3:_="">
    <xsd:import namespace="437c4623-e045-4d32-a3c5-986fdca23b03"/>
    <xsd:import namespace="68255fae-2e4a-41d2-a3b7-31b762e4c5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7c4623-e045-4d32-a3c5-986fdca23b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cd0cb3f-5946-44d7-9d7b-f1ee894f69bf"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8255fae-2e4a-41d2-a3b7-31b762e4c54a"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ed2326c8-e9fd-428d-bfcf-027902efe34b}" ma:internalName="TaxCatchAll" ma:showField="CatchAllData" ma:web="68255fae-2e4a-41d2-a3b7-31b762e4c54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187A15-F830-4BCF-BD1F-2640F690496C}">
  <ds:schemaRefs>
    <ds:schemaRef ds:uri="http://schemas.microsoft.com/office/2006/metadata/properties"/>
    <ds:schemaRef ds:uri="http://schemas.microsoft.com/office/infopath/2007/PartnerControls"/>
    <ds:schemaRef ds:uri="437c4623-e045-4d32-a3c5-986fdca23b03"/>
    <ds:schemaRef ds:uri="68255fae-2e4a-41d2-a3b7-31b762e4c54a"/>
  </ds:schemaRefs>
</ds:datastoreItem>
</file>

<file path=customXml/itemProps2.xml><?xml version="1.0" encoding="utf-8"?>
<ds:datastoreItem xmlns:ds="http://schemas.openxmlformats.org/officeDocument/2006/customXml" ds:itemID="{AF36F442-DF0E-4439-81A2-F47011B989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7c4623-e045-4d32-a3c5-986fdca23b03"/>
    <ds:schemaRef ds:uri="68255fae-2e4a-41d2-a3b7-31b762e4c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416078A-3417-4130-BDC6-88A6529B1701}">
  <ds:schemaRefs>
    <ds:schemaRef ds:uri="http://schemas.microsoft.com/sharepoint/v3/contenttype/forms"/>
  </ds:schemaRefs>
</ds:datastoreItem>
</file>

<file path=customXml/itemProps4.xml><?xml version="1.0" encoding="utf-8"?>
<ds:datastoreItem xmlns:ds="http://schemas.openxmlformats.org/officeDocument/2006/customXml" ds:itemID="{AB7EB2B3-E56C-483C-9BAD-80596F6EEA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TALP-Fact_Sheet_Template.dotx</Template>
  <TotalTime>1</TotalTime>
  <Pages>15</Pages>
  <Words>5731</Words>
  <Characters>34732</Characters>
  <Application>Microsoft Office Word</Application>
  <DocSecurity>0</DocSecurity>
  <Lines>503</Lines>
  <Paragraphs>233</Paragraphs>
  <ScaleCrop>false</ScaleCrop>
  <HeadingPairs>
    <vt:vector size="2" baseType="variant">
      <vt:variant>
        <vt:lpstr>Title</vt:lpstr>
      </vt:variant>
      <vt:variant>
        <vt:i4>1</vt:i4>
      </vt:variant>
    </vt:vector>
  </HeadingPairs>
  <TitlesOfParts>
    <vt:vector size="1" baseType="lpstr">
      <vt:lpstr>ABAG Separate Conveyance ADU Condominimus Memo</vt:lpstr>
    </vt:vector>
  </TitlesOfParts>
  <Manager/>
  <Company>Assocaition of Bay Area Governments</Company>
  <LinksUpToDate>false</LinksUpToDate>
  <CharactersWithSpaces>40230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ABAG Separate Conveyance ADU Condominimus Memo</dc:title>
  <dc:subject>ADU Work Group</dc:subject>
  <dc:creator>ABAG | Community Planning Collaborative</dc:creator>
  <cp:keywords/>
  <dc:description/>
  <cp:lastModifiedBy>Clair A. McDevitt</cp:lastModifiedBy>
  <cp:revision>2</cp:revision>
  <dcterms:created xsi:type="dcterms:W3CDTF">2025-11-04T19:46:00Z</dcterms:created>
  <dcterms:modified xsi:type="dcterms:W3CDTF">2025-11-04T19:46:00Z</dcterms:modified>
  <cp:category>Template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0x0101000B4B1AB57F2A8B43BC78F724B81138D8</vt:lpwstr>
  </property>
  <property fmtid="{D5CDD505-2E9C-101B-9397-08002B2CF9AE}" pid="3" name="MediaServiceImageTags">
    <vt:lpwstr/>
  </property>
</Properties>
</file>