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D8AC6" w14:textId="41BE3D22" w:rsidR="00C63A70" w:rsidRPr="007E13B0" w:rsidRDefault="00C63A70" w:rsidP="00C63A70">
      <w:pPr>
        <w:pStyle w:val="Boxedtext"/>
        <w:rPr>
          <w:rStyle w:val="wdyuqq"/>
          <w:rFonts w:cs="Times New Roman"/>
          <w:color w:val="000000"/>
        </w:rPr>
      </w:pPr>
      <w:bookmarkStart w:id="0" w:name="_Hlk172888307"/>
      <w:bookmarkStart w:id="1" w:name="_Hlk136872925"/>
      <w:bookmarkEnd w:id="0"/>
      <w:r w:rsidRPr="00661C50">
        <w:rPr>
          <w:rStyle w:val="wdyuqq"/>
          <w:rFonts w:cs="Times New Roman"/>
          <w:b/>
          <w:bCs/>
          <w:color w:val="000000"/>
        </w:rPr>
        <w:t>DISCLAIMER:</w:t>
      </w:r>
      <w:r w:rsidRPr="007E13B0">
        <w:rPr>
          <w:rStyle w:val="wdyuqq"/>
          <w:rFonts w:cs="Times New Roman"/>
          <w:color w:val="000000"/>
        </w:rPr>
        <w:t xml:space="preserve"> This document is intended solely as </w:t>
      </w:r>
      <w:r w:rsidR="002844E7">
        <w:rPr>
          <w:rStyle w:val="wdyuqq"/>
          <w:rFonts w:cs="Times New Roman"/>
          <w:color w:val="000000"/>
        </w:rPr>
        <w:t>template guidance</w:t>
      </w:r>
      <w:r w:rsidRPr="007E13B0">
        <w:rPr>
          <w:rStyle w:val="wdyuqq"/>
          <w:rFonts w:cs="Times New Roman"/>
          <w:color w:val="000000"/>
        </w:rPr>
        <w:t xml:space="preserve"> for staff </w:t>
      </w:r>
      <w:bookmarkStart w:id="2" w:name="_Hlk136872875"/>
      <w:r w:rsidRPr="007E13B0">
        <w:rPr>
          <w:rStyle w:val="wdyuqq"/>
          <w:rFonts w:cs="Times New Roman"/>
          <w:color w:val="000000"/>
        </w:rPr>
        <w:t xml:space="preserve">to use </w:t>
      </w:r>
      <w:bookmarkEnd w:id="2"/>
      <w:r w:rsidRPr="007E13B0">
        <w:rPr>
          <w:rStyle w:val="wdyuqq"/>
          <w:rFonts w:cs="Times New Roman"/>
          <w:color w:val="000000"/>
        </w:rPr>
        <w:t xml:space="preserve">for applicants seeking </w:t>
      </w:r>
      <w:r>
        <w:rPr>
          <w:rStyle w:val="wdyuqq"/>
          <w:rFonts w:cs="Times New Roman"/>
          <w:color w:val="000000"/>
        </w:rPr>
        <w:t xml:space="preserve">a permit for </w:t>
      </w:r>
      <w:r w:rsidR="002844E7">
        <w:rPr>
          <w:rStyle w:val="wdyuqq"/>
          <w:rFonts w:cs="Times New Roman"/>
          <w:color w:val="000000"/>
        </w:rPr>
        <w:t xml:space="preserve">an </w:t>
      </w:r>
      <w:r>
        <w:rPr>
          <w:rStyle w:val="wdyuqq"/>
          <w:rFonts w:cs="Times New Roman"/>
          <w:color w:val="000000"/>
        </w:rPr>
        <w:t>unpermitted Accessory Dwelling Unit</w:t>
      </w:r>
      <w:r w:rsidR="002844E7">
        <w:rPr>
          <w:rStyle w:val="wdyuqq"/>
          <w:rFonts w:cs="Times New Roman"/>
          <w:color w:val="000000"/>
        </w:rPr>
        <w:t xml:space="preserve"> constructed prior to 2020</w:t>
      </w:r>
      <w:r w:rsidRPr="007E13B0">
        <w:rPr>
          <w:rStyle w:val="wdyuqq"/>
          <w:rFonts w:cs="Times New Roman"/>
          <w:color w:val="000000"/>
        </w:rPr>
        <w:t xml:space="preserve">. It is not legal advice regarding any jurisdiction's specific policies. Local staff should consult with their city attorney or county counsel when determining the applicability of these provisions in their jurisdiction. </w:t>
      </w:r>
    </w:p>
    <w:bookmarkEnd w:id="1"/>
    <w:p w14:paraId="1B54BB0D" w14:textId="2DD2319A" w:rsidR="00E57D1D" w:rsidRPr="00C63A70" w:rsidRDefault="000F6309" w:rsidP="002844E7">
      <w:pPr>
        <w:pStyle w:val="Heading1"/>
      </w:pPr>
      <w:r w:rsidRPr="00C63A70">
        <w:t>Property Owner Guidance for Obtaining Permits for</w:t>
      </w:r>
      <w:r w:rsidR="00C63A70">
        <w:t xml:space="preserve"> </w:t>
      </w:r>
      <w:r w:rsidR="00E57D1D" w:rsidRPr="00C63A70">
        <w:t>Unpermitted Accessory Dwelling Units and Junior Accessory Dwelling Units</w:t>
      </w:r>
      <w:r w:rsidRPr="00C63A70">
        <w:t xml:space="preserve"> in the </w:t>
      </w:r>
      <w:r w:rsidRPr="00C63A70">
        <w:rPr>
          <w:highlight w:val="yellow"/>
        </w:rPr>
        <w:t>[City/County/Town of]</w:t>
      </w:r>
    </w:p>
    <w:p w14:paraId="2B230934" w14:textId="07407932" w:rsidR="00862FCC" w:rsidRPr="00862FCC" w:rsidRDefault="00862FCC" w:rsidP="002844E7">
      <w:pPr>
        <w:pStyle w:val="Heading2"/>
      </w:pPr>
      <w:r w:rsidRPr="00C63A70">
        <w:t>Background</w:t>
      </w:r>
    </w:p>
    <w:p w14:paraId="43177C09" w14:textId="42E7F994" w:rsidR="006C4DFC" w:rsidRDefault="00FD6056" w:rsidP="00C63A70">
      <w:r w:rsidRPr="00FD6056">
        <w:t xml:space="preserve">This handout </w:t>
      </w:r>
      <w:r>
        <w:t>provides guidance for</w:t>
      </w:r>
      <w:r w:rsidRPr="00FD6056">
        <w:t xml:space="preserve"> property owners who want to obtain permits for Accessory Dwelling Units (ADUs) </w:t>
      </w:r>
      <w:r>
        <w:t>and/</w:t>
      </w:r>
      <w:r w:rsidRPr="00FD6056">
        <w:t xml:space="preserve">or Junior Accessory Dwelling Units (JADUs) </w:t>
      </w:r>
      <w:r>
        <w:t>that were built without permits</w:t>
      </w:r>
      <w:r w:rsidRPr="00FD6056">
        <w:t xml:space="preserve"> before January 1, 2020.</w:t>
      </w:r>
      <w:r>
        <w:t xml:space="preserve"> </w:t>
      </w:r>
      <w:r w:rsidR="000D0F10">
        <w:t xml:space="preserve">The information in this handout reflects amendments to California ADU and JADU law that </w:t>
      </w:r>
      <w:r w:rsidR="007155B6">
        <w:t xml:space="preserve">went into effect on </w:t>
      </w:r>
      <w:r w:rsidR="000D0F10">
        <w:t>January 1, 2025.</w:t>
      </w:r>
    </w:p>
    <w:p w14:paraId="147426D3" w14:textId="2A6AF59A" w:rsidR="006B11FB" w:rsidRDefault="000D0F10" w:rsidP="00C63A70">
      <w:r w:rsidRPr="00C63A70">
        <w:t>I</w:t>
      </w:r>
      <w:r w:rsidR="008A7A39" w:rsidRPr="00C63A70">
        <w:t xml:space="preserve">n </w:t>
      </w:r>
      <w:r w:rsidR="006C4DFC" w:rsidRPr="00C63A70">
        <w:t>accordance with California Government Code Section 66332</w:t>
      </w:r>
      <w:r w:rsidR="008A7A39" w:rsidRPr="00C63A70">
        <w:t xml:space="preserve">, the </w:t>
      </w:r>
      <w:r w:rsidR="008A7A39" w:rsidRPr="00C63A70">
        <w:rPr>
          <w:highlight w:val="yellow"/>
        </w:rPr>
        <w:t>[City/</w:t>
      </w:r>
      <w:r w:rsidR="008E7F79" w:rsidRPr="00C63A70">
        <w:rPr>
          <w:highlight w:val="yellow"/>
        </w:rPr>
        <w:t>County/</w:t>
      </w:r>
      <w:r w:rsidR="008A7A39" w:rsidRPr="00C63A70">
        <w:rPr>
          <w:highlight w:val="yellow"/>
        </w:rPr>
        <w:t>Town]</w:t>
      </w:r>
      <w:r w:rsidR="008A7A39" w:rsidRPr="00C63A70">
        <w:t xml:space="preserve"> will not </w:t>
      </w:r>
      <w:r w:rsidR="00734201" w:rsidRPr="00C63A70">
        <w:t xml:space="preserve">deny a permit for </w:t>
      </w:r>
      <w:r w:rsidR="00FD6056">
        <w:t>an unpermitted</w:t>
      </w:r>
      <w:r w:rsidR="00FD6056" w:rsidRPr="00C63A70">
        <w:t xml:space="preserve"> </w:t>
      </w:r>
      <w:r w:rsidR="00E57D1D" w:rsidRPr="00C63A70">
        <w:t>ADU</w:t>
      </w:r>
      <w:r w:rsidR="00C63A70" w:rsidRPr="00C63A70">
        <w:t>/</w:t>
      </w:r>
      <w:r w:rsidR="00E57D1D" w:rsidRPr="00C63A70">
        <w:t xml:space="preserve">JADU </w:t>
      </w:r>
      <w:r w:rsidR="00FD6056">
        <w:t xml:space="preserve">built before 2020 </w:t>
      </w:r>
      <w:r w:rsidR="00E95CC0" w:rsidRPr="00C63A70">
        <w:t xml:space="preserve">solely </w:t>
      </w:r>
      <w:r w:rsidR="00734201" w:rsidRPr="00C63A70">
        <w:t xml:space="preserve">because </w:t>
      </w:r>
      <w:r w:rsidR="00C63A70" w:rsidRPr="00C63A70">
        <w:t>it does not meet</w:t>
      </w:r>
      <w:r w:rsidR="00734201" w:rsidRPr="00C63A70">
        <w:t xml:space="preserve"> building standards or state or local standards </w:t>
      </w:r>
      <w:r w:rsidR="00C63A70" w:rsidRPr="00C63A70">
        <w:t>for</w:t>
      </w:r>
      <w:r w:rsidR="00734201" w:rsidRPr="00C63A70">
        <w:t xml:space="preserve"> </w:t>
      </w:r>
      <w:r w:rsidR="003B6DB9" w:rsidRPr="00C63A70">
        <w:t>ADUs</w:t>
      </w:r>
      <w:r w:rsidR="00C63A70" w:rsidRPr="00C63A70">
        <w:t>/</w:t>
      </w:r>
      <w:r w:rsidR="009F71EC" w:rsidRPr="00C63A70">
        <w:t>JADUs.</w:t>
      </w:r>
      <w:r w:rsidR="003B6DB9" w:rsidRPr="00C63A70">
        <w:t xml:space="preserve"> </w:t>
      </w:r>
      <w:r w:rsidR="00FD6056">
        <w:t>However,</w:t>
      </w:r>
      <w:r w:rsidR="001363D7">
        <w:t xml:space="preserve"> this permitting process does not apply to buildings deemed “substandard” pursuant to </w:t>
      </w:r>
      <w:r w:rsidR="001363D7" w:rsidRPr="00C63A70">
        <w:t>Section 17920.3 of the Health and Safety Code</w:t>
      </w:r>
      <w:r w:rsidR="001363D7">
        <w:t>.</w:t>
      </w:r>
      <w:r w:rsidR="00FD6056">
        <w:t xml:space="preserve"> </w:t>
      </w:r>
      <w:r w:rsidR="001363D7">
        <w:t xml:space="preserve">Thus, </w:t>
      </w:r>
      <w:r w:rsidR="00FD6056">
        <w:t>t</w:t>
      </w:r>
      <w:r w:rsidR="009F71EC" w:rsidRPr="00C63A70">
        <w:t xml:space="preserve">he </w:t>
      </w:r>
      <w:r w:rsidR="00762AB7" w:rsidRPr="00C63A70">
        <w:rPr>
          <w:highlight w:val="yellow"/>
        </w:rPr>
        <w:t>[City/</w:t>
      </w:r>
      <w:r w:rsidR="00A9420D" w:rsidRPr="00C63A70">
        <w:rPr>
          <w:highlight w:val="yellow"/>
        </w:rPr>
        <w:t>County/</w:t>
      </w:r>
      <w:r w:rsidR="00762AB7" w:rsidRPr="00C63A70">
        <w:rPr>
          <w:highlight w:val="yellow"/>
        </w:rPr>
        <w:t>Town]</w:t>
      </w:r>
      <w:r w:rsidR="00762AB7" w:rsidRPr="00C63A70">
        <w:t xml:space="preserve"> </w:t>
      </w:r>
      <w:r w:rsidR="00C63A70" w:rsidRPr="00C63A70">
        <w:t>may</w:t>
      </w:r>
      <w:r w:rsidR="008E7F79" w:rsidRPr="00C63A70">
        <w:t xml:space="preserve"> deny a permit</w:t>
      </w:r>
      <w:r w:rsidR="00C63A70" w:rsidRPr="00C63A70">
        <w:t xml:space="preserve"> if the</w:t>
      </w:r>
      <w:r w:rsidR="008E7F79" w:rsidRPr="00C63A70">
        <w:t xml:space="preserve"> ADU</w:t>
      </w:r>
      <w:r w:rsidR="00C63A70" w:rsidRPr="00C63A70">
        <w:t>/</w:t>
      </w:r>
      <w:r w:rsidR="008E7F79" w:rsidRPr="00C63A70">
        <w:t>JADU</w:t>
      </w:r>
      <w:r w:rsidR="00C63A70" w:rsidRPr="00C63A70">
        <w:t xml:space="preserve"> does not meet the standards specified in Section 17920.3 of the Health and Safety Code</w:t>
      </w:r>
      <w:r w:rsidR="00FD6056">
        <w:t>, which lists substandard building conditions</w:t>
      </w:r>
      <w:r w:rsidR="008E7F79" w:rsidRPr="00C63A70">
        <w:t>.</w:t>
      </w:r>
    </w:p>
    <w:p w14:paraId="34BFF5DE" w14:textId="56AA499D" w:rsidR="00E91C12" w:rsidRPr="00C63A70" w:rsidRDefault="007D1244" w:rsidP="00C63A70">
      <w:r>
        <w:t>[</w:t>
      </w:r>
      <w:r w:rsidR="005D374B" w:rsidRPr="00444192">
        <w:rPr>
          <w:highlight w:val="yellow"/>
        </w:rPr>
        <w:t xml:space="preserve">See the </w:t>
      </w:r>
      <w:hyperlink r:id="rId12" w:history="1">
        <w:r w:rsidR="002739F0" w:rsidRPr="008B393C">
          <w:rPr>
            <w:rStyle w:val="Hyperlink"/>
            <w:highlight w:val="yellow"/>
          </w:rPr>
          <w:t xml:space="preserve">ADUs </w:t>
        </w:r>
        <w:r w:rsidR="008B393C" w:rsidRPr="008B393C">
          <w:rPr>
            <w:rStyle w:val="Hyperlink"/>
            <w:highlight w:val="yellow"/>
          </w:rPr>
          <w:t>Amnesty Program Guide</w:t>
        </w:r>
      </w:hyperlink>
      <w:r w:rsidR="008B393C">
        <w:rPr>
          <w:highlight w:val="yellow"/>
        </w:rPr>
        <w:t xml:space="preserve"> </w:t>
      </w:r>
      <w:r w:rsidR="00C75195">
        <w:rPr>
          <w:highlight w:val="yellow"/>
        </w:rPr>
        <w:t xml:space="preserve">(coming soon) </w:t>
      </w:r>
      <w:r w:rsidR="002739F0" w:rsidRPr="00444192">
        <w:rPr>
          <w:highlight w:val="yellow"/>
        </w:rPr>
        <w:t xml:space="preserve">for guidance on </w:t>
      </w:r>
      <w:r w:rsidR="00774031" w:rsidRPr="00444192">
        <w:rPr>
          <w:highlight w:val="yellow"/>
        </w:rPr>
        <w:t>general</w:t>
      </w:r>
      <w:r w:rsidR="002739F0" w:rsidRPr="00444192">
        <w:rPr>
          <w:highlight w:val="yellow"/>
        </w:rPr>
        <w:t xml:space="preserve"> legal requirements and </w:t>
      </w:r>
      <w:r w:rsidR="00774031" w:rsidRPr="00444192">
        <w:rPr>
          <w:highlight w:val="yellow"/>
        </w:rPr>
        <w:t>how to develop a legalization program.</w:t>
      </w:r>
      <w:r w:rsidR="00774031">
        <w:t xml:space="preserve">] </w:t>
      </w:r>
    </w:p>
    <w:p w14:paraId="7CE997BC" w14:textId="6A4EC6F7" w:rsidR="00506AF6" w:rsidRDefault="00506AF6" w:rsidP="00C63A70">
      <w:pPr>
        <w:pStyle w:val="Heading2"/>
      </w:pPr>
      <w:r>
        <w:t>Construction Date</w:t>
      </w:r>
      <w:r w:rsidR="002F1619">
        <w:t xml:space="preserve"> Documentation</w:t>
      </w:r>
    </w:p>
    <w:p w14:paraId="0346CC07" w14:textId="7F4344C0" w:rsidR="00506AF6" w:rsidRPr="00506AF6" w:rsidRDefault="00506AF6" w:rsidP="002844E7">
      <w:r w:rsidRPr="002844E7">
        <w:rPr>
          <w:highlight w:val="yellow"/>
        </w:rPr>
        <w:t>[</w:t>
      </w:r>
      <w:r w:rsidR="005C373A">
        <w:rPr>
          <w:highlight w:val="yellow"/>
        </w:rPr>
        <w:t xml:space="preserve">Per California law, local agencies may not deny a permit to </w:t>
      </w:r>
      <w:r w:rsidRPr="002844E7">
        <w:rPr>
          <w:highlight w:val="yellow"/>
        </w:rPr>
        <w:t xml:space="preserve">ADUs and JADUs </w:t>
      </w:r>
      <w:r w:rsidR="00FD6056">
        <w:rPr>
          <w:highlight w:val="yellow"/>
        </w:rPr>
        <w:t xml:space="preserve">that were built </w:t>
      </w:r>
      <w:r w:rsidR="005C373A">
        <w:rPr>
          <w:highlight w:val="yellow"/>
        </w:rPr>
        <w:t xml:space="preserve">without permits </w:t>
      </w:r>
      <w:r w:rsidR="00FD6056">
        <w:rPr>
          <w:highlight w:val="yellow"/>
        </w:rPr>
        <w:t xml:space="preserve">before 2020 and </w:t>
      </w:r>
      <w:r w:rsidRPr="002844E7">
        <w:rPr>
          <w:highlight w:val="yellow"/>
        </w:rPr>
        <w:t xml:space="preserve">that meet </w:t>
      </w:r>
      <w:r w:rsidR="007155B6">
        <w:rPr>
          <w:highlight w:val="yellow"/>
        </w:rPr>
        <w:t xml:space="preserve">the standards in </w:t>
      </w:r>
      <w:r w:rsidR="00FD6056">
        <w:rPr>
          <w:highlight w:val="yellow"/>
        </w:rPr>
        <w:t>H</w:t>
      </w:r>
      <w:r w:rsidRPr="002844E7">
        <w:rPr>
          <w:highlight w:val="yellow"/>
        </w:rPr>
        <w:t xml:space="preserve">ealth and </w:t>
      </w:r>
      <w:r w:rsidR="00FD6056">
        <w:rPr>
          <w:highlight w:val="yellow"/>
        </w:rPr>
        <w:t>S</w:t>
      </w:r>
      <w:r w:rsidRPr="002844E7">
        <w:rPr>
          <w:highlight w:val="yellow"/>
        </w:rPr>
        <w:t xml:space="preserve">afety </w:t>
      </w:r>
      <w:r w:rsidR="00FD6056">
        <w:rPr>
          <w:highlight w:val="yellow"/>
        </w:rPr>
        <w:t>C</w:t>
      </w:r>
      <w:r w:rsidRPr="002844E7">
        <w:rPr>
          <w:highlight w:val="yellow"/>
        </w:rPr>
        <w:t xml:space="preserve">ode </w:t>
      </w:r>
      <w:r w:rsidR="007155B6" w:rsidRPr="007155B6">
        <w:rPr>
          <w:highlight w:val="yellow"/>
        </w:rPr>
        <w:t>Section 17920.3</w:t>
      </w:r>
      <w:r w:rsidRPr="002844E7">
        <w:rPr>
          <w:highlight w:val="yellow"/>
        </w:rPr>
        <w:t>. The law does not explain what proof is required to show that the unit was built prior to 2020</w:t>
      </w:r>
      <w:r w:rsidR="00FD6056">
        <w:rPr>
          <w:highlight w:val="yellow"/>
        </w:rPr>
        <w:t>.</w:t>
      </w:r>
      <w:r w:rsidR="005C373A">
        <w:rPr>
          <w:highlight w:val="yellow"/>
        </w:rPr>
        <w:t xml:space="preserve"> J</w:t>
      </w:r>
      <w:r w:rsidRPr="002844E7">
        <w:rPr>
          <w:highlight w:val="yellow"/>
        </w:rPr>
        <w:t xml:space="preserve">urisdictions may ask applicants for documentation that the </w:t>
      </w:r>
      <w:r w:rsidR="005C373A">
        <w:rPr>
          <w:highlight w:val="yellow"/>
        </w:rPr>
        <w:t>ADU/JADU</w:t>
      </w:r>
      <w:r w:rsidRPr="002844E7">
        <w:rPr>
          <w:highlight w:val="yellow"/>
        </w:rPr>
        <w:t xml:space="preserve"> existed prior to 2020.</w:t>
      </w:r>
      <w:r w:rsidR="002844E7">
        <w:rPr>
          <w:highlight w:val="yellow"/>
        </w:rPr>
        <w:t xml:space="preserve"> </w:t>
      </w:r>
      <w:r w:rsidR="00FD6056">
        <w:rPr>
          <w:highlight w:val="yellow"/>
        </w:rPr>
        <w:t>If your jurisdiction requires such documentation, provide th</w:t>
      </w:r>
      <w:r w:rsidR="005C373A">
        <w:rPr>
          <w:highlight w:val="yellow"/>
        </w:rPr>
        <w:t>ose</w:t>
      </w:r>
      <w:r w:rsidR="00FD6056">
        <w:rPr>
          <w:highlight w:val="yellow"/>
        </w:rPr>
        <w:t xml:space="preserve"> </w:t>
      </w:r>
      <w:r w:rsidR="002844E7">
        <w:rPr>
          <w:highlight w:val="yellow"/>
        </w:rPr>
        <w:t>documentation requirements here.</w:t>
      </w:r>
      <w:r w:rsidRPr="002844E7">
        <w:rPr>
          <w:highlight w:val="yellow"/>
        </w:rPr>
        <w:t>]</w:t>
      </w:r>
    </w:p>
    <w:p w14:paraId="0CE810B9" w14:textId="28EF3C50" w:rsidR="00C63A70" w:rsidRPr="00862FCC" w:rsidRDefault="00C63A70" w:rsidP="00C63A70">
      <w:pPr>
        <w:pStyle w:val="Heading2"/>
      </w:pPr>
      <w:r w:rsidRPr="00862FCC">
        <w:t>Health and Safety Standards</w:t>
      </w:r>
    </w:p>
    <w:p w14:paraId="544C3964" w14:textId="24E7433C" w:rsidR="00C63A70" w:rsidRDefault="00C63A70" w:rsidP="00C63A70">
      <w:r>
        <w:t>T</w:t>
      </w:r>
      <w:r w:rsidRPr="00E46C49">
        <w:t>he [</w:t>
      </w:r>
      <w:r w:rsidRPr="001564CC">
        <w:rPr>
          <w:highlight w:val="yellow"/>
        </w:rPr>
        <w:t>City/</w:t>
      </w:r>
      <w:r>
        <w:rPr>
          <w:highlight w:val="yellow"/>
        </w:rPr>
        <w:t>County/</w:t>
      </w:r>
      <w:r w:rsidRPr="001564CC">
        <w:rPr>
          <w:highlight w:val="yellow"/>
        </w:rPr>
        <w:t>Town of]</w:t>
      </w:r>
      <w:r>
        <w:t xml:space="preserve"> </w:t>
      </w:r>
      <w:r w:rsidRPr="0011300D">
        <w:rPr>
          <w:highlight w:val="yellow"/>
        </w:rPr>
        <w:t>[Building/Community Development</w:t>
      </w:r>
      <w:r>
        <w:rPr>
          <w:highlight w:val="yellow"/>
        </w:rPr>
        <w:t xml:space="preserve"> Department</w:t>
      </w:r>
      <w:r w:rsidRPr="0011300D">
        <w:rPr>
          <w:highlight w:val="yellow"/>
        </w:rPr>
        <w:t>]</w:t>
      </w:r>
      <w:r>
        <w:t xml:space="preserve"> may deny a permit for an unpermitted ADU or JADU constructed before January 1, 2020, if</w:t>
      </w:r>
      <w:r w:rsidR="001363D7">
        <w:t xml:space="preserve"> </w:t>
      </w:r>
      <w:r>
        <w:t xml:space="preserve">the ADU or JADU does not comply with </w:t>
      </w:r>
      <w:proofErr w:type="gramStart"/>
      <w:r>
        <w:t>all of</w:t>
      </w:r>
      <w:proofErr w:type="gramEnd"/>
      <w:r>
        <w:t xml:space="preserve"> the </w:t>
      </w:r>
      <w:r w:rsidR="007155B6">
        <w:t xml:space="preserve">health and safety </w:t>
      </w:r>
      <w:r>
        <w:t>standards listed below.</w:t>
      </w:r>
      <w:r w:rsidRPr="009F71EC">
        <w:t xml:space="preserve"> </w:t>
      </w:r>
      <w:r w:rsidR="001363D7">
        <w:t>However, the [</w:t>
      </w:r>
      <w:r w:rsidR="001363D7" w:rsidRPr="00D5032C">
        <w:rPr>
          <w:highlight w:val="yellow"/>
        </w:rPr>
        <w:t>City/County/Town</w:t>
      </w:r>
      <w:r w:rsidR="001363D7">
        <w:t>] will approve any necessary permits to corre</w:t>
      </w:r>
      <w:r w:rsidR="005D5290">
        <w:t xml:space="preserve">ct any violations of health and </w:t>
      </w:r>
      <w:r w:rsidR="005D5290">
        <w:lastRenderedPageBreak/>
        <w:t>safety standards. Once the building is no longer substandard, the unpermitted ADU or JADU will qualify for a permit.</w:t>
      </w:r>
      <w:r w:rsidR="00C27F12">
        <w:t xml:space="preserve"> </w:t>
      </w:r>
    </w:p>
    <w:p w14:paraId="21279D1C" w14:textId="77777777" w:rsidR="003220FD" w:rsidRDefault="00F71B39" w:rsidP="00F71B39">
      <w:proofErr w:type="gramStart"/>
      <w:r>
        <w:t>In order for</w:t>
      </w:r>
      <w:proofErr w:type="gramEnd"/>
      <w:r>
        <w:t xml:space="preserve"> an ADU or JADU to obtain permits they must meet certain habitability and safety standards </w:t>
      </w:r>
      <w:r w:rsidR="00AB3468">
        <w:t xml:space="preserve">as defined in </w:t>
      </w:r>
      <w:r w:rsidR="00AB3468" w:rsidRPr="00C63A70">
        <w:t>Section 17920.3 of the Health and Safety Code</w:t>
      </w:r>
      <w:r w:rsidR="0038099A">
        <w:t xml:space="preserve"> and provided in </w:t>
      </w:r>
      <w:r w:rsidR="0038099A">
        <w:fldChar w:fldCharType="begin"/>
      </w:r>
      <w:r w:rsidR="0038099A">
        <w:instrText xml:space="preserve"> REF Table1 \h </w:instrText>
      </w:r>
      <w:r w:rsidR="0038099A">
        <w:fldChar w:fldCharType="separate"/>
      </w:r>
      <w:r w:rsidR="0038099A">
        <w:t>Table 1</w:t>
      </w:r>
      <w:r w:rsidR="0038099A">
        <w:fldChar w:fldCharType="end"/>
      </w:r>
      <w:r w:rsidR="0038099A">
        <w:t>, below</w:t>
      </w:r>
      <w:r w:rsidR="00AB3468">
        <w:t xml:space="preserve">. </w:t>
      </w:r>
    </w:p>
    <w:p w14:paraId="1AE6825E" w14:textId="51BE1C0B" w:rsidR="00F71B39" w:rsidRDefault="00AB3468" w:rsidP="00F71B39">
      <w:r>
        <w:t>These standards</w:t>
      </w:r>
      <w:r w:rsidR="003220FD">
        <w:t xml:space="preserve"> </w:t>
      </w:r>
      <w:r w:rsidR="003E3E76">
        <w:t xml:space="preserve">generally </w:t>
      </w:r>
      <w:r>
        <w:t>include</w:t>
      </w:r>
      <w:r w:rsidR="003220FD">
        <w:t>,</w:t>
      </w:r>
      <w:r w:rsidR="00F71B39">
        <w:t xml:space="preserve"> but </w:t>
      </w:r>
      <w:r>
        <w:t xml:space="preserve">are </w:t>
      </w:r>
      <w:r w:rsidR="00F71B39">
        <w:t xml:space="preserve">not limited to: </w:t>
      </w:r>
    </w:p>
    <w:p w14:paraId="37F6CAF2" w14:textId="23FEE49E" w:rsidR="00F71B39" w:rsidRPr="0091091E" w:rsidRDefault="00F71B39" w:rsidP="005E3004">
      <w:pPr>
        <w:pStyle w:val="ListParagraph"/>
        <w:numPr>
          <w:ilvl w:val="0"/>
          <w:numId w:val="23"/>
        </w:numPr>
        <w:rPr>
          <w:b/>
          <w:bCs/>
        </w:rPr>
      </w:pPr>
      <w:r>
        <w:t xml:space="preserve">Sanitation </w:t>
      </w:r>
      <w:r w:rsidR="00AB3468">
        <w:t>facilities</w:t>
      </w:r>
      <w:r>
        <w:t xml:space="preserve"> includ</w:t>
      </w:r>
      <w:r w:rsidR="00AB3468">
        <w:t>ing a</w:t>
      </w:r>
      <w:r>
        <w:t xml:space="preserve"> working </w:t>
      </w:r>
      <w:r w:rsidRPr="00971477">
        <w:t>bathtub</w:t>
      </w:r>
      <w:r>
        <w:t>/</w:t>
      </w:r>
      <w:r w:rsidRPr="00971477">
        <w:t>shower</w:t>
      </w:r>
      <w:r>
        <w:t xml:space="preserve">, kitchen sink, hot and cold running water, toilet and connection to a sewage system. </w:t>
      </w:r>
    </w:p>
    <w:p w14:paraId="11D47664" w14:textId="65D338EC" w:rsidR="00F71B39" w:rsidRPr="008F71A7" w:rsidRDefault="00F71B39" w:rsidP="005E3004">
      <w:pPr>
        <w:pStyle w:val="ListParagraph"/>
        <w:numPr>
          <w:ilvl w:val="0"/>
          <w:numId w:val="23"/>
        </w:numPr>
        <w:rPr>
          <w:b/>
          <w:bCs/>
        </w:rPr>
      </w:pPr>
      <w:r>
        <w:t xml:space="preserve">Electrical, heating/ventilation and plumbing systems that work and </w:t>
      </w:r>
      <w:r w:rsidR="00AB3468">
        <w:t xml:space="preserve">have been </w:t>
      </w:r>
      <w:r>
        <w:t xml:space="preserve">maintained in </w:t>
      </w:r>
      <w:proofErr w:type="gramStart"/>
      <w:r>
        <w:t>a good</w:t>
      </w:r>
      <w:proofErr w:type="gramEnd"/>
      <w:r>
        <w:t xml:space="preserve"> and safe condition.</w:t>
      </w:r>
    </w:p>
    <w:p w14:paraId="1ECE90F4" w14:textId="4E1785F9" w:rsidR="00F71B39" w:rsidRPr="0091091E" w:rsidRDefault="00F71B39" w:rsidP="005E3004">
      <w:pPr>
        <w:pStyle w:val="ListParagraph"/>
        <w:numPr>
          <w:ilvl w:val="0"/>
          <w:numId w:val="23"/>
        </w:numPr>
        <w:rPr>
          <w:b/>
          <w:bCs/>
        </w:rPr>
      </w:pPr>
      <w:r>
        <w:t>Livable conditions without mold</w:t>
      </w:r>
      <w:r w:rsidR="003E3E76">
        <w:t xml:space="preserve"> or infestations of </w:t>
      </w:r>
      <w:r>
        <w:t>insects</w:t>
      </w:r>
      <w:r w:rsidR="003E3E76">
        <w:t xml:space="preserve"> or</w:t>
      </w:r>
      <w:r>
        <w:t xml:space="preserve"> rodents. </w:t>
      </w:r>
    </w:p>
    <w:p w14:paraId="759BA413" w14:textId="000B0FAD" w:rsidR="00F71B39" w:rsidRPr="008F71A7" w:rsidRDefault="00F71B39" w:rsidP="005E3004">
      <w:pPr>
        <w:pStyle w:val="ListParagraph"/>
        <w:numPr>
          <w:ilvl w:val="0"/>
          <w:numId w:val="23"/>
        </w:numPr>
        <w:rPr>
          <w:b/>
          <w:bCs/>
        </w:rPr>
      </w:pPr>
      <w:r>
        <w:t>A</w:t>
      </w:r>
      <w:r w:rsidR="00AB3468">
        <w:t>dequate</w:t>
      </w:r>
      <w:r>
        <w:t xml:space="preserve"> exit facilities.</w:t>
      </w:r>
    </w:p>
    <w:p w14:paraId="1555E357" w14:textId="718441E6" w:rsidR="00AB3468" w:rsidRPr="00AB3468" w:rsidRDefault="003E3E76" w:rsidP="00AB3468">
      <w:r>
        <w:t xml:space="preserve">These standards also </w:t>
      </w:r>
      <w:r w:rsidR="00E84D4D">
        <w:t>require</w:t>
      </w:r>
      <w:r>
        <w:t xml:space="preserve"> </w:t>
      </w:r>
      <w:r w:rsidR="00F71B39">
        <w:t xml:space="preserve">that </w:t>
      </w:r>
      <w:r>
        <w:t>certain conditions, if present</w:t>
      </w:r>
      <w:proofErr w:type="gramStart"/>
      <w:r w:rsidR="007A272C">
        <w:t>,</w:t>
      </w:r>
      <w:r>
        <w:t xml:space="preserve"> </w:t>
      </w:r>
      <w:r w:rsidR="007A272C">
        <w:t>would</w:t>
      </w:r>
      <w:proofErr w:type="gramEnd"/>
      <w:r w:rsidR="007A272C">
        <w:t xml:space="preserve"> </w:t>
      </w:r>
      <w:r>
        <w:t>need to be corrected; these conditions generally</w:t>
      </w:r>
      <w:r w:rsidR="00F71B39">
        <w:t xml:space="preserve"> include</w:t>
      </w:r>
      <w:r>
        <w:t>,</w:t>
      </w:r>
      <w:r w:rsidR="00F71B39">
        <w:t xml:space="preserve"> but are not limited to:</w:t>
      </w:r>
    </w:p>
    <w:p w14:paraId="624E1937" w14:textId="436503F7" w:rsidR="00F71B39" w:rsidRPr="0091091E" w:rsidRDefault="00F71B39" w:rsidP="005E3004">
      <w:pPr>
        <w:pStyle w:val="ListParagraph"/>
        <w:numPr>
          <w:ilvl w:val="0"/>
          <w:numId w:val="23"/>
        </w:numPr>
        <w:rPr>
          <w:b/>
          <w:bCs/>
        </w:rPr>
      </w:pPr>
      <w:r>
        <w:t>Deteriorated walls, windows, doors, ceilings, roofs, floors, foundations, chimneys or other structural elements.</w:t>
      </w:r>
    </w:p>
    <w:p w14:paraId="692A2B52" w14:textId="0CD95D69" w:rsidR="00F71B39" w:rsidRPr="00AB3468" w:rsidRDefault="00F71B39" w:rsidP="005E3004">
      <w:pPr>
        <w:pStyle w:val="ListParagraph"/>
        <w:numPr>
          <w:ilvl w:val="0"/>
          <w:numId w:val="23"/>
        </w:numPr>
        <w:rPr>
          <w:b/>
          <w:bCs/>
        </w:rPr>
      </w:pPr>
      <w:r>
        <w:t xml:space="preserve">Electrical, mechanical or plumbing systems that do not conform with applicable laws and regulations in effect at the time of </w:t>
      </w:r>
      <w:r w:rsidR="00AB3468">
        <w:t>their</w:t>
      </w:r>
      <w:r>
        <w:t xml:space="preserve"> installation.</w:t>
      </w:r>
    </w:p>
    <w:p w14:paraId="4DCA95F0" w14:textId="549BDE23" w:rsidR="00AB3468" w:rsidRPr="0091091E" w:rsidRDefault="00AB3468" w:rsidP="005E3004">
      <w:pPr>
        <w:pStyle w:val="ListParagraph"/>
        <w:numPr>
          <w:ilvl w:val="0"/>
          <w:numId w:val="23"/>
        </w:numPr>
        <w:rPr>
          <w:b/>
          <w:bCs/>
        </w:rPr>
      </w:pPr>
      <w:r>
        <w:t xml:space="preserve">Improper construction, materials or structural hazards. </w:t>
      </w:r>
    </w:p>
    <w:p w14:paraId="34A25700" w14:textId="1729A348" w:rsidR="00F71B39" w:rsidRDefault="00F71B39" w:rsidP="005E3004">
      <w:pPr>
        <w:pStyle w:val="ListParagraph"/>
        <w:numPr>
          <w:ilvl w:val="0"/>
          <w:numId w:val="23"/>
        </w:numPr>
      </w:pPr>
      <w:r w:rsidRPr="0091091E">
        <w:t>Fire or other hazards</w:t>
      </w:r>
      <w:r>
        <w:t>.</w:t>
      </w:r>
    </w:p>
    <w:p w14:paraId="60551FCD" w14:textId="1B4B6D56" w:rsidR="00C27F12" w:rsidRDefault="00C27F12" w:rsidP="004F2456">
      <w:r>
        <w:t>Applicants cannot be required to pay impact fees or connection or capacity charges except when utility infrastructure is required to comply with health and safety standards.</w:t>
      </w:r>
    </w:p>
    <w:p w14:paraId="2B0E1FBE" w14:textId="0EF822A0" w:rsidR="006A54D8" w:rsidRDefault="006A54D8" w:rsidP="00EE0DB8">
      <w:pPr>
        <w:pStyle w:val="Heading2"/>
      </w:pPr>
      <w:r>
        <w:t>Inspecting the ADU/JADU</w:t>
      </w:r>
    </w:p>
    <w:p w14:paraId="338F89E7" w14:textId="6BA8814A" w:rsidR="005113A1" w:rsidRDefault="00395C67" w:rsidP="00C63A70">
      <w:r w:rsidRPr="00C63A70">
        <w:t>Property owners</w:t>
      </w:r>
      <w:r w:rsidR="000D26DB" w:rsidRPr="00C63A70">
        <w:t xml:space="preserve"> applying for </w:t>
      </w:r>
      <w:r w:rsidR="0011300D" w:rsidRPr="00C63A70">
        <w:t xml:space="preserve">a </w:t>
      </w:r>
      <w:r w:rsidR="000D26DB" w:rsidRPr="00C63A70">
        <w:t xml:space="preserve">permit for an unpermitted ADU or JADU are advised that upon </w:t>
      </w:r>
      <w:r w:rsidR="00E27465" w:rsidRPr="00C63A70">
        <w:t>receipt of an application for a</w:t>
      </w:r>
      <w:r w:rsidR="000D26DB" w:rsidRPr="00C63A70">
        <w:t xml:space="preserve"> permit </w:t>
      </w:r>
      <w:r w:rsidR="00E27465" w:rsidRPr="00C63A70">
        <w:t xml:space="preserve">for the </w:t>
      </w:r>
      <w:r w:rsidR="00C63A70" w:rsidRPr="00C63A70">
        <w:t>unit</w:t>
      </w:r>
      <w:r w:rsidR="00E27465" w:rsidRPr="00C63A70">
        <w:t>,</w:t>
      </w:r>
      <w:r w:rsidR="000D26DB" w:rsidRPr="00C63A70">
        <w:t xml:space="preserve"> the </w:t>
      </w:r>
      <w:r w:rsidR="000D26DB" w:rsidRPr="00C63A70">
        <w:rPr>
          <w:highlight w:val="yellow"/>
        </w:rPr>
        <w:t>[City/County/Town]</w:t>
      </w:r>
      <w:r w:rsidR="000D26DB" w:rsidRPr="00C63A70">
        <w:t xml:space="preserve"> </w:t>
      </w:r>
      <w:r w:rsidR="0011300D" w:rsidRPr="00C63A70">
        <w:rPr>
          <w:highlight w:val="yellow"/>
        </w:rPr>
        <w:t>[Building/Community Development</w:t>
      </w:r>
      <w:r w:rsidR="00C63A70" w:rsidRPr="00C63A70">
        <w:rPr>
          <w:highlight w:val="yellow"/>
        </w:rPr>
        <w:t xml:space="preserve"> Department</w:t>
      </w:r>
      <w:r w:rsidR="0011300D" w:rsidRPr="00C63A70">
        <w:rPr>
          <w:highlight w:val="yellow"/>
        </w:rPr>
        <w:t>]</w:t>
      </w:r>
      <w:r w:rsidR="0011300D" w:rsidRPr="00C63A70">
        <w:t xml:space="preserve"> </w:t>
      </w:r>
      <w:r w:rsidR="00E27465" w:rsidRPr="00C63A70">
        <w:t>may inspect the unit and provide recommendations for achieving compliance with health and safety standards.</w:t>
      </w:r>
      <w:r w:rsidR="000D26DB" w:rsidRPr="00C63A70">
        <w:t xml:space="preserve"> </w:t>
      </w:r>
      <w:r w:rsidR="00C63A70" w:rsidRPr="00C63A70">
        <w:t>P</w:t>
      </w:r>
      <w:r w:rsidR="000D26DB" w:rsidRPr="00C63A70">
        <w:t>rior to submitting</w:t>
      </w:r>
      <w:r w:rsidR="00167202" w:rsidRPr="00C63A70">
        <w:t xml:space="preserve"> a permit application, </w:t>
      </w:r>
      <w:r w:rsidR="000D26DB" w:rsidRPr="00C63A70">
        <w:t>the property owner</w:t>
      </w:r>
      <w:r w:rsidR="00167202" w:rsidRPr="00C63A70">
        <w:t xml:space="preserve"> may obtain a confidential third-party code</w:t>
      </w:r>
      <w:r w:rsidR="002F1619">
        <w:t xml:space="preserve"> </w:t>
      </w:r>
      <w:r w:rsidR="00167202" w:rsidRPr="00C63A70">
        <w:t>inspection from a licensed contractor</w:t>
      </w:r>
      <w:r w:rsidR="001A1FF7" w:rsidRPr="00C63A70">
        <w:t>,</w:t>
      </w:r>
      <w:r w:rsidRPr="00C63A70">
        <w:t xml:space="preserve"> to</w:t>
      </w:r>
      <w:r w:rsidR="00385A7E">
        <w:t xml:space="preserve"> </w:t>
      </w:r>
      <w:r w:rsidR="00385A7E" w:rsidRPr="00385A7E">
        <w:t xml:space="preserve">determine the unit’s existing condition or potential scope of building improvements before </w:t>
      </w:r>
      <w:proofErr w:type="gramStart"/>
      <w:r w:rsidR="00385A7E" w:rsidRPr="00385A7E">
        <w:t>submitting an application</w:t>
      </w:r>
      <w:proofErr w:type="gramEnd"/>
      <w:r w:rsidR="00385A7E" w:rsidRPr="00385A7E">
        <w:t xml:space="preserve"> for a permit</w:t>
      </w:r>
      <w:r w:rsidR="00167202" w:rsidRPr="00C63A70">
        <w:t>.</w:t>
      </w:r>
      <w:r w:rsidR="006A54D8">
        <w:t xml:space="preserve"> </w:t>
      </w:r>
      <w:r w:rsidR="006A54D8">
        <w:fldChar w:fldCharType="begin"/>
      </w:r>
      <w:r w:rsidR="006A54D8">
        <w:instrText xml:space="preserve"> REF Table1 \h </w:instrText>
      </w:r>
      <w:r w:rsidR="006A54D8">
        <w:fldChar w:fldCharType="separate"/>
      </w:r>
      <w:r w:rsidR="006A54D8">
        <w:t>Table 1</w:t>
      </w:r>
      <w:r w:rsidR="006A54D8">
        <w:fldChar w:fldCharType="end"/>
      </w:r>
      <w:r w:rsidR="006A54D8">
        <w:t xml:space="preserve"> </w:t>
      </w:r>
      <w:r w:rsidR="002F1619">
        <w:t>lists</w:t>
      </w:r>
      <w:r w:rsidR="00506AF6">
        <w:t xml:space="preserve"> the detailed requirements that the </w:t>
      </w:r>
      <w:r w:rsidR="00506AF6" w:rsidRPr="00C63A70">
        <w:rPr>
          <w:highlight w:val="yellow"/>
        </w:rPr>
        <w:t>[City/County/Town]</w:t>
      </w:r>
      <w:r w:rsidR="00506AF6" w:rsidRPr="00C63A70">
        <w:t xml:space="preserve"> </w:t>
      </w:r>
      <w:r w:rsidR="00506AF6" w:rsidRPr="00C63A70">
        <w:rPr>
          <w:highlight w:val="yellow"/>
        </w:rPr>
        <w:t>[Building/Community Development Department]</w:t>
      </w:r>
      <w:r w:rsidR="00506AF6">
        <w:t xml:space="preserve"> or third-party licensed contractor</w:t>
      </w:r>
      <w:r w:rsidR="002F1619">
        <w:t xml:space="preserve"> will inspect</w:t>
      </w:r>
      <w:r w:rsidR="00506AF6">
        <w:t xml:space="preserve">. </w:t>
      </w:r>
    </w:p>
    <w:p w14:paraId="07900874" w14:textId="4562D8BB" w:rsidR="00506AF6" w:rsidRPr="00F71B39" w:rsidRDefault="00C63A70">
      <w:r>
        <w:t xml:space="preserve">After the </w:t>
      </w:r>
      <w:r w:rsidRPr="000D26DB">
        <w:rPr>
          <w:highlight w:val="yellow"/>
        </w:rPr>
        <w:t>[City/County/Town]</w:t>
      </w:r>
      <w:r>
        <w:t xml:space="preserve"> Building Department has issued a permit for an unpermitted ADU or JADU constructed before January 1, 2020, the unit </w:t>
      </w:r>
      <w:r w:rsidR="009518EE">
        <w:t xml:space="preserve">may </w:t>
      </w:r>
      <w:r>
        <w:t xml:space="preserve">be subject to inspection by a </w:t>
      </w:r>
      <w:r w:rsidRPr="000D26DB">
        <w:rPr>
          <w:highlight w:val="yellow"/>
        </w:rPr>
        <w:t>[City/County/Town]</w:t>
      </w:r>
      <w:r>
        <w:t xml:space="preserve"> official to confirm that the unit complies with the </w:t>
      </w:r>
      <w:r w:rsidR="00CA56A8">
        <w:t xml:space="preserve">more stringent </w:t>
      </w:r>
      <w:r w:rsidR="008D6C33">
        <w:t>building standards</w:t>
      </w:r>
      <w:r w:rsidR="005A3D3B">
        <w:t xml:space="preserve"> </w:t>
      </w:r>
      <w:r w:rsidR="00CA56A8">
        <w:t xml:space="preserve">contained in the State Building Standards Code, </w:t>
      </w:r>
      <w:r w:rsidR="005A3D3B">
        <w:t xml:space="preserve">pursuant to </w:t>
      </w:r>
      <w:r w:rsidR="005A3D3B" w:rsidRPr="005A3D3B">
        <w:t>Article 1 (commencing with Section 17960) of Chapter 5 of Part 1.5 of Division 13 of the Health and Safety Code</w:t>
      </w:r>
      <w:r w:rsidR="00CA56A8">
        <w:t>.</w:t>
      </w:r>
      <w:r w:rsidR="005A3D3B">
        <w:t xml:space="preserve"> </w:t>
      </w:r>
      <w:r w:rsidR="00CA56A8">
        <w:t>T</w:t>
      </w:r>
      <w:r w:rsidR="005A3D3B">
        <w:t>he owner can request a delay in enforcement of these standards</w:t>
      </w:r>
      <w:r>
        <w:t xml:space="preserve">. </w:t>
      </w:r>
      <w:r w:rsidR="00506AF6">
        <w:rPr>
          <w:b/>
          <w:bCs/>
        </w:rPr>
        <w:br w:type="page"/>
      </w:r>
    </w:p>
    <w:p w14:paraId="39D21F47" w14:textId="7FCD1B78" w:rsidR="00395C67" w:rsidRDefault="002F1619" w:rsidP="00986B4F">
      <w:pPr>
        <w:pStyle w:val="Heading3"/>
      </w:pPr>
      <w:bookmarkStart w:id="3" w:name="Table2"/>
      <w:bookmarkStart w:id="4" w:name="Table1"/>
      <w:r>
        <w:t xml:space="preserve">Table </w:t>
      </w:r>
      <w:bookmarkEnd w:id="3"/>
      <w:r w:rsidR="00E621AD">
        <w:t>1</w:t>
      </w:r>
      <w:bookmarkEnd w:id="4"/>
      <w:r>
        <w:t xml:space="preserve">: </w:t>
      </w:r>
      <w:r w:rsidR="00506AF6" w:rsidRPr="00506AF6">
        <w:t>Checklist for Local Agency</w:t>
      </w:r>
      <w:r w:rsidR="00E621AD">
        <w:t xml:space="preserve"> or Third-Party Inspection</w:t>
      </w:r>
      <w:r w:rsidR="00704182">
        <w:rPr>
          <w:rStyle w:val="FootnoteReference"/>
        </w:rPr>
        <w:footnoteReference w:id="1"/>
      </w:r>
    </w:p>
    <w:p w14:paraId="25E2F749" w14:textId="7E139C18" w:rsidR="00A4304E" w:rsidRPr="00A4304E" w:rsidRDefault="00A4304E" w:rsidP="00A4304E">
      <w:r>
        <w:t xml:space="preserve">This table describes the conditions that must be corrected prior to being issued a permit.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4"/>
        <w:gridCol w:w="2256"/>
      </w:tblGrid>
      <w:tr w:rsidR="00986B4F" w14:paraId="123D25C8" w14:textId="530D8A71" w:rsidTr="005E3004">
        <w:trPr>
          <w:cantSplit/>
          <w:trHeight w:val="562"/>
          <w:tblHeader/>
        </w:trPr>
        <w:tc>
          <w:tcPr>
            <w:tcW w:w="7094" w:type="dxa"/>
            <w:shd w:val="clear" w:color="auto" w:fill="BFBFBF" w:themeFill="background1" w:themeFillShade="BF"/>
          </w:tcPr>
          <w:p w14:paraId="4399A3D0" w14:textId="212E6972" w:rsidR="00986B4F" w:rsidRPr="00333CD6" w:rsidRDefault="00986B4F" w:rsidP="00C63A70">
            <w:pPr>
              <w:rPr>
                <w:b/>
                <w:bCs/>
              </w:rPr>
            </w:pPr>
            <w:r w:rsidRPr="00333CD6">
              <w:rPr>
                <w:b/>
                <w:bCs/>
              </w:rPr>
              <w:t xml:space="preserve">Health and Safety Standards </w:t>
            </w:r>
          </w:p>
          <w:p w14:paraId="5A6A75FD" w14:textId="30E67769" w:rsidR="009A02FB" w:rsidRPr="009A02FB" w:rsidRDefault="00986B4F" w:rsidP="00C63A70">
            <w:pPr>
              <w:rPr>
                <w:b/>
                <w:bCs/>
              </w:rPr>
            </w:pPr>
            <w:r w:rsidRPr="00333CD6">
              <w:rPr>
                <w:b/>
                <w:bCs/>
              </w:rPr>
              <w:t>(California Health and Safety Code Section 17920.3)</w:t>
            </w:r>
          </w:p>
        </w:tc>
        <w:tc>
          <w:tcPr>
            <w:tcW w:w="2256" w:type="dxa"/>
            <w:shd w:val="clear" w:color="auto" w:fill="BFBFBF" w:themeFill="background1" w:themeFillShade="BF"/>
          </w:tcPr>
          <w:p w14:paraId="4984E558" w14:textId="7D64123B" w:rsidR="00986B4F" w:rsidRPr="00333CD6" w:rsidRDefault="00986B4F" w:rsidP="009A02FB">
            <w:pPr>
              <w:jc w:val="center"/>
              <w:rPr>
                <w:b/>
                <w:bCs/>
              </w:rPr>
            </w:pPr>
            <w:r w:rsidRPr="00333CD6">
              <w:rPr>
                <w:b/>
                <w:bCs/>
              </w:rPr>
              <w:t>Needs Correction? (Yes/No</w:t>
            </w:r>
            <w:r w:rsidR="009A02FB">
              <w:rPr>
                <w:b/>
                <w:bCs/>
              </w:rPr>
              <w:t>/Comments</w:t>
            </w:r>
            <w:r w:rsidRPr="00333CD6">
              <w:rPr>
                <w:b/>
                <w:bCs/>
              </w:rPr>
              <w:t>)</w:t>
            </w:r>
          </w:p>
        </w:tc>
      </w:tr>
      <w:tr w:rsidR="00E621AD" w14:paraId="5C845D56" w14:textId="7324C30C" w:rsidTr="007A272C">
        <w:trPr>
          <w:cantSplit/>
          <w:trHeight w:val="4967"/>
        </w:trPr>
        <w:tc>
          <w:tcPr>
            <w:tcW w:w="7094" w:type="dxa"/>
            <w:shd w:val="clear" w:color="auto" w:fill="F2F2F2" w:themeFill="background1" w:themeFillShade="F2"/>
          </w:tcPr>
          <w:p w14:paraId="7916B0C0" w14:textId="61F9F2FF" w:rsidR="00CC2715" w:rsidRDefault="00CC2715" w:rsidP="00D012A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Sanitation </w:t>
            </w:r>
            <w:r w:rsidR="006A54D8">
              <w:rPr>
                <w:b/>
                <w:bCs/>
              </w:rPr>
              <w:t xml:space="preserve">(Section </w:t>
            </w:r>
            <w:r w:rsidR="00D012A2" w:rsidRPr="00D012A2">
              <w:rPr>
                <w:b/>
                <w:bCs/>
              </w:rPr>
              <w:t>17920.3</w:t>
            </w:r>
            <w:r w:rsidR="00D012A2">
              <w:rPr>
                <w:b/>
                <w:bCs/>
              </w:rPr>
              <w:t>(a)</w:t>
            </w:r>
            <w:r w:rsidR="006A54D8">
              <w:rPr>
                <w:b/>
                <w:bCs/>
              </w:rPr>
              <w:t>)</w:t>
            </w:r>
            <w:r w:rsidR="00D012A2">
              <w:rPr>
                <w:b/>
                <w:bCs/>
              </w:rPr>
              <w:t xml:space="preserve"> </w:t>
            </w:r>
          </w:p>
          <w:p w14:paraId="19935016" w14:textId="171F1537" w:rsidR="00E621AD" w:rsidRPr="003F5CB5" w:rsidRDefault="00A4304E" w:rsidP="00D012A2">
            <w:r w:rsidRPr="00A4304E">
              <w:t>Inadequate sanitation shall include, but not be limited to:</w:t>
            </w:r>
          </w:p>
          <w:p w14:paraId="4398E4A3" w14:textId="15417E25" w:rsidR="00A4304E" w:rsidRPr="00A4304E" w:rsidRDefault="007A66D6" w:rsidP="005E3004">
            <w:pPr>
              <w:pStyle w:val="Bulletstext"/>
            </w:pPr>
            <w:r>
              <w:t>L</w:t>
            </w:r>
            <w:r w:rsidRPr="00A4304E">
              <w:t xml:space="preserve">ack </w:t>
            </w:r>
            <w:r w:rsidR="00A4304E" w:rsidRPr="00A4304E">
              <w:t>of, or improper water closet, lavatory, bathtub or shower.</w:t>
            </w:r>
          </w:p>
          <w:p w14:paraId="12121C46" w14:textId="6B2333E3" w:rsidR="00A4304E" w:rsidRPr="00A4304E" w:rsidRDefault="00A4304E" w:rsidP="005E3004">
            <w:pPr>
              <w:pStyle w:val="Bulletstext"/>
            </w:pPr>
            <w:r w:rsidRPr="00A4304E">
              <w:t>Lack of, or improper kitchen sink.</w:t>
            </w:r>
          </w:p>
          <w:p w14:paraId="597A211A" w14:textId="4CB0C207" w:rsidR="00A4304E" w:rsidRPr="00A4304E" w:rsidRDefault="00A4304E" w:rsidP="005E3004">
            <w:pPr>
              <w:pStyle w:val="Bulletstext"/>
            </w:pPr>
            <w:r w:rsidRPr="00A4304E">
              <w:t>Lack of hot and cold running water to plumbing fixtures.</w:t>
            </w:r>
          </w:p>
          <w:p w14:paraId="499E76F7" w14:textId="77777777" w:rsidR="007A272C" w:rsidRDefault="00A4304E" w:rsidP="005E3004">
            <w:pPr>
              <w:pStyle w:val="Bulletstext"/>
            </w:pPr>
            <w:r w:rsidRPr="00A4304E">
              <w:t>Lack of minimum amounts of natural light and ventilation.</w:t>
            </w:r>
          </w:p>
          <w:p w14:paraId="1FC660CC" w14:textId="79E10C36" w:rsidR="00A4304E" w:rsidRPr="00A4304E" w:rsidRDefault="00A4304E" w:rsidP="005E3004">
            <w:pPr>
              <w:pStyle w:val="Bulletstext"/>
            </w:pPr>
            <w:r w:rsidRPr="00A4304E">
              <w:t>Dampness of habitable rooms.</w:t>
            </w:r>
          </w:p>
          <w:p w14:paraId="187C432F" w14:textId="610E26CB" w:rsidR="00A4304E" w:rsidRPr="00A4304E" w:rsidRDefault="00A4304E" w:rsidP="005E3004">
            <w:pPr>
              <w:pStyle w:val="Bulletstext"/>
            </w:pPr>
            <w:r w:rsidRPr="00A4304E">
              <w:t>Infestation of insects, vermin, or rodents</w:t>
            </w:r>
            <w:r w:rsidR="00CC2715">
              <w:t>.</w:t>
            </w:r>
          </w:p>
          <w:p w14:paraId="722A2A14" w14:textId="5234376B" w:rsidR="00A4304E" w:rsidRPr="00A4304E" w:rsidRDefault="00A4304E" w:rsidP="005E3004">
            <w:pPr>
              <w:pStyle w:val="Bulletstext"/>
            </w:pPr>
            <w:r w:rsidRPr="00A4304E">
              <w:t>Visible mold growth</w:t>
            </w:r>
            <w:r w:rsidR="00CC2715">
              <w:t>.</w:t>
            </w:r>
          </w:p>
          <w:p w14:paraId="569D3075" w14:textId="549F3940" w:rsidR="00A4304E" w:rsidRPr="00A4304E" w:rsidRDefault="00A4304E" w:rsidP="005E3004">
            <w:pPr>
              <w:pStyle w:val="Bulletstext"/>
            </w:pPr>
            <w:r w:rsidRPr="00A4304E">
              <w:t>General dilapidation or improper maintenance.</w:t>
            </w:r>
          </w:p>
          <w:p w14:paraId="6758E79F" w14:textId="7B64257C" w:rsidR="00A4304E" w:rsidRPr="00A4304E" w:rsidRDefault="00A4304E" w:rsidP="005E3004">
            <w:pPr>
              <w:pStyle w:val="Bulletstext"/>
            </w:pPr>
            <w:r w:rsidRPr="00A4304E">
              <w:t>Lack of connection to required sewage disposal system.</w:t>
            </w:r>
          </w:p>
          <w:p w14:paraId="4EDF34CF" w14:textId="43FE781F" w:rsidR="00E621AD" w:rsidRPr="003F5CB5" w:rsidRDefault="00A4304E" w:rsidP="005E3004">
            <w:pPr>
              <w:pStyle w:val="Bulletstext"/>
            </w:pPr>
            <w:r w:rsidRPr="00A4304E">
              <w:t>Lack of adequate garbage and rubbish storage and removal facilities</w:t>
            </w:r>
            <w:r w:rsidR="00CC2715">
              <w:t>.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14:paraId="645B8D88" w14:textId="4777CEAF" w:rsidR="00E621AD" w:rsidRDefault="00E621AD" w:rsidP="00986B4F"/>
        </w:tc>
      </w:tr>
      <w:tr w:rsidR="00986B4F" w14:paraId="1E95993B" w14:textId="428F8AF6" w:rsidTr="005E3004">
        <w:trPr>
          <w:cantSplit/>
          <w:trHeight w:val="7253"/>
        </w:trPr>
        <w:tc>
          <w:tcPr>
            <w:tcW w:w="7094" w:type="dxa"/>
            <w:shd w:val="clear" w:color="auto" w:fill="F2F2F2" w:themeFill="background1" w:themeFillShade="F2"/>
          </w:tcPr>
          <w:p w14:paraId="16A0CA60" w14:textId="39203F81" w:rsidR="006726F2" w:rsidRDefault="004C0811" w:rsidP="004C0811">
            <w:pPr>
              <w:rPr>
                <w:b/>
                <w:bCs/>
              </w:rPr>
            </w:pPr>
            <w:r w:rsidRPr="00CC2715">
              <w:rPr>
                <w:b/>
                <w:bCs/>
              </w:rPr>
              <w:t xml:space="preserve">Structural </w:t>
            </w:r>
            <w:r w:rsidR="006A54D8">
              <w:rPr>
                <w:b/>
                <w:bCs/>
              </w:rPr>
              <w:t xml:space="preserve">(Section </w:t>
            </w:r>
            <w:r w:rsidR="006A54D8" w:rsidRPr="00EE0DB8">
              <w:rPr>
                <w:b/>
                <w:bCs/>
              </w:rPr>
              <w:t>17920.3(b)</w:t>
            </w:r>
            <w:r w:rsidR="00DD40B4">
              <w:rPr>
                <w:b/>
                <w:bCs/>
              </w:rPr>
              <w:t xml:space="preserve"> &amp; (o)</w:t>
            </w:r>
            <w:r w:rsidR="006A54D8">
              <w:rPr>
                <w:b/>
                <w:bCs/>
              </w:rPr>
              <w:t>)</w:t>
            </w:r>
          </w:p>
          <w:p w14:paraId="666DBFEE" w14:textId="049A326C" w:rsidR="006726F2" w:rsidRDefault="00CC2715" w:rsidP="0012434B">
            <w:pPr>
              <w:pStyle w:val="Bulletstext"/>
              <w:numPr>
                <w:ilvl w:val="0"/>
                <w:numId w:val="0"/>
              </w:numPr>
              <w:ind w:left="360" w:hanging="360"/>
            </w:pPr>
            <w:r>
              <w:t>Structural hazards shall include</w:t>
            </w:r>
            <w:r w:rsidR="00986B4F">
              <w:t xml:space="preserve">, but not </w:t>
            </w:r>
            <w:r>
              <w:t xml:space="preserve">be </w:t>
            </w:r>
            <w:r w:rsidR="00986B4F">
              <w:t>limited to</w:t>
            </w:r>
            <w:r w:rsidR="004C0811">
              <w:t>:</w:t>
            </w:r>
          </w:p>
          <w:p w14:paraId="38B7960F" w14:textId="3E3AAF75" w:rsidR="00E621AD" w:rsidRPr="009F0583" w:rsidRDefault="00E621AD" w:rsidP="005E3004">
            <w:pPr>
              <w:pStyle w:val="Bulletstext"/>
              <w:ind w:left="698"/>
            </w:pPr>
            <w:r w:rsidRPr="00C171D7">
              <w:t>Deteriorated or inadequate foundations</w:t>
            </w:r>
            <w:r w:rsidR="004C0811">
              <w:t>.</w:t>
            </w:r>
          </w:p>
          <w:p w14:paraId="760481A2" w14:textId="6C69ED66" w:rsidR="00E621AD" w:rsidRPr="009F0583" w:rsidRDefault="00E621AD" w:rsidP="005E3004">
            <w:pPr>
              <w:pStyle w:val="Bulletstext"/>
              <w:ind w:left="698"/>
            </w:pPr>
            <w:r w:rsidRPr="00E46C49">
              <w:t>Defective or deteriorated flooring or floor supports</w:t>
            </w:r>
            <w:r w:rsidR="004C0811">
              <w:t>.</w:t>
            </w:r>
          </w:p>
          <w:p w14:paraId="25EE08EF" w14:textId="36C5505A" w:rsidR="00E621AD" w:rsidRPr="00C171D7" w:rsidRDefault="00E621AD" w:rsidP="005E3004">
            <w:pPr>
              <w:pStyle w:val="Bulletstext"/>
              <w:ind w:left="698"/>
            </w:pPr>
            <w:r w:rsidRPr="00C171D7">
              <w:t>Flooring or floor supports of insufficient size to carry imposed loads with safety</w:t>
            </w:r>
            <w:r w:rsidR="004C0811">
              <w:t>.</w:t>
            </w:r>
          </w:p>
          <w:p w14:paraId="37D96DA6" w14:textId="4AA84E8F" w:rsidR="00E621AD" w:rsidRPr="00C171D7" w:rsidRDefault="00E621AD" w:rsidP="005E3004">
            <w:pPr>
              <w:pStyle w:val="Bulletstext"/>
              <w:ind w:left="698"/>
            </w:pPr>
            <w:r w:rsidRPr="00C171D7">
              <w:t>Members of walls, partitions, or other vertical supports that split, lean, list, or buckle due to defective material or deterioration</w:t>
            </w:r>
            <w:r w:rsidR="004C0811">
              <w:t>.</w:t>
            </w:r>
          </w:p>
          <w:p w14:paraId="2B505551" w14:textId="35DA90D4" w:rsidR="00E621AD" w:rsidRPr="00C171D7" w:rsidRDefault="00E621AD" w:rsidP="005E3004">
            <w:pPr>
              <w:pStyle w:val="Bulletstext"/>
              <w:ind w:left="698"/>
            </w:pPr>
            <w:r w:rsidRPr="00C171D7">
              <w:t>Members of walls, partitions, or other vertical supports that are of insufficient size to carry imposed loads with safety</w:t>
            </w:r>
            <w:r w:rsidR="004C0811">
              <w:t>.</w:t>
            </w:r>
          </w:p>
          <w:p w14:paraId="43E5E05D" w14:textId="1CF2D66E" w:rsidR="00E621AD" w:rsidRPr="00C171D7" w:rsidRDefault="00E621AD" w:rsidP="005E3004">
            <w:pPr>
              <w:pStyle w:val="Bulletstext"/>
              <w:ind w:left="698"/>
            </w:pPr>
            <w:r w:rsidRPr="00C171D7">
              <w:t>Members of ceilings, roofs, ceiling and roof supports or other horizontal members which sag, split, or buckle due to defective material or deterioration</w:t>
            </w:r>
            <w:r w:rsidR="004C0811">
              <w:t>.</w:t>
            </w:r>
          </w:p>
          <w:p w14:paraId="64DD24C0" w14:textId="2B190364" w:rsidR="00E621AD" w:rsidRPr="00C171D7" w:rsidRDefault="00E621AD" w:rsidP="005E3004">
            <w:pPr>
              <w:pStyle w:val="Bulletstext"/>
              <w:ind w:left="698"/>
            </w:pPr>
            <w:r w:rsidRPr="00C171D7">
              <w:t>Members of ceilings, roofs, ceiling and roof supports, or other horizontal members that are of insufficient size to carry imposed loads with safety</w:t>
            </w:r>
            <w:r w:rsidR="004C0811">
              <w:t>.</w:t>
            </w:r>
          </w:p>
          <w:p w14:paraId="12D7D935" w14:textId="79A3ED77" w:rsidR="00E621AD" w:rsidRPr="00C171D7" w:rsidRDefault="00E621AD" w:rsidP="005E3004">
            <w:pPr>
              <w:pStyle w:val="Bulletstext"/>
              <w:ind w:left="698"/>
            </w:pPr>
            <w:r w:rsidRPr="00C171D7">
              <w:t>Fireplaces or chimneys which list, bulge, or settle, due to defective material or deterioration</w:t>
            </w:r>
            <w:r w:rsidR="004C0811">
              <w:t>.</w:t>
            </w:r>
          </w:p>
          <w:p w14:paraId="28BB580C" w14:textId="2A8CFABB" w:rsidR="00DD40B4" w:rsidRDefault="00E621AD" w:rsidP="005E3004">
            <w:pPr>
              <w:pStyle w:val="Bulletstext"/>
              <w:ind w:left="698"/>
            </w:pPr>
            <w:r w:rsidRPr="00C171D7">
              <w:t>Fireplaces or chimneys which are of insufficient size or strength to carry imposed loads with safety</w:t>
            </w:r>
            <w:r w:rsidR="004C0811">
              <w:t>.</w:t>
            </w:r>
          </w:p>
          <w:p w14:paraId="680F6233" w14:textId="6891E098" w:rsidR="006726F2" w:rsidRPr="003F5CB5" w:rsidRDefault="006726F2" w:rsidP="00EE0DB8">
            <w:pPr>
              <w:pStyle w:val="Bulletstext"/>
              <w:ind w:left="698"/>
            </w:pPr>
            <w:r w:rsidRPr="006726F2">
              <w:t>Inadequate structural resistance to horizontal forces.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14:paraId="17D2D397" w14:textId="5A40F15B" w:rsidR="00986B4F" w:rsidRDefault="00986B4F" w:rsidP="00986B4F"/>
        </w:tc>
      </w:tr>
      <w:tr w:rsidR="00986B4F" w14:paraId="06709E1F" w14:textId="3EB02E2B" w:rsidTr="007A272C">
        <w:trPr>
          <w:cantSplit/>
          <w:trHeight w:val="800"/>
        </w:trPr>
        <w:tc>
          <w:tcPr>
            <w:tcW w:w="7094" w:type="dxa"/>
            <w:shd w:val="clear" w:color="auto" w:fill="F2F2F2" w:themeFill="background1" w:themeFillShade="F2"/>
          </w:tcPr>
          <w:p w14:paraId="5504E1D7" w14:textId="075D1C2A" w:rsidR="005E3004" w:rsidRDefault="00D012A2" w:rsidP="00D012A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Nuisance </w:t>
            </w:r>
            <w:r w:rsidR="00DD40B4">
              <w:rPr>
                <w:b/>
                <w:bCs/>
              </w:rPr>
              <w:t xml:space="preserve">(Section </w:t>
            </w:r>
            <w:r w:rsidRPr="00D012A2">
              <w:rPr>
                <w:b/>
                <w:bCs/>
              </w:rPr>
              <w:t>17920.3</w:t>
            </w:r>
            <w:r>
              <w:rPr>
                <w:b/>
                <w:bCs/>
              </w:rPr>
              <w:t>(c)</w:t>
            </w:r>
            <w:r w:rsidR="00DD40B4">
              <w:rPr>
                <w:b/>
                <w:bCs/>
              </w:rPr>
              <w:t>)</w:t>
            </w:r>
          </w:p>
          <w:p w14:paraId="09AD0C9D" w14:textId="3648C213" w:rsidR="00986B4F" w:rsidRPr="005E3004" w:rsidRDefault="0012434B" w:rsidP="005E3004">
            <w:pPr>
              <w:pStyle w:val="Bulletstext"/>
              <w:rPr>
                <w:b/>
                <w:bCs/>
              </w:rPr>
            </w:pPr>
            <w:r>
              <w:t>T</w:t>
            </w:r>
            <w:r w:rsidR="005E3004">
              <w:t>he unit ha</w:t>
            </w:r>
            <w:r>
              <w:t>s</w:t>
            </w:r>
            <w:r w:rsidR="005E3004">
              <w:t xml:space="preserve"> a </w:t>
            </w:r>
            <w:r w:rsidR="00986B4F">
              <w:t>n</w:t>
            </w:r>
            <w:r w:rsidR="00986B4F" w:rsidRPr="00E46C49">
              <w:t>uisance</w:t>
            </w:r>
            <w:r w:rsidR="003B6A08">
              <w:t>.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14:paraId="07E7F6C0" w14:textId="08780B7A" w:rsidR="00986B4F" w:rsidRDefault="00986B4F" w:rsidP="00986B4F">
            <w:pPr>
              <w:ind w:left="-23"/>
            </w:pPr>
          </w:p>
        </w:tc>
      </w:tr>
      <w:tr w:rsidR="00F71B39" w14:paraId="24C98D3E" w14:textId="68F1D008" w:rsidTr="007A272C">
        <w:trPr>
          <w:cantSplit/>
          <w:trHeight w:val="2141"/>
        </w:trPr>
        <w:tc>
          <w:tcPr>
            <w:tcW w:w="7094" w:type="dxa"/>
            <w:shd w:val="clear" w:color="auto" w:fill="F2F2F2" w:themeFill="background1" w:themeFillShade="F2"/>
          </w:tcPr>
          <w:p w14:paraId="2E198827" w14:textId="1A29DD44" w:rsidR="005E3004" w:rsidRDefault="00D012A2" w:rsidP="00D012A2">
            <w:pPr>
              <w:rPr>
                <w:b/>
                <w:bCs/>
              </w:rPr>
            </w:pPr>
            <w:r w:rsidRPr="00D012A2">
              <w:rPr>
                <w:b/>
                <w:bCs/>
              </w:rPr>
              <w:t>Electrical</w:t>
            </w:r>
            <w:r w:rsidR="005E3004">
              <w:rPr>
                <w:b/>
                <w:bCs/>
              </w:rPr>
              <w:t xml:space="preserve"> </w:t>
            </w:r>
            <w:r w:rsidR="00DD40B4" w:rsidRPr="00DD40B4">
              <w:rPr>
                <w:b/>
                <w:bCs/>
              </w:rPr>
              <w:t xml:space="preserve">(Section </w:t>
            </w:r>
            <w:r w:rsidR="00DD40B4" w:rsidRPr="00944D0B">
              <w:rPr>
                <w:b/>
                <w:bCs/>
              </w:rPr>
              <w:t>17920.3(a)(10) &amp; (d))</w:t>
            </w:r>
          </w:p>
          <w:p w14:paraId="3FA69AC7" w14:textId="30079630" w:rsidR="00CC2715" w:rsidRPr="00D012A2" w:rsidRDefault="00CC2715" w:rsidP="00D012A2">
            <w:pPr>
              <w:rPr>
                <w:b/>
                <w:bCs/>
              </w:rPr>
            </w:pPr>
            <w:r>
              <w:t>Does the unit have:</w:t>
            </w:r>
          </w:p>
          <w:p w14:paraId="21C73974" w14:textId="477A3A3E" w:rsidR="0069250B" w:rsidRDefault="00DD40B4" w:rsidP="005E3004">
            <w:pPr>
              <w:pStyle w:val="Bulletstext"/>
            </w:pPr>
            <w:r>
              <w:t>Wiring that did not conform to all applicable laws in effect at the time of installation</w:t>
            </w:r>
            <w:r w:rsidR="0069250B">
              <w:t>.</w:t>
            </w:r>
          </w:p>
          <w:p w14:paraId="6BF73F1C" w14:textId="177A154F" w:rsidR="00F71B39" w:rsidRPr="00822083" w:rsidRDefault="0069250B" w:rsidP="005E3004">
            <w:pPr>
              <w:pStyle w:val="Bulletstext"/>
            </w:pPr>
            <w:r>
              <w:t>W</w:t>
            </w:r>
            <w:r w:rsidR="00DD40B4">
              <w:t xml:space="preserve">iring </w:t>
            </w:r>
            <w:r>
              <w:t xml:space="preserve">that </w:t>
            </w:r>
            <w:r w:rsidR="00DD40B4">
              <w:t>is not in good and safe condition and working properly.</w:t>
            </w:r>
          </w:p>
          <w:p w14:paraId="59A09E6C" w14:textId="3F1D9C36" w:rsidR="00F71B39" w:rsidRPr="00A87ABA" w:rsidRDefault="00F71B39" w:rsidP="005E3004">
            <w:pPr>
              <w:pStyle w:val="Bulletstext"/>
            </w:pPr>
            <w:r w:rsidRPr="00822083">
              <w:t>Lack of</w:t>
            </w:r>
            <w:r w:rsidR="00DD40B4">
              <w:t xml:space="preserve"> </w:t>
            </w:r>
            <w:r w:rsidRPr="00822083">
              <w:t>required electrical lighting</w:t>
            </w:r>
            <w:r w:rsidR="005E3004">
              <w:t>.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14:paraId="1FC6AA29" w14:textId="005CEB84" w:rsidR="00F71B39" w:rsidRDefault="00F71B39" w:rsidP="00986B4F">
            <w:pPr>
              <w:ind w:left="-23"/>
            </w:pPr>
          </w:p>
        </w:tc>
      </w:tr>
      <w:tr w:rsidR="00986B4F" w14:paraId="594FDDE0" w14:textId="4BAA1E15" w:rsidTr="0012434B">
        <w:trPr>
          <w:cantSplit/>
          <w:trHeight w:val="1673"/>
        </w:trPr>
        <w:tc>
          <w:tcPr>
            <w:tcW w:w="7094" w:type="dxa"/>
            <w:shd w:val="clear" w:color="auto" w:fill="F2F2F2" w:themeFill="background1" w:themeFillShade="F2"/>
          </w:tcPr>
          <w:p w14:paraId="3B138C43" w14:textId="1880A29B" w:rsidR="005E3004" w:rsidRDefault="00C70DF7" w:rsidP="00C70DF7">
            <w:pPr>
              <w:rPr>
                <w:b/>
                <w:bCs/>
              </w:rPr>
            </w:pPr>
            <w:r>
              <w:rPr>
                <w:b/>
                <w:bCs/>
              </w:rPr>
              <w:t>Plumbing</w:t>
            </w:r>
            <w:r w:rsidR="00DD40B4">
              <w:rPr>
                <w:b/>
                <w:bCs/>
              </w:rPr>
              <w:t xml:space="preserve"> (Section</w:t>
            </w:r>
            <w:r w:rsidR="006F36D7">
              <w:rPr>
                <w:b/>
                <w:bCs/>
              </w:rPr>
              <w:t xml:space="preserve"> </w:t>
            </w:r>
            <w:r w:rsidR="00CC2715" w:rsidRPr="00CC2715">
              <w:rPr>
                <w:b/>
                <w:bCs/>
              </w:rPr>
              <w:t>17920.3(e)</w:t>
            </w:r>
            <w:r w:rsidR="00DD40B4">
              <w:rPr>
                <w:b/>
                <w:bCs/>
              </w:rPr>
              <w:t>)</w:t>
            </w:r>
            <w:r w:rsidR="00CC2715">
              <w:rPr>
                <w:b/>
                <w:bCs/>
              </w:rPr>
              <w:t xml:space="preserve"> </w:t>
            </w:r>
          </w:p>
          <w:p w14:paraId="27D687E8" w14:textId="33F31B15" w:rsidR="0069250B" w:rsidRDefault="00CC2715" w:rsidP="005E3004">
            <w:pPr>
              <w:pStyle w:val="Bulletstext"/>
            </w:pPr>
            <w:r w:rsidRPr="00CC2715">
              <w:t>P</w:t>
            </w:r>
            <w:r w:rsidR="00986B4F" w:rsidRPr="00E46C49">
              <w:t>lumbing which did not conform with all applicable laws and regulations in effect at the time of its installation</w:t>
            </w:r>
            <w:r w:rsidR="0069250B">
              <w:t>.</w:t>
            </w:r>
          </w:p>
          <w:p w14:paraId="6AD7BC22" w14:textId="31032AE4" w:rsidR="00986B4F" w:rsidRPr="00A8434C" w:rsidRDefault="0069250B" w:rsidP="005E3004">
            <w:pPr>
              <w:pStyle w:val="Bulletstext"/>
            </w:pPr>
            <w:r>
              <w:t xml:space="preserve">Plumbing which </w:t>
            </w:r>
            <w:r w:rsidR="00986B4F" w:rsidRPr="00E46C49">
              <w:t>has not been maintained in good or safe condition, or has cross-connections and siphonage between fixtures</w:t>
            </w:r>
            <w:r w:rsidR="005C62D4">
              <w:t>.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14:paraId="5850E29F" w14:textId="07C3D02B" w:rsidR="00986B4F" w:rsidRDefault="00986B4F" w:rsidP="00986B4F">
            <w:pPr>
              <w:ind w:left="-23"/>
            </w:pPr>
          </w:p>
        </w:tc>
      </w:tr>
      <w:tr w:rsidR="00F71B39" w14:paraId="3DEB4C49" w14:textId="3212C32E" w:rsidTr="0012434B">
        <w:trPr>
          <w:cantSplit/>
          <w:trHeight w:val="2960"/>
        </w:trPr>
        <w:tc>
          <w:tcPr>
            <w:tcW w:w="7094" w:type="dxa"/>
            <w:shd w:val="clear" w:color="auto" w:fill="F2F2F2" w:themeFill="background1" w:themeFillShade="F2"/>
          </w:tcPr>
          <w:p w14:paraId="251178F4" w14:textId="3FDE58BB" w:rsidR="005E3004" w:rsidRDefault="004C0811" w:rsidP="004C0811">
            <w:pPr>
              <w:rPr>
                <w:b/>
                <w:bCs/>
              </w:rPr>
            </w:pPr>
            <w:r w:rsidRPr="004C0811">
              <w:rPr>
                <w:b/>
                <w:bCs/>
              </w:rPr>
              <w:t xml:space="preserve">Mechanical </w:t>
            </w:r>
            <w:r w:rsidR="00E04884">
              <w:rPr>
                <w:b/>
                <w:bCs/>
              </w:rPr>
              <w:t>(Section 17920.3(a)(6), (a)(7) &amp; (f))</w:t>
            </w:r>
          </w:p>
          <w:p w14:paraId="51ABF90A" w14:textId="310948C8" w:rsidR="00F71B39" w:rsidRPr="00A8434C" w:rsidRDefault="00CC2715" w:rsidP="005E3004">
            <w:pPr>
              <w:pStyle w:val="Bulletstext"/>
            </w:pPr>
            <w:r w:rsidRPr="00CC2715">
              <w:t>M</w:t>
            </w:r>
            <w:r w:rsidR="00F71B39" w:rsidRPr="00E46C49">
              <w:t>echanical equipment, including vents, which did not conform with all applicable laws and regulations in effect at the time of its installation</w:t>
            </w:r>
            <w:r w:rsidR="00BE1C68">
              <w:t>,</w:t>
            </w:r>
            <w:r w:rsidR="00F71B39" w:rsidRPr="00E46C49">
              <w:t xml:space="preserve"> has not been maintained in good and safe condition, or is </w:t>
            </w:r>
            <w:r w:rsidR="00094600">
              <w:t xml:space="preserve">currently </w:t>
            </w:r>
            <w:r w:rsidR="00F71B39" w:rsidRPr="00E46C49">
              <w:t>not</w:t>
            </w:r>
            <w:r w:rsidR="00094600">
              <w:t xml:space="preserve"> in good and safe condition and </w:t>
            </w:r>
            <w:r w:rsidR="00444192">
              <w:t xml:space="preserve">is </w:t>
            </w:r>
            <w:r w:rsidR="00094600">
              <w:t>not working properly</w:t>
            </w:r>
            <w:r w:rsidR="005C62D4">
              <w:t>.</w:t>
            </w:r>
          </w:p>
          <w:p w14:paraId="4D7DD690" w14:textId="278DF8B5" w:rsidR="00F71B39" w:rsidRPr="004213BA" w:rsidRDefault="004C0811" w:rsidP="005E3004">
            <w:pPr>
              <w:pStyle w:val="Bulletstext"/>
            </w:pPr>
            <w:r>
              <w:t>Lack of adequate</w:t>
            </w:r>
            <w:r w:rsidR="00F71B39" w:rsidRPr="004213BA">
              <w:t xml:space="preserve"> heating</w:t>
            </w:r>
            <w:r w:rsidR="00BE1C68">
              <w:t>.</w:t>
            </w:r>
          </w:p>
          <w:p w14:paraId="6B84EFB8" w14:textId="4BE46046" w:rsidR="00F71B39" w:rsidRPr="00A8434C" w:rsidRDefault="004C0811" w:rsidP="005E3004">
            <w:pPr>
              <w:pStyle w:val="Bulletstext"/>
            </w:pPr>
            <w:r>
              <w:t>Lack of, or</w:t>
            </w:r>
            <w:r w:rsidR="00F71B39" w:rsidRPr="004213BA">
              <w:t xml:space="preserve"> </w:t>
            </w:r>
            <w:r>
              <w:t xml:space="preserve">improper operation of required </w:t>
            </w:r>
            <w:r w:rsidR="00F71B39" w:rsidRPr="004213BA">
              <w:t>ventilating equipment</w:t>
            </w:r>
            <w:r w:rsidR="00BE1C68">
              <w:t>.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14:paraId="14D69840" w14:textId="7E15B159" w:rsidR="00F71B39" w:rsidRDefault="00F71B39" w:rsidP="00986B4F">
            <w:pPr>
              <w:ind w:left="-23"/>
            </w:pPr>
          </w:p>
        </w:tc>
      </w:tr>
      <w:tr w:rsidR="00F71B39" w14:paraId="4319785C" w14:textId="5F0F5D2C" w:rsidTr="0012434B">
        <w:trPr>
          <w:cantSplit/>
          <w:trHeight w:val="3851"/>
        </w:trPr>
        <w:tc>
          <w:tcPr>
            <w:tcW w:w="7094" w:type="dxa"/>
            <w:shd w:val="clear" w:color="auto" w:fill="F2F2F2" w:themeFill="background1" w:themeFillShade="F2"/>
          </w:tcPr>
          <w:p w14:paraId="54C2D80B" w14:textId="48C63484" w:rsidR="005E3004" w:rsidRDefault="004C0811" w:rsidP="004C0811">
            <w:pPr>
              <w:rPr>
                <w:b/>
                <w:bCs/>
              </w:rPr>
            </w:pPr>
            <w:r w:rsidRPr="004C0811">
              <w:rPr>
                <w:b/>
                <w:bCs/>
              </w:rPr>
              <w:t>Weather Protection</w:t>
            </w:r>
            <w:r w:rsidR="005C62D4">
              <w:rPr>
                <w:b/>
                <w:bCs/>
              </w:rPr>
              <w:t xml:space="preserve"> (Section </w:t>
            </w:r>
            <w:r w:rsidRPr="00D012A2">
              <w:rPr>
                <w:b/>
                <w:bCs/>
              </w:rPr>
              <w:t>17920.3</w:t>
            </w:r>
            <w:r>
              <w:rPr>
                <w:b/>
                <w:bCs/>
              </w:rPr>
              <w:t>(g)</w:t>
            </w:r>
            <w:r w:rsidR="005C62D4">
              <w:rPr>
                <w:b/>
                <w:bCs/>
              </w:rPr>
              <w:t>)</w:t>
            </w:r>
            <w:r w:rsidR="00CC2715">
              <w:rPr>
                <w:b/>
                <w:bCs/>
              </w:rPr>
              <w:t xml:space="preserve"> </w:t>
            </w:r>
          </w:p>
          <w:p w14:paraId="215217AE" w14:textId="13222095" w:rsidR="00F71B39" w:rsidRPr="004213BA" w:rsidRDefault="00CC2715" w:rsidP="00944D0B">
            <w:r>
              <w:t>F</w:t>
            </w:r>
            <w:r w:rsidR="00F71B39" w:rsidRPr="004213BA">
              <w:t>aulty weather protection, which includes, but is not limited to, the</w:t>
            </w:r>
            <w:r w:rsidR="005C62D4">
              <w:t xml:space="preserve"> </w:t>
            </w:r>
            <w:r w:rsidR="00F71B39" w:rsidRPr="004213BA">
              <w:t>following</w:t>
            </w:r>
            <w:r w:rsidR="005C62D4">
              <w:t>:</w:t>
            </w:r>
          </w:p>
          <w:p w14:paraId="7FBBA3BF" w14:textId="6E223D96" w:rsidR="005E3004" w:rsidRPr="004213BA" w:rsidRDefault="005E3004" w:rsidP="005E3004">
            <w:pPr>
              <w:pStyle w:val="Bulletstext"/>
              <w:numPr>
                <w:ilvl w:val="1"/>
                <w:numId w:val="31"/>
              </w:numPr>
              <w:ind w:left="698"/>
            </w:pPr>
            <w:r>
              <w:t xml:space="preserve">Deteriorated, crumbling or loose plaster. </w:t>
            </w:r>
          </w:p>
          <w:p w14:paraId="274C8BE5" w14:textId="732FDBCE" w:rsidR="00F71B39" w:rsidRPr="004213BA" w:rsidRDefault="00F71B39" w:rsidP="005E3004">
            <w:pPr>
              <w:pStyle w:val="Bulletstext"/>
              <w:numPr>
                <w:ilvl w:val="1"/>
                <w:numId w:val="31"/>
              </w:numPr>
              <w:ind w:left="698"/>
            </w:pPr>
            <w:r w:rsidRPr="004213BA">
              <w:t>Deteriorated or ineffective waterproofing of exterior walls, roof, foundations, or floors, including broken windows or doors</w:t>
            </w:r>
            <w:r w:rsidR="005E3004">
              <w:t>.</w:t>
            </w:r>
          </w:p>
          <w:p w14:paraId="6D5E398C" w14:textId="77777777" w:rsidR="005E3004" w:rsidRDefault="005E3004" w:rsidP="005E3004">
            <w:pPr>
              <w:pStyle w:val="Bulletstext"/>
              <w:numPr>
                <w:ilvl w:val="1"/>
                <w:numId w:val="31"/>
              </w:numPr>
              <w:ind w:left="698"/>
            </w:pPr>
            <w:r w:rsidRPr="005E3004">
              <w:t>Defective or lack of weather protection for exterior wall coverings, including lack of paint, or weathering due to lack of paint or other approved protective covering.</w:t>
            </w:r>
          </w:p>
          <w:p w14:paraId="0C07FF05" w14:textId="52D291CA" w:rsidR="00F71B39" w:rsidRPr="004213BA" w:rsidRDefault="00F71B39" w:rsidP="005E3004">
            <w:pPr>
              <w:pStyle w:val="Bulletstext"/>
              <w:numPr>
                <w:ilvl w:val="1"/>
                <w:numId w:val="31"/>
              </w:numPr>
              <w:ind w:left="698"/>
            </w:pPr>
            <w:r w:rsidRPr="004213BA">
              <w:t>Broken, rotted, split, or buckled exterior wall coverings or roof coverings</w:t>
            </w:r>
            <w:r w:rsidR="005E3004">
              <w:t>.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14:paraId="6B763893" w14:textId="2141A699" w:rsidR="00F71B39" w:rsidRDefault="00F71B39" w:rsidP="00986B4F">
            <w:pPr>
              <w:ind w:left="-23"/>
            </w:pPr>
          </w:p>
        </w:tc>
      </w:tr>
      <w:tr w:rsidR="00986B4F" w14:paraId="0EA7ABC2" w14:textId="46556AF1" w:rsidTr="005E3004">
        <w:trPr>
          <w:cantSplit/>
          <w:trHeight w:val="1952"/>
        </w:trPr>
        <w:tc>
          <w:tcPr>
            <w:tcW w:w="7094" w:type="dxa"/>
            <w:shd w:val="clear" w:color="auto" w:fill="F2F2F2" w:themeFill="background1" w:themeFillShade="F2"/>
          </w:tcPr>
          <w:p w14:paraId="172511FA" w14:textId="071FA4CE" w:rsidR="004C0811" w:rsidRPr="004C0811" w:rsidRDefault="004C0811" w:rsidP="004C0811">
            <w:pPr>
              <w:rPr>
                <w:b/>
                <w:bCs/>
              </w:rPr>
            </w:pPr>
            <w:r>
              <w:rPr>
                <w:b/>
                <w:bCs/>
              </w:rPr>
              <w:t>Fire Hazards</w:t>
            </w:r>
            <w:r w:rsidR="005C62D4">
              <w:rPr>
                <w:b/>
                <w:bCs/>
              </w:rPr>
              <w:t xml:space="preserve"> (Section </w:t>
            </w:r>
            <w:r w:rsidRPr="00D012A2">
              <w:rPr>
                <w:b/>
                <w:bCs/>
              </w:rPr>
              <w:t>17920.3</w:t>
            </w:r>
            <w:r>
              <w:rPr>
                <w:b/>
                <w:bCs/>
              </w:rPr>
              <w:t>(h)</w:t>
            </w:r>
            <w:r w:rsidR="005C62D4">
              <w:rPr>
                <w:b/>
                <w:bCs/>
              </w:rPr>
              <w:t>)</w:t>
            </w:r>
          </w:p>
          <w:p w14:paraId="017975BC" w14:textId="64022D21" w:rsidR="00986B4F" w:rsidRPr="005E3004" w:rsidRDefault="0012434B" w:rsidP="005E3004">
            <w:pPr>
              <w:pStyle w:val="ListParagraph"/>
            </w:pPr>
            <w:r>
              <w:t>T</w:t>
            </w:r>
            <w:r w:rsidR="00986B4F" w:rsidRPr="005E3004">
              <w:t>he building, structure, or portion thereof, ha</w:t>
            </w:r>
            <w:r>
              <w:t>s a</w:t>
            </w:r>
            <w:r w:rsidR="00986B4F" w:rsidRPr="005E3004">
              <w:t xml:space="preserve"> device, apparatus, equipment, combustible waste, or vegetation which is in such a condition as to cause a fire or explosion or provide a ready fuel to augment the spread and intensity of fire or explosion arising from any cause</w:t>
            </w:r>
            <w:r w:rsidR="005C62D4">
              <w:t>.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14:paraId="55F4824E" w14:textId="6EA10F46" w:rsidR="00986B4F" w:rsidRDefault="00986B4F" w:rsidP="00986B4F">
            <w:pPr>
              <w:ind w:left="-23"/>
            </w:pPr>
          </w:p>
        </w:tc>
      </w:tr>
      <w:tr w:rsidR="00986B4F" w14:paraId="773DCE38" w14:textId="2037D39D" w:rsidTr="0012434B">
        <w:trPr>
          <w:cantSplit/>
          <w:trHeight w:val="1673"/>
        </w:trPr>
        <w:tc>
          <w:tcPr>
            <w:tcW w:w="7094" w:type="dxa"/>
            <w:shd w:val="clear" w:color="auto" w:fill="F2F2F2" w:themeFill="background1" w:themeFillShade="F2"/>
          </w:tcPr>
          <w:p w14:paraId="74F41FA5" w14:textId="7836FD9C" w:rsidR="004C0811" w:rsidRPr="004C0811" w:rsidRDefault="004C0811" w:rsidP="004C0811">
            <w:pPr>
              <w:rPr>
                <w:b/>
                <w:bCs/>
              </w:rPr>
            </w:pPr>
            <w:r>
              <w:rPr>
                <w:b/>
                <w:bCs/>
              </w:rPr>
              <w:t>Construction Materials</w:t>
            </w:r>
            <w:r w:rsidR="00C70B33">
              <w:rPr>
                <w:b/>
                <w:bCs/>
              </w:rPr>
              <w:t xml:space="preserve"> (Section</w:t>
            </w:r>
            <w:r>
              <w:rPr>
                <w:b/>
                <w:bCs/>
              </w:rPr>
              <w:t xml:space="preserve"> </w:t>
            </w:r>
            <w:r w:rsidRPr="00D012A2">
              <w:rPr>
                <w:b/>
                <w:bCs/>
              </w:rPr>
              <w:t>17920.3</w:t>
            </w: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>)</w:t>
            </w:r>
            <w:r w:rsidR="00C70B33">
              <w:rPr>
                <w:b/>
                <w:bCs/>
              </w:rPr>
              <w:t>)</w:t>
            </w:r>
          </w:p>
          <w:p w14:paraId="7AF799D1" w14:textId="5CC67EEA" w:rsidR="00BE1C68" w:rsidRDefault="00BE1C68" w:rsidP="004C0811">
            <w:pPr>
              <w:pStyle w:val="Bulletstext"/>
            </w:pPr>
            <w:r>
              <w:t>M</w:t>
            </w:r>
            <w:r w:rsidR="00986B4F" w:rsidRPr="00E46C49">
              <w:t xml:space="preserve">aterials </w:t>
            </w:r>
            <w:r w:rsidR="00986B4F">
              <w:t xml:space="preserve">of </w:t>
            </w:r>
            <w:r w:rsidR="00986B4F" w:rsidRPr="00E46C49">
              <w:t>construction</w:t>
            </w:r>
            <w:r w:rsidR="00986B4F">
              <w:t xml:space="preserve"> used in the unit</w:t>
            </w:r>
            <w:r w:rsidR="00986B4F" w:rsidRPr="00E46C49">
              <w:t xml:space="preserve"> </w:t>
            </w:r>
            <w:r>
              <w:t xml:space="preserve">are </w:t>
            </w:r>
            <w:r w:rsidR="00986B4F" w:rsidRPr="00E46C49">
              <w:t>not</w:t>
            </w:r>
            <w:r w:rsidR="006A38F2">
              <w:t xml:space="preserve"> specifically</w:t>
            </w:r>
            <w:r w:rsidR="00986B4F" w:rsidRPr="00E46C49">
              <w:t xml:space="preserve"> allowed</w:t>
            </w:r>
            <w:r w:rsidR="006A38F2">
              <w:t xml:space="preserve"> by </w:t>
            </w:r>
            <w:r w:rsidR="000121DB">
              <w:t>th</w:t>
            </w:r>
            <w:r w:rsidR="009518EE">
              <w:t>e</w:t>
            </w:r>
            <w:r w:rsidR="000121DB">
              <w:t xml:space="preserve"> </w:t>
            </w:r>
            <w:r w:rsidR="009518EE">
              <w:t xml:space="preserve">Health &amp; Safety </w:t>
            </w:r>
            <w:r w:rsidR="006A38F2">
              <w:t>Code</w:t>
            </w:r>
            <w:r w:rsidR="0012434B">
              <w:t>.</w:t>
            </w:r>
          </w:p>
          <w:p w14:paraId="3039B486" w14:textId="3B122DA0" w:rsidR="00986B4F" w:rsidRPr="00862FCC" w:rsidRDefault="00BE1C68" w:rsidP="004C0811">
            <w:pPr>
              <w:pStyle w:val="Bulletstext"/>
            </w:pPr>
            <w:r>
              <w:t>T</w:t>
            </w:r>
            <w:r w:rsidR="00986B4F">
              <w:t>he unit’s materials o</w:t>
            </w:r>
            <w:r w:rsidR="005C62D4">
              <w:t>f</w:t>
            </w:r>
            <w:r w:rsidR="00986B4F">
              <w:t xml:space="preserve"> construction </w:t>
            </w:r>
            <w:r w:rsidR="005C62D4">
              <w:t xml:space="preserve">have </w:t>
            </w:r>
            <w:r w:rsidR="00986B4F">
              <w:t>n</w:t>
            </w:r>
            <w:r w:rsidR="00986B4F" w:rsidRPr="00537DE8">
              <w:t>ot been adequately maintained in good and safe condition</w:t>
            </w:r>
            <w:r>
              <w:t>.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14:paraId="18BDE962" w14:textId="33D3EC83" w:rsidR="00986B4F" w:rsidRDefault="00986B4F" w:rsidP="00986B4F">
            <w:pPr>
              <w:ind w:left="-23"/>
            </w:pPr>
          </w:p>
        </w:tc>
      </w:tr>
      <w:tr w:rsidR="00986B4F" w14:paraId="4A56E784" w14:textId="48AF02AF" w:rsidTr="00D17E7B">
        <w:trPr>
          <w:cantSplit/>
          <w:trHeight w:val="1673"/>
        </w:trPr>
        <w:tc>
          <w:tcPr>
            <w:tcW w:w="7094" w:type="dxa"/>
            <w:shd w:val="clear" w:color="auto" w:fill="F2F2F2" w:themeFill="background1" w:themeFillShade="F2"/>
          </w:tcPr>
          <w:p w14:paraId="67C2D1B9" w14:textId="6210F263" w:rsidR="005E3004" w:rsidRDefault="00CC2715" w:rsidP="00CC2715">
            <w:pPr>
              <w:rPr>
                <w:b/>
                <w:bCs/>
              </w:rPr>
            </w:pPr>
            <w:r>
              <w:rPr>
                <w:b/>
                <w:bCs/>
              </w:rPr>
              <w:t>Fire, Health or Safety Hazards</w:t>
            </w:r>
            <w:r w:rsidR="00AD1970">
              <w:rPr>
                <w:b/>
                <w:bCs/>
              </w:rPr>
              <w:t xml:space="preserve"> (Section </w:t>
            </w:r>
            <w:r w:rsidRPr="00D012A2">
              <w:rPr>
                <w:b/>
                <w:bCs/>
              </w:rPr>
              <w:t>17920.3</w:t>
            </w:r>
            <w:r>
              <w:rPr>
                <w:b/>
                <w:bCs/>
              </w:rPr>
              <w:t>(</w:t>
            </w:r>
            <w:r w:rsidR="009A02FB">
              <w:rPr>
                <w:b/>
                <w:bCs/>
              </w:rPr>
              <w:t>j</w:t>
            </w:r>
            <w:r>
              <w:rPr>
                <w:b/>
                <w:bCs/>
              </w:rPr>
              <w:t>)</w:t>
            </w:r>
            <w:r w:rsidR="00AD1970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</w:p>
          <w:p w14:paraId="692BEEAE" w14:textId="3C2EB628" w:rsidR="00986B4F" w:rsidRPr="00862FCC" w:rsidRDefault="00CC2715" w:rsidP="005E3004">
            <w:pPr>
              <w:pStyle w:val="Bulletstext"/>
            </w:pPr>
            <w:r>
              <w:t xml:space="preserve">An </w:t>
            </w:r>
            <w:r w:rsidR="00986B4F" w:rsidRPr="00E46C49">
              <w:t xml:space="preserve">accumulation of weeds, vegetation, rubbish, dead organic matter, debris, garbage, offal, rat </w:t>
            </w:r>
            <w:proofErr w:type="gramStart"/>
            <w:r w:rsidR="00986B4F" w:rsidRPr="00E46C49">
              <w:t>harborages</w:t>
            </w:r>
            <w:proofErr w:type="gramEnd"/>
            <w:r w:rsidR="00986B4F" w:rsidRPr="00E46C49">
              <w:t xml:space="preserve">, stagnant water, combustible materials, </w:t>
            </w:r>
            <w:r w:rsidR="00D17E7B">
              <w:t>or</w:t>
            </w:r>
            <w:r w:rsidR="00986B4F" w:rsidRPr="00E46C49">
              <w:t xml:space="preserve"> similar materials or conditions constitute fire, health, or safety hazards</w:t>
            </w:r>
            <w:r w:rsidR="00D17E7B">
              <w:t xml:space="preserve"> on the premises.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14:paraId="7D06C23F" w14:textId="64252FA2" w:rsidR="00986B4F" w:rsidRDefault="00986B4F" w:rsidP="00986B4F">
            <w:pPr>
              <w:ind w:left="-23"/>
            </w:pPr>
          </w:p>
        </w:tc>
      </w:tr>
      <w:tr w:rsidR="006726F2" w14:paraId="60F5BE94" w14:textId="77777777" w:rsidTr="005E3004">
        <w:trPr>
          <w:cantSplit/>
          <w:trHeight w:val="1340"/>
        </w:trPr>
        <w:tc>
          <w:tcPr>
            <w:tcW w:w="7094" w:type="dxa"/>
            <w:shd w:val="clear" w:color="auto" w:fill="F2F2F2" w:themeFill="background1" w:themeFillShade="F2"/>
          </w:tcPr>
          <w:p w14:paraId="453CEBB4" w14:textId="764C178D" w:rsidR="006726F2" w:rsidRDefault="006726F2" w:rsidP="00CC2715">
            <w:pPr>
              <w:rPr>
                <w:b/>
                <w:bCs/>
              </w:rPr>
            </w:pPr>
            <w:r>
              <w:rPr>
                <w:b/>
                <w:bCs/>
              </w:rPr>
              <w:t>Maintenance</w:t>
            </w:r>
            <w:r w:rsidR="00AD1970">
              <w:t xml:space="preserve"> </w:t>
            </w:r>
            <w:r w:rsidR="00AD1970" w:rsidRPr="00944D0B">
              <w:rPr>
                <w:b/>
                <w:bCs/>
              </w:rPr>
              <w:t>(Section</w:t>
            </w:r>
            <w:r w:rsidR="00AD1970">
              <w:t xml:space="preserve"> </w:t>
            </w:r>
            <w:r w:rsidRPr="00D012A2">
              <w:rPr>
                <w:b/>
                <w:bCs/>
              </w:rPr>
              <w:t>17920.3</w:t>
            </w:r>
            <w:r>
              <w:rPr>
                <w:b/>
                <w:bCs/>
              </w:rPr>
              <w:t>(k)</w:t>
            </w:r>
            <w:r w:rsidR="00AD1970">
              <w:rPr>
                <w:b/>
                <w:bCs/>
              </w:rPr>
              <w:t>)</w:t>
            </w:r>
          </w:p>
          <w:p w14:paraId="0DF43B7B" w14:textId="30953301" w:rsidR="006726F2" w:rsidRPr="006726F2" w:rsidRDefault="00BE1C68" w:rsidP="005E3004">
            <w:pPr>
              <w:pStyle w:val="Bulletstext"/>
            </w:pPr>
            <w:r>
              <w:t>The</w:t>
            </w:r>
            <w:r w:rsidR="006726F2">
              <w:t xml:space="preserve"> </w:t>
            </w:r>
            <w:r w:rsidR="006726F2" w:rsidRPr="006726F2">
              <w:t xml:space="preserve">building or portion thereof </w:t>
            </w:r>
            <w:r w:rsidR="00D17E7B">
              <w:t xml:space="preserve">is </w:t>
            </w:r>
            <w:r w:rsidR="006726F2" w:rsidRPr="006726F2">
              <w:t>determined to be an unsafe building due to inadequate maintenance, in accordance with the latest edition of the Uniform Building Code.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14:paraId="6D9AA696" w14:textId="01A15616" w:rsidR="006726F2" w:rsidRDefault="006726F2" w:rsidP="00986B4F">
            <w:pPr>
              <w:ind w:left="-23"/>
            </w:pPr>
          </w:p>
        </w:tc>
      </w:tr>
      <w:tr w:rsidR="00986B4F" w14:paraId="2F5A1F9C" w14:textId="0756E074" w:rsidTr="005E3004">
        <w:trPr>
          <w:cantSplit/>
          <w:trHeight w:val="2330"/>
        </w:trPr>
        <w:tc>
          <w:tcPr>
            <w:tcW w:w="7094" w:type="dxa"/>
            <w:shd w:val="clear" w:color="auto" w:fill="F2F2F2" w:themeFill="background1" w:themeFillShade="F2"/>
          </w:tcPr>
          <w:p w14:paraId="29734E9C" w14:textId="19992B87" w:rsidR="00CC2715" w:rsidRDefault="009A02FB" w:rsidP="00CC2715">
            <w:r w:rsidRPr="009A02FB">
              <w:rPr>
                <w:b/>
                <w:bCs/>
              </w:rPr>
              <w:t>Exit Facilities</w:t>
            </w:r>
            <w:r w:rsidR="00AD1970">
              <w:t xml:space="preserve"> </w:t>
            </w:r>
            <w:r w:rsidR="00AD1970" w:rsidRPr="00944D0B">
              <w:rPr>
                <w:b/>
                <w:bCs/>
              </w:rPr>
              <w:t>(Section</w:t>
            </w:r>
            <w:r w:rsidR="00EE3378">
              <w:rPr>
                <w:b/>
                <w:bCs/>
              </w:rPr>
              <w:t xml:space="preserve">s </w:t>
            </w:r>
            <w:r w:rsidR="00EE3378" w:rsidRPr="00EE3378">
              <w:rPr>
                <w:b/>
                <w:bCs/>
              </w:rPr>
              <w:t>13143.2</w:t>
            </w:r>
            <w:r w:rsidR="00EE3378">
              <w:rPr>
                <w:b/>
                <w:bCs/>
              </w:rPr>
              <w:t xml:space="preserve"> &amp;</w:t>
            </w:r>
            <w:r w:rsidR="00AD1970" w:rsidRPr="00944D0B">
              <w:rPr>
                <w:b/>
                <w:bCs/>
              </w:rPr>
              <w:t xml:space="preserve"> </w:t>
            </w:r>
            <w:r w:rsidRPr="00D012A2">
              <w:rPr>
                <w:b/>
                <w:bCs/>
              </w:rPr>
              <w:t>17920.3</w:t>
            </w:r>
            <w:r>
              <w:rPr>
                <w:b/>
                <w:bCs/>
              </w:rPr>
              <w:t>(l)</w:t>
            </w:r>
            <w:r w:rsidR="00AD1970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</w:p>
          <w:p w14:paraId="4D4DD00D" w14:textId="08752430" w:rsidR="009A02FB" w:rsidRDefault="006726F2" w:rsidP="005E3004">
            <w:pPr>
              <w:pStyle w:val="Bulletstext"/>
            </w:pPr>
            <w:r>
              <w:t>Lack</w:t>
            </w:r>
            <w:r w:rsidR="00BE1C68">
              <w:t>ing</w:t>
            </w:r>
            <w:r>
              <w:t xml:space="preserve"> a</w:t>
            </w:r>
            <w:r w:rsidR="00986B4F" w:rsidRPr="00862FCC">
              <w:t>dequate exit facilities,</w:t>
            </w:r>
            <w:r w:rsidR="00986B4F">
              <w:t xml:space="preserve"> </w:t>
            </w:r>
            <w:proofErr w:type="gramStart"/>
            <w:r w:rsidR="00986B4F">
              <w:t>except</w:t>
            </w:r>
            <w:r w:rsidR="00BE1C68">
              <w:t>ing</w:t>
            </w:r>
            <w:proofErr w:type="gramEnd"/>
            <w:r w:rsidR="00986B4F">
              <w:t xml:space="preserve"> </w:t>
            </w:r>
            <w:r w:rsidR="009A02FB">
              <w:t>those</w:t>
            </w:r>
            <w:r w:rsidR="00986B4F">
              <w:t xml:space="preserve"> building</w:t>
            </w:r>
            <w:r w:rsidR="009A02FB">
              <w:t>s</w:t>
            </w:r>
            <w:r w:rsidR="00986B4F">
              <w:t xml:space="preserve"> or portion</w:t>
            </w:r>
            <w:r w:rsidR="009A02FB">
              <w:t>s</w:t>
            </w:r>
            <w:r w:rsidR="00986B4F">
              <w:t xml:space="preserve"> thereof whose </w:t>
            </w:r>
            <w:r w:rsidR="00986B4F" w:rsidRPr="00862FCC">
              <w:t>exit facilities conform</w:t>
            </w:r>
            <w:r w:rsidR="009A02FB">
              <w:t>ed</w:t>
            </w:r>
            <w:r w:rsidR="00986B4F" w:rsidRPr="00862FCC">
              <w:t xml:space="preserve"> with all applicable laws and regulations at the time of the</w:t>
            </w:r>
            <w:r w:rsidR="00986B4F">
              <w:t xml:space="preserve"> unit’s</w:t>
            </w:r>
            <w:r w:rsidR="00986B4F" w:rsidRPr="00862FCC">
              <w:t xml:space="preserve"> construction</w:t>
            </w:r>
            <w:r>
              <w:t>.</w:t>
            </w:r>
          </w:p>
          <w:p w14:paraId="075F5A63" w14:textId="77777777" w:rsidR="00986B4F" w:rsidRDefault="00BE1C68" w:rsidP="005E3004">
            <w:pPr>
              <w:pStyle w:val="Bulletstext"/>
            </w:pPr>
            <w:r>
              <w:t>E</w:t>
            </w:r>
            <w:r w:rsidR="009A02FB">
              <w:t xml:space="preserve">xit facilities </w:t>
            </w:r>
            <w:r w:rsidR="006726F2">
              <w:t xml:space="preserve">that have not </w:t>
            </w:r>
            <w:r w:rsidR="009A02FB">
              <w:t xml:space="preserve">been maintained </w:t>
            </w:r>
            <w:r w:rsidR="009A02FB" w:rsidRPr="009A02FB">
              <w:t xml:space="preserve">and increased in relation to any increase in </w:t>
            </w:r>
            <w:proofErr w:type="gramStart"/>
            <w:r w:rsidR="009A02FB" w:rsidRPr="009A02FB">
              <w:t>occupant load</w:t>
            </w:r>
            <w:proofErr w:type="gramEnd"/>
            <w:r w:rsidR="009A02FB" w:rsidRPr="009A02FB">
              <w:t>, alteration or addition, or any change in occupancy.</w:t>
            </w:r>
          </w:p>
          <w:p w14:paraId="21CA39E7" w14:textId="7D1EFE21" w:rsidR="00C27F12" w:rsidRPr="00862FCC" w:rsidRDefault="00C27F12" w:rsidP="005E3004">
            <w:pPr>
              <w:pStyle w:val="Bulletstext"/>
            </w:pPr>
            <w:r>
              <w:t>Lacking structural fire safety and fire-resistant exits</w:t>
            </w:r>
            <w:r w:rsidR="00EE3378">
              <w:t xml:space="preserve">, </w:t>
            </w:r>
            <w:r w:rsidR="00574F70">
              <w:t>provided that</w:t>
            </w:r>
            <w:r w:rsidR="00EE3378">
              <w:t xml:space="preserve"> the </w:t>
            </w:r>
            <w:r w:rsidR="00574F70">
              <w:t>ADU/JADU</w:t>
            </w:r>
            <w:r w:rsidR="00EE3378">
              <w:t xml:space="preserve"> </w:t>
            </w:r>
            <w:proofErr w:type="gramStart"/>
            <w:r w:rsidR="00EE3378">
              <w:t>is located in</w:t>
            </w:r>
            <w:proofErr w:type="gramEnd"/>
            <w:r>
              <w:t xml:space="preserve"> </w:t>
            </w:r>
            <w:r w:rsidR="00EE3378">
              <w:t>a</w:t>
            </w:r>
            <w:r>
              <w:t xml:space="preserve"> multiple-story structure that existed on January 1, 1975</w:t>
            </w:r>
            <w:r w:rsidR="00574F70">
              <w:t>,</w:t>
            </w:r>
            <w:r>
              <w:t xml:space="preserve"> </w:t>
            </w:r>
            <w:r w:rsidR="00EE3378">
              <w:t>in which</w:t>
            </w:r>
            <w:r>
              <w:t xml:space="preserve"> rental units are </w:t>
            </w:r>
            <w:r w:rsidR="00EE3378">
              <w:t xml:space="preserve">situated </w:t>
            </w:r>
            <w:r>
              <w:t xml:space="preserve">above the ground floor. 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14:paraId="2AED7578" w14:textId="2570439D" w:rsidR="00986B4F" w:rsidRDefault="00986B4F" w:rsidP="00986B4F">
            <w:pPr>
              <w:ind w:left="-23"/>
            </w:pPr>
          </w:p>
        </w:tc>
      </w:tr>
      <w:tr w:rsidR="00986B4F" w14:paraId="66EB339F" w14:textId="72C04053" w:rsidTr="00D17E7B">
        <w:trPr>
          <w:cantSplit/>
          <w:trHeight w:val="2861"/>
        </w:trPr>
        <w:tc>
          <w:tcPr>
            <w:tcW w:w="7094" w:type="dxa"/>
            <w:shd w:val="clear" w:color="auto" w:fill="F2F2F2" w:themeFill="background1" w:themeFillShade="F2"/>
          </w:tcPr>
          <w:p w14:paraId="68EFF931" w14:textId="203CE6E0" w:rsidR="009A02FB" w:rsidRDefault="006726F2" w:rsidP="009A02FB">
            <w:r w:rsidRPr="009A02FB">
              <w:rPr>
                <w:b/>
                <w:bCs/>
              </w:rPr>
              <w:t>Fire Protection</w:t>
            </w:r>
            <w:r w:rsidR="00864BEA">
              <w:t xml:space="preserve"> </w:t>
            </w:r>
            <w:r w:rsidR="00864BEA" w:rsidRPr="00944D0B">
              <w:rPr>
                <w:b/>
                <w:bCs/>
              </w:rPr>
              <w:t>(Section</w:t>
            </w:r>
            <w:r w:rsidR="00864BEA">
              <w:t xml:space="preserve"> </w:t>
            </w:r>
            <w:r w:rsidRPr="00D012A2">
              <w:rPr>
                <w:b/>
                <w:bCs/>
              </w:rPr>
              <w:t>17920.3</w:t>
            </w:r>
            <w:r>
              <w:rPr>
                <w:b/>
                <w:bCs/>
              </w:rPr>
              <w:t>(m)</w:t>
            </w:r>
            <w:r w:rsidR="00864BEA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</w:p>
          <w:p w14:paraId="61CABAF5" w14:textId="135AECDC" w:rsidR="00986B4F" w:rsidRDefault="006726F2" w:rsidP="005E3004">
            <w:pPr>
              <w:pStyle w:val="Bulletstext"/>
            </w:pPr>
            <w:r>
              <w:t>Lack</w:t>
            </w:r>
            <w:r w:rsidR="00BE1C68">
              <w:t>ing</w:t>
            </w:r>
            <w:r>
              <w:t xml:space="preserve"> f</w:t>
            </w:r>
            <w:r w:rsidR="00986B4F" w:rsidRPr="00862FCC">
              <w:t>ire-resistive construction or fire-extinguishing systems or equipment, except</w:t>
            </w:r>
            <w:r w:rsidR="00986B4F">
              <w:t>ing a</w:t>
            </w:r>
            <w:r w:rsidR="00986B4F" w:rsidRPr="00862FCC">
              <w:t xml:space="preserve"> building, structure, or portion thereof which conformed with all applicable laws and regulations at the time of</w:t>
            </w:r>
            <w:r w:rsidR="00986B4F">
              <w:t xml:space="preserve"> its</w:t>
            </w:r>
            <w:r w:rsidR="00986B4F" w:rsidRPr="00862FCC">
              <w:t xml:space="preserve"> construction</w:t>
            </w:r>
            <w:r>
              <w:t>.</w:t>
            </w:r>
          </w:p>
          <w:p w14:paraId="50BAF9B6" w14:textId="07EDDB92" w:rsidR="009A02FB" w:rsidRPr="00862FCC" w:rsidRDefault="006726F2" w:rsidP="005E3004">
            <w:pPr>
              <w:pStyle w:val="Bulletstext"/>
            </w:pPr>
            <w:r>
              <w:t>Lack</w:t>
            </w:r>
            <w:r w:rsidR="00BE1C68">
              <w:t>ing</w:t>
            </w:r>
            <w:r>
              <w:t xml:space="preserve"> f</w:t>
            </w:r>
            <w:r w:rsidR="009A02FB" w:rsidRPr="009A02FB">
              <w:t xml:space="preserve">ire-resistive integrity and fire-extinguishing systems or equipment </w:t>
            </w:r>
            <w:r w:rsidR="00AD1970">
              <w:t xml:space="preserve">that </w:t>
            </w:r>
            <w:r w:rsidR="009A02FB" w:rsidRPr="009A02FB">
              <w:t>have been adequately maintained and improved in relation to any increase in occupant load, alteration or addition, or any change in occupancy</w:t>
            </w:r>
            <w:r>
              <w:t>.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14:paraId="5470B825" w14:textId="77777777" w:rsidR="00986B4F" w:rsidRDefault="00986B4F" w:rsidP="00986B4F">
            <w:pPr>
              <w:ind w:left="-23"/>
            </w:pPr>
          </w:p>
        </w:tc>
      </w:tr>
      <w:tr w:rsidR="00986B4F" w14:paraId="37365F77" w14:textId="0355575C" w:rsidTr="005E3004">
        <w:trPr>
          <w:cantSplit/>
          <w:trHeight w:val="1340"/>
        </w:trPr>
        <w:tc>
          <w:tcPr>
            <w:tcW w:w="7094" w:type="dxa"/>
            <w:shd w:val="clear" w:color="auto" w:fill="F2F2F2" w:themeFill="background1" w:themeFillShade="F2"/>
          </w:tcPr>
          <w:p w14:paraId="65D3BB61" w14:textId="3B61C7F5" w:rsidR="006726F2" w:rsidRDefault="00864BEA" w:rsidP="006726F2">
            <w:r>
              <w:rPr>
                <w:b/>
                <w:bCs/>
              </w:rPr>
              <w:t xml:space="preserve">Improper </w:t>
            </w:r>
            <w:r w:rsidR="006726F2">
              <w:rPr>
                <w:b/>
                <w:bCs/>
              </w:rPr>
              <w:t>Use</w:t>
            </w:r>
            <w:r>
              <w:rPr>
                <w:b/>
                <w:bCs/>
              </w:rPr>
              <w:t xml:space="preserve"> (Section </w:t>
            </w:r>
            <w:r w:rsidR="006726F2" w:rsidRPr="00D012A2">
              <w:rPr>
                <w:b/>
                <w:bCs/>
              </w:rPr>
              <w:t>17920.3</w:t>
            </w:r>
            <w:r w:rsidR="006726F2">
              <w:rPr>
                <w:b/>
                <w:bCs/>
              </w:rPr>
              <w:t>(n)</w:t>
            </w:r>
            <w:r>
              <w:rPr>
                <w:b/>
                <w:bCs/>
              </w:rPr>
              <w:t>)</w:t>
            </w:r>
          </w:p>
          <w:p w14:paraId="65BD0B19" w14:textId="1A17846A" w:rsidR="00986B4F" w:rsidRPr="00862FCC" w:rsidRDefault="00BE1C68" w:rsidP="005E3004">
            <w:pPr>
              <w:pStyle w:val="Bulletstext"/>
            </w:pPr>
            <w:r>
              <w:t>B</w:t>
            </w:r>
            <w:r w:rsidR="00986B4F" w:rsidRPr="00862FCC">
              <w:t>uildings, structures, or portions thereof occupied for living sleeping, cooking, or dining purposes not designed or intended to be used for those occupancies</w:t>
            </w:r>
            <w:r>
              <w:t>.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14:paraId="7C0517D2" w14:textId="77777777" w:rsidR="00986B4F" w:rsidRDefault="00986B4F" w:rsidP="00986B4F">
            <w:pPr>
              <w:ind w:left="-23"/>
            </w:pPr>
          </w:p>
        </w:tc>
      </w:tr>
      <w:tr w:rsidR="00986B4F" w14:paraId="02BCC292" w14:textId="6A6FC45B" w:rsidTr="007A272C">
        <w:trPr>
          <w:cantSplit/>
          <w:trHeight w:val="809"/>
        </w:trPr>
        <w:tc>
          <w:tcPr>
            <w:tcW w:w="7094" w:type="dxa"/>
            <w:shd w:val="clear" w:color="auto" w:fill="F2F2F2" w:themeFill="background1" w:themeFillShade="F2"/>
          </w:tcPr>
          <w:p w14:paraId="73FC8EC7" w14:textId="7C8039DC" w:rsidR="006726F2" w:rsidRDefault="00D17E7B" w:rsidP="006726F2">
            <w:r>
              <w:rPr>
                <w:b/>
                <w:bCs/>
              </w:rPr>
              <w:t xml:space="preserve">Room and Space </w:t>
            </w:r>
            <w:r w:rsidR="006726F2" w:rsidRPr="006726F2">
              <w:rPr>
                <w:b/>
                <w:bCs/>
              </w:rPr>
              <w:t>Dimensions</w:t>
            </w:r>
            <w:r w:rsidR="00864BEA">
              <w:rPr>
                <w:b/>
                <w:bCs/>
              </w:rPr>
              <w:t xml:space="preserve"> (Section </w:t>
            </w:r>
            <w:r w:rsidR="006726F2" w:rsidRPr="00D012A2">
              <w:rPr>
                <w:b/>
                <w:bCs/>
              </w:rPr>
              <w:t>17920.3</w:t>
            </w:r>
            <w:r w:rsidR="006726F2">
              <w:rPr>
                <w:b/>
                <w:bCs/>
              </w:rPr>
              <w:t>(</w:t>
            </w:r>
            <w:r w:rsidR="000249BF">
              <w:rPr>
                <w:b/>
                <w:bCs/>
              </w:rPr>
              <w:t>a</w:t>
            </w:r>
            <w:r w:rsidR="006726F2">
              <w:rPr>
                <w:b/>
                <w:bCs/>
              </w:rPr>
              <w:t>)</w:t>
            </w:r>
            <w:r w:rsidR="000249BF">
              <w:rPr>
                <w:b/>
                <w:bCs/>
              </w:rPr>
              <w:t>(9</w:t>
            </w:r>
            <w:r w:rsidR="00864BEA">
              <w:rPr>
                <w:b/>
                <w:bCs/>
              </w:rPr>
              <w:t>)</w:t>
            </w:r>
            <w:r w:rsidR="000249BF">
              <w:rPr>
                <w:b/>
                <w:bCs/>
              </w:rPr>
              <w:t>)</w:t>
            </w:r>
            <w:r w:rsidR="006726F2">
              <w:rPr>
                <w:b/>
                <w:bCs/>
              </w:rPr>
              <w:t xml:space="preserve"> </w:t>
            </w:r>
          </w:p>
          <w:p w14:paraId="5A2918DF" w14:textId="63D9C3EF" w:rsidR="00986B4F" w:rsidRPr="005E3004" w:rsidRDefault="000249BF" w:rsidP="007A272C">
            <w:pPr>
              <w:pStyle w:val="Bulletstext"/>
              <w:rPr>
                <w:b/>
                <w:bCs/>
              </w:rPr>
            </w:pPr>
            <w:r>
              <w:t>Room and space dimensions are less than required by code.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14:paraId="5CCCCB92" w14:textId="77777777" w:rsidR="00986B4F" w:rsidRDefault="00986B4F" w:rsidP="00986B4F">
            <w:pPr>
              <w:ind w:left="-23"/>
            </w:pPr>
          </w:p>
        </w:tc>
      </w:tr>
    </w:tbl>
    <w:p w14:paraId="7F90FE31" w14:textId="77777777" w:rsidR="00EF784C" w:rsidRDefault="00EF784C" w:rsidP="00C63A70"/>
    <w:p w14:paraId="361D1138" w14:textId="259DABC8" w:rsidR="00C900D7" w:rsidRPr="00862FCC" w:rsidRDefault="00C900D7" w:rsidP="00F71B39">
      <w:pPr>
        <w:pStyle w:val="Heading2"/>
      </w:pPr>
      <w:r>
        <w:t>For More Information</w:t>
      </w:r>
    </w:p>
    <w:p w14:paraId="2AC5490C" w14:textId="0A318375" w:rsidR="00C11152" w:rsidRPr="00EF784C" w:rsidRDefault="00C900D7" w:rsidP="00C63A70">
      <w:r>
        <w:t xml:space="preserve">Property owners interested in obtaining a permit for an unpermitted ADU or JADU may contact the </w:t>
      </w:r>
      <w:r w:rsidRPr="00E46C49">
        <w:t>[</w:t>
      </w:r>
      <w:r w:rsidRPr="001564CC">
        <w:rPr>
          <w:highlight w:val="yellow"/>
        </w:rPr>
        <w:t>City/</w:t>
      </w:r>
      <w:r>
        <w:rPr>
          <w:highlight w:val="yellow"/>
        </w:rPr>
        <w:t>County/</w:t>
      </w:r>
      <w:r w:rsidRPr="001564CC">
        <w:rPr>
          <w:highlight w:val="yellow"/>
        </w:rPr>
        <w:t>Town of]</w:t>
      </w:r>
      <w:r>
        <w:t xml:space="preserve"> </w:t>
      </w:r>
      <w:r w:rsidRPr="0011300D">
        <w:rPr>
          <w:highlight w:val="yellow"/>
        </w:rPr>
        <w:t>[Building/Community Development</w:t>
      </w:r>
      <w:r w:rsidR="00986B4F">
        <w:rPr>
          <w:highlight w:val="yellow"/>
        </w:rPr>
        <w:t xml:space="preserve"> Department</w:t>
      </w:r>
      <w:r w:rsidRPr="0011300D">
        <w:rPr>
          <w:highlight w:val="yellow"/>
        </w:rPr>
        <w:t>]</w:t>
      </w:r>
      <w:r>
        <w:t xml:space="preserve"> at </w:t>
      </w:r>
      <w:r w:rsidRPr="00C11152">
        <w:rPr>
          <w:highlight w:val="yellow"/>
        </w:rPr>
        <w:t>[phone number/email address]</w:t>
      </w:r>
      <w:r>
        <w:t xml:space="preserve"> with any questions about the process.</w:t>
      </w:r>
    </w:p>
    <w:sectPr w:rsidR="00C11152" w:rsidRPr="00EF784C" w:rsidSect="00B26C6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620" w:right="1440" w:bottom="1440" w:left="1440" w:header="6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52D47" w14:textId="77777777" w:rsidR="007F464E" w:rsidRDefault="007F464E" w:rsidP="002844E7">
      <w:r>
        <w:separator/>
      </w:r>
    </w:p>
  </w:endnote>
  <w:endnote w:type="continuationSeparator" w:id="0">
    <w:p w14:paraId="7865A9EB" w14:textId="77777777" w:rsidR="007F464E" w:rsidRDefault="007F464E" w:rsidP="0028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1576D" w14:textId="77777777" w:rsidR="007A66D6" w:rsidRDefault="007A66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26809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313034" w14:textId="3DE6ED54" w:rsidR="00F71B39" w:rsidRDefault="00F71B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09119B" w14:textId="5E9487F8" w:rsidR="00C11152" w:rsidRPr="00C11152" w:rsidRDefault="00C11152" w:rsidP="002844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3FBFE" w14:textId="77777777" w:rsidR="007A66D6" w:rsidRDefault="007A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19AEA" w14:textId="77777777" w:rsidR="007F464E" w:rsidRDefault="007F464E" w:rsidP="00986B4F">
      <w:r>
        <w:separator/>
      </w:r>
    </w:p>
  </w:footnote>
  <w:footnote w:type="continuationSeparator" w:id="0">
    <w:p w14:paraId="16D287FF" w14:textId="77777777" w:rsidR="007F464E" w:rsidRDefault="007F464E" w:rsidP="002844E7">
      <w:r>
        <w:continuationSeparator/>
      </w:r>
    </w:p>
  </w:footnote>
  <w:footnote w:id="1">
    <w:p w14:paraId="7AA3D07D" w14:textId="63281712" w:rsidR="00704182" w:rsidRDefault="0070418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04182">
        <w:t xml:space="preserve">The list of substandard conditions in Section </w:t>
      </w:r>
      <w:r w:rsidR="008A5A30" w:rsidRPr="008A5A30">
        <w:t>17920.3</w:t>
      </w:r>
      <w:r w:rsidR="008A5A30" w:rsidRPr="008A5A30" w:rsidDel="008A5A30">
        <w:t xml:space="preserve"> </w:t>
      </w:r>
      <w:r w:rsidRPr="00704182">
        <w:t xml:space="preserve">has been reorganized in Table </w:t>
      </w:r>
      <w:r>
        <w:t xml:space="preserve">1 </w:t>
      </w:r>
      <w:r w:rsidRPr="00704182">
        <w:t>for ease of use.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BA202" w14:textId="77777777" w:rsidR="007A66D6" w:rsidRDefault="007A66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D5EB" w14:textId="77777777" w:rsidR="007A66D6" w:rsidRDefault="007A66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CA02B" w14:textId="77777777" w:rsidR="007A66D6" w:rsidRDefault="007A66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13A"/>
    <w:multiLevelType w:val="hybridMultilevel"/>
    <w:tmpl w:val="37AC1A82"/>
    <w:lvl w:ilvl="0" w:tplc="69AC5E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E7561"/>
    <w:multiLevelType w:val="hybridMultilevel"/>
    <w:tmpl w:val="1A301BAC"/>
    <w:lvl w:ilvl="0" w:tplc="69AC5E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95DC9"/>
    <w:multiLevelType w:val="hybridMultilevel"/>
    <w:tmpl w:val="BED2EFC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40A8C"/>
    <w:multiLevelType w:val="hybridMultilevel"/>
    <w:tmpl w:val="C5222920"/>
    <w:lvl w:ilvl="0" w:tplc="70DC0C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16803"/>
    <w:multiLevelType w:val="hybridMultilevel"/>
    <w:tmpl w:val="ED9E6DCA"/>
    <w:lvl w:ilvl="0" w:tplc="69AC5E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135B8"/>
    <w:multiLevelType w:val="hybridMultilevel"/>
    <w:tmpl w:val="3156F606"/>
    <w:lvl w:ilvl="0" w:tplc="1A94F5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9246E"/>
    <w:multiLevelType w:val="hybridMultilevel"/>
    <w:tmpl w:val="8E9C93B8"/>
    <w:lvl w:ilvl="0" w:tplc="1A94F5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43FA3"/>
    <w:multiLevelType w:val="hybridMultilevel"/>
    <w:tmpl w:val="0802A880"/>
    <w:lvl w:ilvl="0" w:tplc="1A94F5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B0A16"/>
    <w:multiLevelType w:val="hybridMultilevel"/>
    <w:tmpl w:val="37C02BEC"/>
    <w:lvl w:ilvl="0" w:tplc="1A94F5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162DD"/>
    <w:multiLevelType w:val="hybridMultilevel"/>
    <w:tmpl w:val="040EE0E8"/>
    <w:lvl w:ilvl="0" w:tplc="69AC5E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F5515"/>
    <w:multiLevelType w:val="hybridMultilevel"/>
    <w:tmpl w:val="C20AA2C6"/>
    <w:lvl w:ilvl="0" w:tplc="69AC5E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91F26"/>
    <w:multiLevelType w:val="hybridMultilevel"/>
    <w:tmpl w:val="CD26D648"/>
    <w:lvl w:ilvl="0" w:tplc="70DC0CE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333F03"/>
    <w:multiLevelType w:val="hybridMultilevel"/>
    <w:tmpl w:val="B8BC72C0"/>
    <w:lvl w:ilvl="0" w:tplc="7D0211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B2F51"/>
    <w:multiLevelType w:val="hybridMultilevel"/>
    <w:tmpl w:val="F56CCFC6"/>
    <w:lvl w:ilvl="0" w:tplc="1A94F5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D78D2"/>
    <w:multiLevelType w:val="hybridMultilevel"/>
    <w:tmpl w:val="CE80AE48"/>
    <w:lvl w:ilvl="0" w:tplc="E48449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80460"/>
    <w:multiLevelType w:val="hybridMultilevel"/>
    <w:tmpl w:val="310AB2EC"/>
    <w:lvl w:ilvl="0" w:tplc="1A94F5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32AE7"/>
    <w:multiLevelType w:val="hybridMultilevel"/>
    <w:tmpl w:val="BED2EFC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84DDA"/>
    <w:multiLevelType w:val="hybridMultilevel"/>
    <w:tmpl w:val="E3CE0E3C"/>
    <w:lvl w:ilvl="0" w:tplc="22580B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53C31"/>
    <w:multiLevelType w:val="hybridMultilevel"/>
    <w:tmpl w:val="CE3C8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94AEC"/>
    <w:multiLevelType w:val="hybridMultilevel"/>
    <w:tmpl w:val="6ECC21A4"/>
    <w:lvl w:ilvl="0" w:tplc="69AC5E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A3A00"/>
    <w:multiLevelType w:val="hybridMultilevel"/>
    <w:tmpl w:val="F282E846"/>
    <w:lvl w:ilvl="0" w:tplc="69AC5E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F545C"/>
    <w:multiLevelType w:val="hybridMultilevel"/>
    <w:tmpl w:val="44E80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312E8"/>
    <w:multiLevelType w:val="hybridMultilevel"/>
    <w:tmpl w:val="BED2EFC8"/>
    <w:lvl w:ilvl="0" w:tplc="1A94F5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25F73"/>
    <w:multiLevelType w:val="hybridMultilevel"/>
    <w:tmpl w:val="7D627678"/>
    <w:lvl w:ilvl="0" w:tplc="1AC6A4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70DC0CE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E7EDA"/>
    <w:multiLevelType w:val="hybridMultilevel"/>
    <w:tmpl w:val="DF460E08"/>
    <w:lvl w:ilvl="0" w:tplc="66867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C6D08"/>
    <w:multiLevelType w:val="hybridMultilevel"/>
    <w:tmpl w:val="7FBCC37C"/>
    <w:lvl w:ilvl="0" w:tplc="F1F25A18">
      <w:start w:val="1"/>
      <w:numFmt w:val="bullet"/>
      <w:pStyle w:val="Bulletstext"/>
      <w:lvlText w:val=""/>
      <w:lvlJc w:val="left"/>
      <w:pPr>
        <w:ind w:left="360" w:hanging="360"/>
      </w:pPr>
      <w:rPr>
        <w:rFonts w:ascii="Symbol" w:hAnsi="Symbol" w:hint="default"/>
        <w:sz w:val="32"/>
      </w:rPr>
    </w:lvl>
    <w:lvl w:ilvl="1" w:tplc="69AC5E6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36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0F3C23"/>
    <w:multiLevelType w:val="hybridMultilevel"/>
    <w:tmpl w:val="8EAA86DC"/>
    <w:lvl w:ilvl="0" w:tplc="1A94F5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B6CFB"/>
    <w:multiLevelType w:val="hybridMultilevel"/>
    <w:tmpl w:val="F0F478F6"/>
    <w:lvl w:ilvl="0" w:tplc="8A6024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E320D"/>
    <w:multiLevelType w:val="hybridMultilevel"/>
    <w:tmpl w:val="ACBAE006"/>
    <w:lvl w:ilvl="0" w:tplc="1A94F5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B4AA2"/>
    <w:multiLevelType w:val="hybridMultilevel"/>
    <w:tmpl w:val="F196BEB6"/>
    <w:lvl w:ilvl="0" w:tplc="1A94F5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A6263"/>
    <w:multiLevelType w:val="hybridMultilevel"/>
    <w:tmpl w:val="81D65C06"/>
    <w:lvl w:ilvl="0" w:tplc="69AC5E64">
      <w:start w:val="1"/>
      <w:numFmt w:val="bullet"/>
      <w:lvlText w:val=""/>
      <w:lvlJc w:val="left"/>
      <w:pPr>
        <w:ind w:left="1058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31" w15:restartNumberingAfterBreak="0">
    <w:nsid w:val="6F2C4382"/>
    <w:multiLevelType w:val="hybridMultilevel"/>
    <w:tmpl w:val="3BB2A374"/>
    <w:lvl w:ilvl="0" w:tplc="1A94F5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B4199"/>
    <w:multiLevelType w:val="hybridMultilevel"/>
    <w:tmpl w:val="BAB411BC"/>
    <w:lvl w:ilvl="0" w:tplc="69AC5E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9470AC"/>
    <w:multiLevelType w:val="hybridMultilevel"/>
    <w:tmpl w:val="1B3884DE"/>
    <w:lvl w:ilvl="0" w:tplc="69AC5E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C4859"/>
    <w:multiLevelType w:val="hybridMultilevel"/>
    <w:tmpl w:val="1AF8129E"/>
    <w:lvl w:ilvl="0" w:tplc="69AC5E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302085">
    <w:abstractNumId w:val="21"/>
  </w:num>
  <w:num w:numId="2" w16cid:durableId="1260218331">
    <w:abstractNumId w:val="23"/>
  </w:num>
  <w:num w:numId="3" w16cid:durableId="531457542">
    <w:abstractNumId w:val="27"/>
  </w:num>
  <w:num w:numId="4" w16cid:durableId="1556429694">
    <w:abstractNumId w:val="22"/>
  </w:num>
  <w:num w:numId="5" w16cid:durableId="1895119783">
    <w:abstractNumId w:val="24"/>
  </w:num>
  <w:num w:numId="6" w16cid:durableId="1133252675">
    <w:abstractNumId w:val="17"/>
  </w:num>
  <w:num w:numId="7" w16cid:durableId="30422380">
    <w:abstractNumId w:val="12"/>
  </w:num>
  <w:num w:numId="8" w16cid:durableId="507839540">
    <w:abstractNumId w:val="14"/>
  </w:num>
  <w:num w:numId="9" w16cid:durableId="379213173">
    <w:abstractNumId w:val="11"/>
  </w:num>
  <w:num w:numId="10" w16cid:durableId="1335915326">
    <w:abstractNumId w:val="3"/>
  </w:num>
  <w:num w:numId="11" w16cid:durableId="756052850">
    <w:abstractNumId w:val="2"/>
  </w:num>
  <w:num w:numId="12" w16cid:durableId="854610747">
    <w:abstractNumId w:val="26"/>
  </w:num>
  <w:num w:numId="13" w16cid:durableId="2060857069">
    <w:abstractNumId w:val="31"/>
  </w:num>
  <w:num w:numId="14" w16cid:durableId="985939459">
    <w:abstractNumId w:val="6"/>
  </w:num>
  <w:num w:numId="15" w16cid:durableId="1619214245">
    <w:abstractNumId w:val="28"/>
  </w:num>
  <w:num w:numId="16" w16cid:durableId="433526161">
    <w:abstractNumId w:val="5"/>
  </w:num>
  <w:num w:numId="17" w16cid:durableId="1045984058">
    <w:abstractNumId w:val="15"/>
  </w:num>
  <w:num w:numId="18" w16cid:durableId="1199708375">
    <w:abstractNumId w:val="8"/>
  </w:num>
  <w:num w:numId="19" w16cid:durableId="300504338">
    <w:abstractNumId w:val="29"/>
  </w:num>
  <w:num w:numId="20" w16cid:durableId="886920065">
    <w:abstractNumId w:val="13"/>
  </w:num>
  <w:num w:numId="21" w16cid:durableId="829834905">
    <w:abstractNumId w:val="7"/>
  </w:num>
  <w:num w:numId="22" w16cid:durableId="361900763">
    <w:abstractNumId w:val="16"/>
  </w:num>
  <w:num w:numId="23" w16cid:durableId="278806202">
    <w:abstractNumId w:val="18"/>
  </w:num>
  <w:num w:numId="24" w16cid:durableId="206450779">
    <w:abstractNumId w:val="19"/>
  </w:num>
  <w:num w:numId="25" w16cid:durableId="1185557977">
    <w:abstractNumId w:val="33"/>
  </w:num>
  <w:num w:numId="26" w16cid:durableId="1273316037">
    <w:abstractNumId w:val="34"/>
  </w:num>
  <w:num w:numId="27" w16cid:durableId="1145005112">
    <w:abstractNumId w:val="20"/>
  </w:num>
  <w:num w:numId="28" w16cid:durableId="1469204910">
    <w:abstractNumId w:val="1"/>
  </w:num>
  <w:num w:numId="29" w16cid:durableId="695235887">
    <w:abstractNumId w:val="30"/>
  </w:num>
  <w:num w:numId="30" w16cid:durableId="22172431">
    <w:abstractNumId w:val="30"/>
    <w:lvlOverride w:ilvl="0">
      <w:startOverride w:val="1"/>
    </w:lvlOverride>
  </w:num>
  <w:num w:numId="31" w16cid:durableId="387264145">
    <w:abstractNumId w:val="25"/>
  </w:num>
  <w:num w:numId="32" w16cid:durableId="295839153">
    <w:abstractNumId w:val="25"/>
    <w:lvlOverride w:ilvl="0">
      <w:startOverride w:val="1"/>
    </w:lvlOverride>
  </w:num>
  <w:num w:numId="33" w16cid:durableId="215315928">
    <w:abstractNumId w:val="10"/>
  </w:num>
  <w:num w:numId="34" w16cid:durableId="1089960728">
    <w:abstractNumId w:val="4"/>
  </w:num>
  <w:num w:numId="35" w16cid:durableId="1841770041">
    <w:abstractNumId w:val="0"/>
  </w:num>
  <w:num w:numId="36" w16cid:durableId="1520311063">
    <w:abstractNumId w:val="32"/>
  </w:num>
  <w:num w:numId="37" w16cid:durableId="2014839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A6"/>
    <w:rsid w:val="00003D7B"/>
    <w:rsid w:val="00004CA6"/>
    <w:rsid w:val="00005032"/>
    <w:rsid w:val="000121DB"/>
    <w:rsid w:val="000249BF"/>
    <w:rsid w:val="000251C7"/>
    <w:rsid w:val="00025926"/>
    <w:rsid w:val="0005059D"/>
    <w:rsid w:val="00056544"/>
    <w:rsid w:val="00061913"/>
    <w:rsid w:val="00071C4C"/>
    <w:rsid w:val="00072E8F"/>
    <w:rsid w:val="0009233F"/>
    <w:rsid w:val="00094600"/>
    <w:rsid w:val="000A4212"/>
    <w:rsid w:val="000B3145"/>
    <w:rsid w:val="000D0F10"/>
    <w:rsid w:val="000D26DB"/>
    <w:rsid w:val="000F2AB2"/>
    <w:rsid w:val="000F3925"/>
    <w:rsid w:val="000F6309"/>
    <w:rsid w:val="0011300D"/>
    <w:rsid w:val="0012434B"/>
    <w:rsid w:val="0012516E"/>
    <w:rsid w:val="00127E2F"/>
    <w:rsid w:val="001345C5"/>
    <w:rsid w:val="001363D7"/>
    <w:rsid w:val="00136A79"/>
    <w:rsid w:val="001564CC"/>
    <w:rsid w:val="00162F01"/>
    <w:rsid w:val="00167202"/>
    <w:rsid w:val="001770D0"/>
    <w:rsid w:val="00182AA0"/>
    <w:rsid w:val="00195481"/>
    <w:rsid w:val="00195D6C"/>
    <w:rsid w:val="001A1FF7"/>
    <w:rsid w:val="001B79C0"/>
    <w:rsid w:val="001D1818"/>
    <w:rsid w:val="001E2FF2"/>
    <w:rsid w:val="001F3A45"/>
    <w:rsid w:val="00204179"/>
    <w:rsid w:val="00223305"/>
    <w:rsid w:val="002739F0"/>
    <w:rsid w:val="002844E7"/>
    <w:rsid w:val="002F1619"/>
    <w:rsid w:val="002F2444"/>
    <w:rsid w:val="00301E7A"/>
    <w:rsid w:val="00301F85"/>
    <w:rsid w:val="003220FD"/>
    <w:rsid w:val="003321E9"/>
    <w:rsid w:val="00333CD6"/>
    <w:rsid w:val="0038099A"/>
    <w:rsid w:val="00385A7E"/>
    <w:rsid w:val="00395C67"/>
    <w:rsid w:val="003B6A08"/>
    <w:rsid w:val="003B6DB9"/>
    <w:rsid w:val="003D58EE"/>
    <w:rsid w:val="003E11C7"/>
    <w:rsid w:val="003E15E8"/>
    <w:rsid w:val="003E3E76"/>
    <w:rsid w:val="003F11E3"/>
    <w:rsid w:val="003F5CB5"/>
    <w:rsid w:val="004003D4"/>
    <w:rsid w:val="00411824"/>
    <w:rsid w:val="00412A5B"/>
    <w:rsid w:val="004213BA"/>
    <w:rsid w:val="00441373"/>
    <w:rsid w:val="00444192"/>
    <w:rsid w:val="0044593B"/>
    <w:rsid w:val="004718E1"/>
    <w:rsid w:val="00473998"/>
    <w:rsid w:val="004C0811"/>
    <w:rsid w:val="004C6C5C"/>
    <w:rsid w:val="004E3302"/>
    <w:rsid w:val="004F1DE6"/>
    <w:rsid w:val="004F2456"/>
    <w:rsid w:val="00506AF6"/>
    <w:rsid w:val="00507F98"/>
    <w:rsid w:val="005113A1"/>
    <w:rsid w:val="00537DE8"/>
    <w:rsid w:val="00547FAF"/>
    <w:rsid w:val="00553591"/>
    <w:rsid w:val="005666FB"/>
    <w:rsid w:val="00573114"/>
    <w:rsid w:val="00574F70"/>
    <w:rsid w:val="005A3D3B"/>
    <w:rsid w:val="005B0467"/>
    <w:rsid w:val="005C373A"/>
    <w:rsid w:val="005C62D4"/>
    <w:rsid w:val="005D1B72"/>
    <w:rsid w:val="005D374B"/>
    <w:rsid w:val="005D5290"/>
    <w:rsid w:val="005E182E"/>
    <w:rsid w:val="005E3004"/>
    <w:rsid w:val="005F4815"/>
    <w:rsid w:val="00645509"/>
    <w:rsid w:val="0066398F"/>
    <w:rsid w:val="0066506B"/>
    <w:rsid w:val="00665558"/>
    <w:rsid w:val="00671E2F"/>
    <w:rsid w:val="006726F2"/>
    <w:rsid w:val="0067733B"/>
    <w:rsid w:val="00682BDE"/>
    <w:rsid w:val="0068302C"/>
    <w:rsid w:val="006915CE"/>
    <w:rsid w:val="006922C3"/>
    <w:rsid w:val="0069250B"/>
    <w:rsid w:val="00692BE0"/>
    <w:rsid w:val="00697588"/>
    <w:rsid w:val="006A041E"/>
    <w:rsid w:val="006A38F2"/>
    <w:rsid w:val="006A54D8"/>
    <w:rsid w:val="006B11FB"/>
    <w:rsid w:val="006C4DFC"/>
    <w:rsid w:val="006F36D7"/>
    <w:rsid w:val="006F6E5C"/>
    <w:rsid w:val="00703651"/>
    <w:rsid w:val="00704182"/>
    <w:rsid w:val="007155B6"/>
    <w:rsid w:val="00734201"/>
    <w:rsid w:val="007368D0"/>
    <w:rsid w:val="007435A3"/>
    <w:rsid w:val="00762AB7"/>
    <w:rsid w:val="00774031"/>
    <w:rsid w:val="00777290"/>
    <w:rsid w:val="007A0095"/>
    <w:rsid w:val="007A272C"/>
    <w:rsid w:val="007A634D"/>
    <w:rsid w:val="007A66D6"/>
    <w:rsid w:val="007B447E"/>
    <w:rsid w:val="007D1244"/>
    <w:rsid w:val="007D2267"/>
    <w:rsid w:val="007D27DB"/>
    <w:rsid w:val="007E6AC1"/>
    <w:rsid w:val="007F464E"/>
    <w:rsid w:val="00822083"/>
    <w:rsid w:val="00846A50"/>
    <w:rsid w:val="008512D8"/>
    <w:rsid w:val="008559FE"/>
    <w:rsid w:val="00862FCC"/>
    <w:rsid w:val="00864BEA"/>
    <w:rsid w:val="00865833"/>
    <w:rsid w:val="0087227C"/>
    <w:rsid w:val="008A0D55"/>
    <w:rsid w:val="008A1375"/>
    <w:rsid w:val="008A3678"/>
    <w:rsid w:val="008A5280"/>
    <w:rsid w:val="008A5A30"/>
    <w:rsid w:val="008A7A39"/>
    <w:rsid w:val="008B393C"/>
    <w:rsid w:val="008B5A04"/>
    <w:rsid w:val="008C3FD2"/>
    <w:rsid w:val="008D6C33"/>
    <w:rsid w:val="008E58DE"/>
    <w:rsid w:val="008E7F79"/>
    <w:rsid w:val="008F71A7"/>
    <w:rsid w:val="0091091E"/>
    <w:rsid w:val="00944D0B"/>
    <w:rsid w:val="009518EE"/>
    <w:rsid w:val="00952CB5"/>
    <w:rsid w:val="00967B3D"/>
    <w:rsid w:val="00971477"/>
    <w:rsid w:val="00986B4F"/>
    <w:rsid w:val="009A02FB"/>
    <w:rsid w:val="009B4780"/>
    <w:rsid w:val="009E2956"/>
    <w:rsid w:val="009E340A"/>
    <w:rsid w:val="009F0583"/>
    <w:rsid w:val="009F0D14"/>
    <w:rsid w:val="009F448E"/>
    <w:rsid w:val="009F71EC"/>
    <w:rsid w:val="00A4304E"/>
    <w:rsid w:val="00A61657"/>
    <w:rsid w:val="00A8434C"/>
    <w:rsid w:val="00A87ABA"/>
    <w:rsid w:val="00A9420D"/>
    <w:rsid w:val="00A968C9"/>
    <w:rsid w:val="00AB3468"/>
    <w:rsid w:val="00AD1970"/>
    <w:rsid w:val="00AD1D01"/>
    <w:rsid w:val="00B14948"/>
    <w:rsid w:val="00B233A2"/>
    <w:rsid w:val="00B26C60"/>
    <w:rsid w:val="00B63EE6"/>
    <w:rsid w:val="00BB3C5F"/>
    <w:rsid w:val="00BB5381"/>
    <w:rsid w:val="00BC7780"/>
    <w:rsid w:val="00BC7ED7"/>
    <w:rsid w:val="00BD1A78"/>
    <w:rsid w:val="00BE1C68"/>
    <w:rsid w:val="00BF51CF"/>
    <w:rsid w:val="00C11152"/>
    <w:rsid w:val="00C13E61"/>
    <w:rsid w:val="00C171D7"/>
    <w:rsid w:val="00C27F12"/>
    <w:rsid w:val="00C34441"/>
    <w:rsid w:val="00C63A70"/>
    <w:rsid w:val="00C70B33"/>
    <w:rsid w:val="00C70DF7"/>
    <w:rsid w:val="00C75195"/>
    <w:rsid w:val="00C900D7"/>
    <w:rsid w:val="00C959AF"/>
    <w:rsid w:val="00CA2CB4"/>
    <w:rsid w:val="00CA56A8"/>
    <w:rsid w:val="00CC2715"/>
    <w:rsid w:val="00CE6F11"/>
    <w:rsid w:val="00D012A2"/>
    <w:rsid w:val="00D028D8"/>
    <w:rsid w:val="00D17E7B"/>
    <w:rsid w:val="00D209E5"/>
    <w:rsid w:val="00D31D1D"/>
    <w:rsid w:val="00D5032C"/>
    <w:rsid w:val="00D54910"/>
    <w:rsid w:val="00D6736D"/>
    <w:rsid w:val="00D96BD6"/>
    <w:rsid w:val="00DA180D"/>
    <w:rsid w:val="00DC58F1"/>
    <w:rsid w:val="00DD40B4"/>
    <w:rsid w:val="00DF0AD7"/>
    <w:rsid w:val="00E04884"/>
    <w:rsid w:val="00E27465"/>
    <w:rsid w:val="00E4258F"/>
    <w:rsid w:val="00E46C49"/>
    <w:rsid w:val="00E57D1D"/>
    <w:rsid w:val="00E621AD"/>
    <w:rsid w:val="00E808D6"/>
    <w:rsid w:val="00E84D4D"/>
    <w:rsid w:val="00E91C12"/>
    <w:rsid w:val="00E95CC0"/>
    <w:rsid w:val="00EA04CA"/>
    <w:rsid w:val="00EA5EA6"/>
    <w:rsid w:val="00EB19BD"/>
    <w:rsid w:val="00EB6AF0"/>
    <w:rsid w:val="00EE0DB8"/>
    <w:rsid w:val="00EE3378"/>
    <w:rsid w:val="00EE34EF"/>
    <w:rsid w:val="00EF784C"/>
    <w:rsid w:val="00F040E3"/>
    <w:rsid w:val="00F13E48"/>
    <w:rsid w:val="00F21010"/>
    <w:rsid w:val="00F30265"/>
    <w:rsid w:val="00F61A2F"/>
    <w:rsid w:val="00F63930"/>
    <w:rsid w:val="00F71B39"/>
    <w:rsid w:val="00F72D28"/>
    <w:rsid w:val="00F81F99"/>
    <w:rsid w:val="00F8211A"/>
    <w:rsid w:val="00FA1ABC"/>
    <w:rsid w:val="00FB7523"/>
    <w:rsid w:val="00FD12C2"/>
    <w:rsid w:val="00FD3024"/>
    <w:rsid w:val="00FD6056"/>
    <w:rsid w:val="00F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259A0"/>
  <w15:chartTrackingRefBased/>
  <w15:docId w15:val="{01BA0417-B56B-4338-B40A-C803F6F8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715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A70"/>
    <w:pPr>
      <w:keepNext/>
      <w:keepLines/>
      <w:spacing w:before="360" w:after="80"/>
      <w:outlineLvl w:val="0"/>
    </w:pPr>
    <w:rPr>
      <w:rFonts w:eastAsia="Arial"/>
      <w:sz w:val="40"/>
      <w:szCs w:val="40"/>
      <w:lang w:val="e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3A70"/>
    <w:pPr>
      <w:keepNext/>
      <w:keepLines/>
      <w:spacing w:before="160" w:after="80"/>
      <w:outlineLvl w:val="1"/>
    </w:pPr>
    <w:rPr>
      <w:rFonts w:eastAsiaTheme="majorEastAsia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6AF6"/>
    <w:pPr>
      <w:keepNext/>
      <w:keepLines/>
      <w:spacing w:before="160" w:after="80"/>
      <w:outlineLvl w:val="2"/>
    </w:pPr>
    <w:rPr>
      <w:rFonts w:eastAsiaTheme="majorEastAsia" w:cstheme="majorBidi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A70"/>
    <w:rPr>
      <w:rFonts w:ascii="Times New Roman" w:eastAsia="Arial" w:hAnsi="Times New Roman" w:cs="Times New Roman"/>
      <w:sz w:val="40"/>
      <w:szCs w:val="4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C63A70"/>
    <w:rPr>
      <w:rFonts w:ascii="Times New Roman" w:eastAsiaTheme="majorEastAsia" w:hAnsi="Times New Roman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6AF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CA6"/>
    <w:rPr>
      <w:i/>
      <w:iCs/>
      <w:color w:val="404040" w:themeColor="text1" w:themeTint="BF"/>
    </w:rPr>
  </w:style>
  <w:style w:type="paragraph" w:styleId="ListParagraph">
    <w:name w:val="List Paragraph"/>
    <w:basedOn w:val="Bulletstext"/>
    <w:uiPriority w:val="34"/>
    <w:qFormat/>
    <w:rsid w:val="005E3004"/>
    <w:pPr>
      <w:spacing w:line="240" w:lineRule="auto"/>
    </w:pPr>
  </w:style>
  <w:style w:type="character" w:styleId="IntenseEmphasis">
    <w:name w:val="Intense Emphasis"/>
    <w:basedOn w:val="DefaultParagraphFont"/>
    <w:uiPriority w:val="21"/>
    <w:qFormat/>
    <w:rsid w:val="00004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C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11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1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11FB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2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2A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2A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AB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F0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AD7"/>
  </w:style>
  <w:style w:type="paragraph" w:styleId="Footer">
    <w:name w:val="footer"/>
    <w:basedOn w:val="Normal"/>
    <w:link w:val="FooterChar"/>
    <w:uiPriority w:val="99"/>
    <w:unhideWhenUsed/>
    <w:rsid w:val="00DF0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AD7"/>
  </w:style>
  <w:style w:type="paragraph" w:styleId="Revision">
    <w:name w:val="Revision"/>
    <w:hidden/>
    <w:uiPriority w:val="99"/>
    <w:semiHidden/>
    <w:rsid w:val="00E57D1D"/>
    <w:pPr>
      <w:spacing w:after="0" w:line="240" w:lineRule="auto"/>
    </w:pPr>
  </w:style>
  <w:style w:type="table" w:styleId="TableGrid">
    <w:name w:val="Table Grid"/>
    <w:basedOn w:val="TableNormal"/>
    <w:uiPriority w:val="39"/>
    <w:rsid w:val="003F5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edtext">
    <w:name w:val="Boxed text"/>
    <w:basedOn w:val="Normal"/>
    <w:qFormat/>
    <w:rsid w:val="00C63A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59" w:lineRule="auto"/>
    </w:pPr>
    <w:rPr>
      <w:rFonts w:cs="Calibri"/>
      <w:kern w:val="0"/>
      <w:sz w:val="22"/>
      <w:szCs w:val="22"/>
      <w14:ligatures w14:val="none"/>
    </w:rPr>
  </w:style>
  <w:style w:type="character" w:customStyle="1" w:styleId="wdyuqq">
    <w:name w:val="wdyuqq"/>
    <w:basedOn w:val="DefaultParagraphFont"/>
    <w:rsid w:val="00C63A70"/>
  </w:style>
  <w:style w:type="table" w:styleId="PlainTable1">
    <w:name w:val="Plain Table 1"/>
    <w:basedOn w:val="TableNormal"/>
    <w:uiPriority w:val="41"/>
    <w:rsid w:val="0097147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">
    <w:name w:val="Grid Table 4"/>
    <w:basedOn w:val="TableNormal"/>
    <w:uiPriority w:val="49"/>
    <w:rsid w:val="00333CD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Bulletstext">
    <w:name w:val="Bullets text"/>
    <w:basedOn w:val="Normal"/>
    <w:rsid w:val="00E621AD"/>
    <w:pPr>
      <w:numPr>
        <w:numId w:val="31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041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4182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41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6435">
          <w:marLeft w:val="6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5409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93221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79386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1249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550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7360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29257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0391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60325">
          <w:marLeft w:val="6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3190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0923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07179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88564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1288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6418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3260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5544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69353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17864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39155">
          <w:marLeft w:val="6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62031">
          <w:marLeft w:val="6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4695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5185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100227">
          <w:marLeft w:val="6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664">
          <w:marLeft w:val="6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0227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56763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49149">
          <w:marLeft w:val="6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2813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20025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19798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09449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71045">
          <w:marLeft w:val="6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709">
          <w:marLeft w:val="6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6602">
          <w:marLeft w:val="6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044">
          <w:marLeft w:val="6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2010">
          <w:marLeft w:val="6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4696">
          <w:marLeft w:val="6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9161">
          <w:marLeft w:val="6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5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8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8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4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8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4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9501">
          <w:marLeft w:val="6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21237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08605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19157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6400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6907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51922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8428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92213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65508">
          <w:marLeft w:val="6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4534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6094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0656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08418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3737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28740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50904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1157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5116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3947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0476">
          <w:marLeft w:val="6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691">
          <w:marLeft w:val="6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1098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8548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10940">
          <w:marLeft w:val="6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4927">
          <w:marLeft w:val="6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9664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19277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15147">
          <w:marLeft w:val="6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9751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19600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10653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3515">
              <w:marLeft w:val="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34578">
          <w:marLeft w:val="6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1464">
          <w:marLeft w:val="6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6612">
          <w:marLeft w:val="6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4687">
          <w:marLeft w:val="6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267">
          <w:marLeft w:val="6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0105">
          <w:marLeft w:val="6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648">
          <w:marLeft w:val="6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abag.ca.gov/technical-assistance/accessory-dwelling-unit-adu-technical-assistance-guidance-memos-state-law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roperties xmlns="http://www.imanage.com/work/xmlschema">
  <documentid>IMANDB!3977868.1</documentid>
  <senderid>ELAPEYROLERIE</senderid>
  <senderemail>ELAPEYROLERIE@GOLDFARBLIPMAN.COM</senderemail>
  <lastmodified>2025-05-07T09:48:00.0000000-07:00</lastmodified>
  <database>IMANDB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B1AB57F2A8B43BC78F724B81138D8" ma:contentTypeVersion="13" ma:contentTypeDescription="Create a new document." ma:contentTypeScope="" ma:versionID="1c4ec8ea868c14e3bfe1167f278ed405">
  <xsd:schema xmlns:xsd="http://www.w3.org/2001/XMLSchema" xmlns:xs="http://www.w3.org/2001/XMLSchema" xmlns:p="http://schemas.microsoft.com/office/2006/metadata/properties" xmlns:ns2="437c4623-e045-4d32-a3c5-986fdca23b03" xmlns:ns3="68255fae-2e4a-41d2-a3b7-31b762e4c54a" targetNamespace="http://schemas.microsoft.com/office/2006/metadata/properties" ma:root="true" ma:fieldsID="b0caf811584eca26db2a05de3bf1699d" ns2:_="" ns3:_="">
    <xsd:import namespace="437c4623-e045-4d32-a3c5-986fdca23b03"/>
    <xsd:import namespace="68255fae-2e4a-41d2-a3b7-31b762e4c5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c4623-e045-4d32-a3c5-986fdca23b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cd0cb3f-5946-44d7-9d7b-f1ee894f69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55fae-2e4a-41d2-a3b7-31b762e4c54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2326c8-e9fd-428d-bfcf-027902efe34b}" ma:internalName="TaxCatchAll" ma:showField="CatchAllData" ma:web="68255fae-2e4a-41d2-a3b7-31b762e4c5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7c4623-e045-4d32-a3c5-986fdca23b03">
      <Terms xmlns="http://schemas.microsoft.com/office/infopath/2007/PartnerControls"/>
    </lcf76f155ced4ddcb4097134ff3c332f>
    <TaxCatchAll xmlns="68255fae-2e4a-41d2-a3b7-31b762e4c54a" xsi:nil="true"/>
  </documentManagement>
</p:properties>
</file>

<file path=customXml/itemProps1.xml><?xml version="1.0" encoding="utf-8"?>
<ds:datastoreItem xmlns:ds="http://schemas.openxmlformats.org/officeDocument/2006/customXml" ds:itemID="{52BAB20B-5239-4D67-82B4-A17C8E57E49F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EC4FE07-7BB4-40CC-A655-140C9B3412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0E01E7-6384-4620-AA7C-4B575866F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c4623-e045-4d32-a3c5-986fdca23b03"/>
    <ds:schemaRef ds:uri="68255fae-2e4a-41d2-a3b7-31b762e4c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04E61D-797A-4ECF-97E5-998E1A42230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C048607-614E-4A74-AF0C-2821C4A4B4E5}">
  <ds:schemaRefs>
    <ds:schemaRef ds:uri="http://schemas.microsoft.com/office/2006/metadata/properties"/>
    <ds:schemaRef ds:uri="http://schemas.microsoft.com/office/infopath/2007/PartnerControls"/>
    <ds:schemaRef ds:uri="437c4623-e045-4d32-a3c5-986fdca23b03"/>
    <ds:schemaRef ds:uri="68255fae-2e4a-41d2-a3b7-31b762e4c5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1732</Words>
  <Characters>9877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Property Owner Guidance for Obtaining Permits for Unpermitted Accessory Dwelling</vt:lpstr>
      <vt:lpstr>    Background</vt:lpstr>
      <vt:lpstr>    Construction Date Documentation</vt:lpstr>
      <vt:lpstr>    Health and Safety Standards</vt:lpstr>
      <vt:lpstr>    Inspecting the ADU/JADU</vt:lpstr>
      <vt:lpstr>        Table 1: Checklist for Local Agency or Third-Party Inspection </vt:lpstr>
      <vt:lpstr>    For More Information</vt:lpstr>
    </vt:vector>
  </TitlesOfParts>
  <Company/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Morgan</dc:creator>
  <cp:keywords/>
  <dc:description/>
  <cp:lastModifiedBy>Clair A. McDevitt</cp:lastModifiedBy>
  <cp:revision>2</cp:revision>
  <dcterms:created xsi:type="dcterms:W3CDTF">2025-07-09T23:13:00Z</dcterms:created>
  <dcterms:modified xsi:type="dcterms:W3CDTF">2025-07-09T23:13:00Z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0x0101000B4B1AB57F2A8B43BC78F724B81138D8</vt:lpwstr>
  </property>
  <property fmtid="{D5CDD505-2E9C-101B-9397-08002B2CF9AE}" pid="3" name="MediaServiceImageTags">
    <vt:lpwstr/>
  </property>
  <property fmtid="{D5CDD505-2E9C-101B-9397-08002B2CF9AE}" pid="4" name="Order">
    <vt:r8>164400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