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1D52" w14:textId="776E9590" w:rsidR="00083096" w:rsidRPr="006F2C67" w:rsidRDefault="005F2DEA" w:rsidP="00083096">
      <w:pPr>
        <w:pStyle w:val="Boxedtext"/>
        <w:rPr>
          <w:rStyle w:val="wdyuqq"/>
          <w:rFonts w:cs="Times New Roman"/>
          <w:color w:val="000000"/>
        </w:rPr>
      </w:pPr>
      <w:bookmarkStart w:id="0" w:name="_Hlk115448018"/>
      <w:r>
        <w:rPr>
          <w:rFonts w:cs="Times New Roman"/>
          <w:b/>
          <w:bCs/>
        </w:rPr>
        <w:t>Disclaimer</w:t>
      </w:r>
      <w:r w:rsidR="00135329" w:rsidRPr="00D671DB">
        <w:rPr>
          <w:rFonts w:cs="Times New Roman"/>
          <w:b/>
          <w:bCs/>
        </w:rPr>
        <w:t>:</w:t>
      </w:r>
      <w:r w:rsidR="00135329" w:rsidRPr="00D671DB">
        <w:rPr>
          <w:rFonts w:cs="Times New Roman"/>
        </w:rPr>
        <w:t xml:space="preserve"> </w:t>
      </w:r>
      <w:bookmarkEnd w:id="0"/>
      <w:r w:rsidRPr="006F2C67">
        <w:rPr>
          <w:rStyle w:val="wdyuqq"/>
          <w:rFonts w:cs="Times New Roman"/>
          <w:color w:val="000000"/>
        </w:rPr>
        <w:t>This document is intended solely as a</w:t>
      </w:r>
      <w:r>
        <w:rPr>
          <w:rStyle w:val="wdyuqq"/>
          <w:rFonts w:cs="Times New Roman"/>
          <w:color w:val="000000"/>
        </w:rPr>
        <w:t xml:space="preserve"> template requirements checklist for staff </w:t>
      </w:r>
      <w:bookmarkStart w:id="1" w:name="_Hlk136872875"/>
      <w:r>
        <w:rPr>
          <w:rStyle w:val="wdyuqq"/>
          <w:rFonts w:cs="Times New Roman"/>
          <w:color w:val="000000"/>
        </w:rPr>
        <w:t xml:space="preserve">to use for review of subdivision and housing development project proposals </w:t>
      </w:r>
      <w:bookmarkEnd w:id="1"/>
      <w:r>
        <w:rPr>
          <w:rStyle w:val="wdyuqq"/>
          <w:rFonts w:cs="Times New Roman"/>
          <w:color w:val="000000"/>
        </w:rPr>
        <w:t xml:space="preserve">for adherence to </w:t>
      </w:r>
      <w:r w:rsidRPr="006F2C67">
        <w:rPr>
          <w:rStyle w:val="wdyuqq"/>
          <w:rFonts w:cs="Times New Roman"/>
          <w:color w:val="000000"/>
        </w:rPr>
        <w:t xml:space="preserve">the provisions of </w:t>
      </w:r>
      <w:r>
        <w:rPr>
          <w:rStyle w:val="wdyuqq"/>
          <w:rFonts w:cs="Times New Roman"/>
          <w:color w:val="000000"/>
        </w:rPr>
        <w:t>SB 684</w:t>
      </w:r>
      <w:r w:rsidRPr="006F2C67">
        <w:rPr>
          <w:rStyle w:val="wdyuqq"/>
          <w:rFonts w:cs="Times New Roman"/>
          <w:color w:val="000000"/>
        </w:rPr>
        <w:t xml:space="preserve"> (202</w:t>
      </w:r>
      <w:r>
        <w:rPr>
          <w:rStyle w:val="wdyuqq"/>
          <w:rFonts w:cs="Times New Roman"/>
          <w:color w:val="000000"/>
        </w:rPr>
        <w:t>3</w:t>
      </w:r>
      <w:r w:rsidRPr="006F2C67">
        <w:rPr>
          <w:rStyle w:val="wdyuqq"/>
          <w:rFonts w:cs="Times New Roman"/>
          <w:color w:val="000000"/>
        </w:rPr>
        <w:t>)</w:t>
      </w:r>
      <w:r w:rsidR="002A3DC7">
        <w:rPr>
          <w:rStyle w:val="wdyuqq"/>
          <w:rFonts w:cs="Times New Roman"/>
          <w:color w:val="000000"/>
        </w:rPr>
        <w:t>, as amended by SB 1123 (2024)</w:t>
      </w:r>
      <w:r w:rsidRPr="006F2C67">
        <w:rPr>
          <w:rStyle w:val="wdyuqq"/>
          <w:rFonts w:cs="Times New Roman"/>
          <w:color w:val="000000"/>
        </w:rPr>
        <w:t>. It is not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w:t>
      </w:r>
      <w:r w:rsidR="00B67545">
        <w:rPr>
          <w:rStyle w:val="wdyuqq"/>
          <w:rFonts w:cs="Times New Roman"/>
          <w:color w:val="000000"/>
        </w:rPr>
        <w:t xml:space="preserve"> </w:t>
      </w:r>
    </w:p>
    <w:p w14:paraId="06061BCD" w14:textId="74C2C165" w:rsidR="00D671DB" w:rsidRPr="00A771FC" w:rsidRDefault="005F2DEA" w:rsidP="006B2B7C">
      <w:pPr>
        <w:pStyle w:val="Heading1"/>
      </w:pPr>
      <w:r w:rsidRPr="006B2B7C">
        <w:rPr>
          <w:highlight w:val="yellow"/>
        </w:rPr>
        <w:t>DRAFT</w:t>
      </w:r>
    </w:p>
    <w:p w14:paraId="542B39C8" w14:textId="6E7E801F" w:rsidR="00135329" w:rsidRPr="00A771FC" w:rsidRDefault="005F2DEA" w:rsidP="006B2B7C">
      <w:pPr>
        <w:pStyle w:val="Heading1"/>
      </w:pPr>
      <w:r w:rsidRPr="00A771FC">
        <w:t>[</w:t>
      </w:r>
      <w:r w:rsidRPr="00A771FC">
        <w:rPr>
          <w:highlight w:val="yellow"/>
        </w:rPr>
        <w:t>CITY/COUNTY</w:t>
      </w:r>
      <w:r w:rsidRPr="00A771FC">
        <w:t xml:space="preserve">] OF </w:t>
      </w:r>
      <w:r w:rsidRPr="00A771FC">
        <w:rPr>
          <w:highlight w:val="yellow"/>
        </w:rPr>
        <w:t>XXX</w:t>
      </w:r>
    </w:p>
    <w:p w14:paraId="40B7DF8C" w14:textId="4F3DBEC5" w:rsidR="00987E78" w:rsidRDefault="005F2DEA" w:rsidP="00903F76">
      <w:pPr>
        <w:pStyle w:val="Heading1"/>
      </w:pPr>
      <w:r w:rsidRPr="00D671DB">
        <w:t xml:space="preserve">SB 684 </w:t>
      </w:r>
      <w:r w:rsidR="002F3216" w:rsidRPr="00D671DB">
        <w:t xml:space="preserve">Small Lot Subdivision </w:t>
      </w:r>
      <w:r w:rsidR="00AD7FA0">
        <w:t xml:space="preserve">and Housing Development </w:t>
      </w:r>
    </w:p>
    <w:p w14:paraId="4C722BEF" w14:textId="6BB53AB0" w:rsidR="00135329" w:rsidRPr="00D671DB" w:rsidRDefault="005F2DEA" w:rsidP="006B2B7C">
      <w:pPr>
        <w:pStyle w:val="Heading1"/>
      </w:pPr>
      <w:r>
        <w:t xml:space="preserve">Application </w:t>
      </w:r>
      <w:r w:rsidR="00987E78">
        <w:t xml:space="preserve">Review </w:t>
      </w:r>
      <w:r w:rsidR="005C12B8">
        <w:t xml:space="preserve">Template </w:t>
      </w:r>
      <w:r w:rsidR="00987E78">
        <w:t>(Internal/Staff Use)</w:t>
      </w:r>
    </w:p>
    <w:p w14:paraId="3C27FB9B" w14:textId="58132BFC" w:rsidR="00B44399" w:rsidRPr="005C12B8" w:rsidRDefault="005F2DEA" w:rsidP="00D466B5">
      <w:pPr>
        <w:jc w:val="center"/>
        <w:rPr>
          <w:b/>
          <w:bCs/>
        </w:rPr>
      </w:pPr>
      <w:r w:rsidRPr="005C12B8">
        <w:rPr>
          <w:rStyle w:val="normaltextrun"/>
          <w:b/>
          <w:bCs/>
        </w:rPr>
        <w:t>Government Code Section</w:t>
      </w:r>
      <w:r w:rsidR="00B1370A" w:rsidRPr="005C12B8">
        <w:rPr>
          <w:rStyle w:val="normaltextrun"/>
          <w:b/>
          <w:bCs/>
        </w:rPr>
        <w:t xml:space="preserve">s </w:t>
      </w:r>
      <w:r w:rsidR="00B1370A" w:rsidRPr="005C12B8">
        <w:rPr>
          <w:b/>
          <w:bCs/>
        </w:rPr>
        <w:t>65852.28, 65913.4.5</w:t>
      </w:r>
      <w:r w:rsidR="00B1370A" w:rsidRPr="005C12B8">
        <w:rPr>
          <w:rStyle w:val="cf01"/>
          <w:b/>
          <w:bCs/>
        </w:rPr>
        <w:t xml:space="preserve"> </w:t>
      </w:r>
      <w:r w:rsidR="00B1370A" w:rsidRPr="005C12B8">
        <w:rPr>
          <w:b/>
          <w:bCs/>
        </w:rPr>
        <w:t>and</w:t>
      </w:r>
      <w:r w:rsidRPr="005C12B8">
        <w:rPr>
          <w:rStyle w:val="normaltextrun"/>
          <w:b/>
          <w:bCs/>
        </w:rPr>
        <w:t xml:space="preserve"> </w:t>
      </w:r>
      <w:r w:rsidR="002F3216" w:rsidRPr="005C12B8">
        <w:rPr>
          <w:rStyle w:val="normaltextrun"/>
          <w:b/>
          <w:bCs/>
        </w:rPr>
        <w:t>66499.41</w:t>
      </w:r>
    </w:p>
    <w:p w14:paraId="11901D9B" w14:textId="4BD7794E" w:rsidR="00FA4980" w:rsidRDefault="005F2DEA" w:rsidP="006B2B7C">
      <w:pPr>
        <w:rPr>
          <w:shd w:val="clear" w:color="auto" w:fill="FFFFFF"/>
        </w:rPr>
      </w:pPr>
      <w:r>
        <w:t>SB 684</w:t>
      </w:r>
      <w:r w:rsidR="00495E95">
        <w:t>, as amended by SB 1123 (2024),</w:t>
      </w:r>
      <w:r>
        <w:t xml:space="preserve"> requires a</w:t>
      </w:r>
      <w:r w:rsidRPr="00A60FD4">
        <w:t xml:space="preserve"> local agency </w:t>
      </w:r>
      <w:r>
        <w:t>to</w:t>
      </w:r>
      <w:r w:rsidRPr="00A60FD4">
        <w:t xml:space="preserve"> ministerially consider, without discretionary review or a hearing, a parcel map or a tentative and final map for a housing development project that meets </w:t>
      </w:r>
      <w:r>
        <w:t>certain</w:t>
      </w:r>
      <w:r w:rsidRPr="00A60FD4">
        <w:t xml:space="preserve"> requirements</w:t>
      </w:r>
      <w:r>
        <w:t xml:space="preserve"> as long as t</w:t>
      </w:r>
      <w:r w:rsidRPr="007F224A">
        <w:rPr>
          <w:rFonts w:eastAsia="Times New Roman" w:cs="Times New Roman"/>
          <w:color w:val="333333"/>
        </w:rPr>
        <w:t>he proposed subdivision will result in 10 or fewer parcels and the housing development project on the lot proposed to be subdivided will contain 10 or fewer residential units.</w:t>
      </w:r>
      <w:r>
        <w:rPr>
          <w:rFonts w:eastAsia="Times New Roman" w:cs="Times New Roman"/>
          <w:color w:val="333333"/>
        </w:rPr>
        <w:t xml:space="preserve"> </w:t>
      </w:r>
      <w:r>
        <w:t>SB 684 can be used within a</w:t>
      </w:r>
      <w:r w:rsidRPr="007F224A">
        <w:rPr>
          <w:rFonts w:eastAsia="Times New Roman"/>
          <w:color w:val="333333"/>
        </w:rPr>
        <w:t>n incorporated city, the boundaries of which include some portion of an urbanized area</w:t>
      </w:r>
      <w:r w:rsidR="00A43EFD">
        <w:rPr>
          <w:rFonts w:eastAsia="Times New Roman"/>
          <w:color w:val="333333"/>
        </w:rPr>
        <w:t>,</w:t>
      </w:r>
      <w:r>
        <w:rPr>
          <w:rFonts w:eastAsia="Times New Roman"/>
          <w:color w:val="333333"/>
        </w:rPr>
        <w:t xml:space="preserve"> or in a</w:t>
      </w:r>
      <w:r w:rsidRPr="007F224A">
        <w:rPr>
          <w:rFonts w:eastAsia="Times New Roman"/>
          <w:color w:val="333333"/>
        </w:rPr>
        <w:t>n urbanized area or urban cluster</w:t>
      </w:r>
      <w:r>
        <w:rPr>
          <w:rStyle w:val="FootnoteReference"/>
          <w:rFonts w:eastAsia="Times New Roman" w:cs="Times New Roman"/>
          <w:color w:val="333333"/>
        </w:rPr>
        <w:footnoteReference w:id="2"/>
      </w:r>
      <w:r w:rsidRPr="007F224A">
        <w:rPr>
          <w:rFonts w:eastAsia="Times New Roman"/>
          <w:color w:val="333333"/>
        </w:rPr>
        <w:t xml:space="preserve"> in a county with a population greater than 600,000 based on the most recent United States Census Bureau data</w:t>
      </w:r>
      <w:r>
        <w:rPr>
          <w:rFonts w:eastAsia="Times New Roman"/>
          <w:color w:val="333333"/>
        </w:rPr>
        <w:t xml:space="preserve">. </w:t>
      </w:r>
      <w:r>
        <w:rPr>
          <w:shd w:val="clear" w:color="auto" w:fill="FFFFFF"/>
        </w:rPr>
        <w:t>I</w:t>
      </w:r>
      <w:r w:rsidRPr="00D671DB">
        <w:rPr>
          <w:shd w:val="clear" w:color="auto" w:fill="FFFFFF"/>
        </w:rPr>
        <w:t>n jurisdictions that have adopted a compliant housing element, SB 684 shall not apply to sites located in a single-family residential horsekeeping zone.</w:t>
      </w:r>
      <w:r>
        <w:rPr>
          <w:shd w:val="clear" w:color="auto" w:fill="FFFFFF"/>
        </w:rPr>
        <w:t xml:space="preserve"> </w:t>
      </w:r>
    </w:p>
    <w:p w14:paraId="63A84F81" w14:textId="6378A98C" w:rsidR="00697FEB" w:rsidRPr="00C24C8C" w:rsidRDefault="005F2DEA" w:rsidP="006B2B7C">
      <w:pPr>
        <w:rPr>
          <w:rFonts w:eastAsia="Times New Roman" w:cs="Times New Roman"/>
          <w:color w:val="333333"/>
        </w:rPr>
      </w:pPr>
      <w:r>
        <w:rPr>
          <w:shd w:val="clear" w:color="auto" w:fill="FFFFFF"/>
        </w:rPr>
        <w:t xml:space="preserve">This updated template is for use on or after July 1, 2025, which is </w:t>
      </w:r>
      <w:r w:rsidR="00C14D24">
        <w:rPr>
          <w:shd w:val="clear" w:color="auto" w:fill="FFFFFF"/>
        </w:rPr>
        <w:t>when</w:t>
      </w:r>
      <w:r>
        <w:rPr>
          <w:shd w:val="clear" w:color="auto" w:fill="FFFFFF"/>
        </w:rPr>
        <w:t xml:space="preserve"> SB 1123 becomes operative.</w:t>
      </w:r>
    </w:p>
    <w:p w14:paraId="4B0AFDA7" w14:textId="77777777" w:rsidR="00987E78" w:rsidRPr="00D671DB" w:rsidRDefault="005F2DEA" w:rsidP="00987E78">
      <w:pPr>
        <w:pStyle w:val="Heading2"/>
      </w:pPr>
      <w:r w:rsidRPr="00D671DB">
        <w:t xml:space="preserve">Project </w:t>
      </w:r>
      <w:r w:rsidRPr="00FA4980">
        <w:t>Information</w:t>
      </w:r>
      <w:r w:rsidRPr="00D671DB">
        <w:t>:</w:t>
      </w:r>
    </w:p>
    <w:tbl>
      <w:tblPr>
        <w:tblStyle w:val="TableGridLight"/>
        <w:tblW w:w="9535" w:type="dxa"/>
        <w:tblLook w:val="0600" w:firstRow="0" w:lastRow="0" w:firstColumn="0" w:lastColumn="0" w:noHBand="1" w:noVBand="1"/>
      </w:tblPr>
      <w:tblGrid>
        <w:gridCol w:w="4045"/>
        <w:gridCol w:w="5490"/>
      </w:tblGrid>
      <w:tr w:rsidR="00A67448" w14:paraId="13BFD92D" w14:textId="77777777" w:rsidTr="008D00C0">
        <w:trPr>
          <w:cantSplit/>
          <w:trHeight w:val="314"/>
          <w:tblHeader/>
        </w:trPr>
        <w:tc>
          <w:tcPr>
            <w:tcW w:w="4045" w:type="dxa"/>
          </w:tcPr>
          <w:p w14:paraId="1898F179" w14:textId="3805EAFD" w:rsidR="008D00C0" w:rsidRPr="000751B2" w:rsidRDefault="005F2DEA" w:rsidP="008D00C0">
            <w:pPr>
              <w:spacing w:after="0"/>
            </w:pPr>
            <w:r w:rsidRPr="00D671DB">
              <w:t>Development proponent/applicant name:</w:t>
            </w:r>
          </w:p>
        </w:tc>
        <w:tc>
          <w:tcPr>
            <w:tcW w:w="5490" w:type="dxa"/>
            <w:vAlign w:val="center"/>
          </w:tcPr>
          <w:p w14:paraId="3E746E7F" w14:textId="77777777" w:rsidR="008D00C0" w:rsidRPr="000751B2" w:rsidRDefault="008D00C0" w:rsidP="008D00C0"/>
        </w:tc>
      </w:tr>
      <w:tr w:rsidR="00A67448" w14:paraId="097AC6BB" w14:textId="77777777" w:rsidTr="008D00C0">
        <w:trPr>
          <w:cantSplit/>
          <w:trHeight w:val="317"/>
        </w:trPr>
        <w:tc>
          <w:tcPr>
            <w:tcW w:w="4045" w:type="dxa"/>
          </w:tcPr>
          <w:p w14:paraId="41FB616C" w14:textId="2514F8F2" w:rsidR="008D00C0" w:rsidRPr="00300E3E" w:rsidRDefault="005F2DEA" w:rsidP="008D00C0">
            <w:pPr>
              <w:spacing w:after="0"/>
            </w:pPr>
            <w:r w:rsidRPr="00D671DB">
              <w:t>Site address(es):</w:t>
            </w:r>
          </w:p>
        </w:tc>
        <w:tc>
          <w:tcPr>
            <w:tcW w:w="5490" w:type="dxa"/>
            <w:vAlign w:val="center"/>
          </w:tcPr>
          <w:p w14:paraId="63D55069" w14:textId="77777777" w:rsidR="008D00C0" w:rsidRPr="000751B2" w:rsidRDefault="008D00C0" w:rsidP="008D00C0">
            <w:pPr>
              <w:rPr>
                <w:b/>
              </w:rPr>
            </w:pPr>
          </w:p>
        </w:tc>
      </w:tr>
      <w:tr w:rsidR="00A67448" w14:paraId="08A49B08" w14:textId="77777777" w:rsidTr="008D00C0">
        <w:trPr>
          <w:cantSplit/>
          <w:trHeight w:val="317"/>
        </w:trPr>
        <w:tc>
          <w:tcPr>
            <w:tcW w:w="4045" w:type="dxa"/>
          </w:tcPr>
          <w:p w14:paraId="200BE88D" w14:textId="0AF32CEA" w:rsidR="008D00C0" w:rsidRPr="00D671DB" w:rsidRDefault="005F2DEA" w:rsidP="008D00C0">
            <w:pPr>
              <w:spacing w:after="0"/>
            </w:pPr>
            <w:r w:rsidRPr="00D671DB">
              <w:t>Assessor's Parcel Number(s) (APN):</w:t>
            </w:r>
          </w:p>
        </w:tc>
        <w:tc>
          <w:tcPr>
            <w:tcW w:w="5490" w:type="dxa"/>
            <w:vAlign w:val="center"/>
          </w:tcPr>
          <w:p w14:paraId="03E5240C" w14:textId="77777777" w:rsidR="008D00C0" w:rsidRPr="000751B2" w:rsidRDefault="008D00C0" w:rsidP="008D00C0">
            <w:pPr>
              <w:rPr>
                <w:b/>
              </w:rPr>
            </w:pPr>
          </w:p>
        </w:tc>
      </w:tr>
      <w:tr w:rsidR="00A67448" w14:paraId="32171124" w14:textId="77777777" w:rsidTr="008D00C0">
        <w:trPr>
          <w:cantSplit/>
          <w:trHeight w:val="413"/>
        </w:trPr>
        <w:tc>
          <w:tcPr>
            <w:tcW w:w="4045" w:type="dxa"/>
          </w:tcPr>
          <w:p w14:paraId="32E3623F" w14:textId="7099CA34" w:rsidR="008D00C0" w:rsidRPr="00D671DB" w:rsidRDefault="005F2DEA" w:rsidP="008D00C0">
            <w:pPr>
              <w:spacing w:after="0"/>
            </w:pPr>
            <w:r w:rsidRPr="00D671DB">
              <w:lastRenderedPageBreak/>
              <w:t>Parcel zoning designation</w:t>
            </w:r>
          </w:p>
        </w:tc>
        <w:tc>
          <w:tcPr>
            <w:tcW w:w="5490" w:type="dxa"/>
            <w:vAlign w:val="center"/>
          </w:tcPr>
          <w:p w14:paraId="583CDDD5" w14:textId="77777777" w:rsidR="008D00C0" w:rsidRPr="000751B2" w:rsidRDefault="008D00C0" w:rsidP="008D00C0">
            <w:pPr>
              <w:rPr>
                <w:b/>
              </w:rPr>
            </w:pPr>
          </w:p>
        </w:tc>
      </w:tr>
      <w:tr w:rsidR="00A67448" w14:paraId="14C97034" w14:textId="77777777" w:rsidTr="001473EB">
        <w:trPr>
          <w:cantSplit/>
          <w:trHeight w:val="503"/>
        </w:trPr>
        <w:tc>
          <w:tcPr>
            <w:tcW w:w="4045" w:type="dxa"/>
          </w:tcPr>
          <w:p w14:paraId="2C847A9A" w14:textId="3FB9D18B" w:rsidR="008D00C0" w:rsidRPr="00D671DB" w:rsidRDefault="005F2DEA" w:rsidP="008D00C0">
            <w:pPr>
              <w:spacing w:after="0"/>
            </w:pPr>
            <w:r w:rsidRPr="00D671DB">
              <w:t>Zoning designation(s) for adjacent uses</w:t>
            </w:r>
            <w:r>
              <w:rPr>
                <w:rStyle w:val="FootnoteReference"/>
                <w:rFonts w:cs="Times New Roman"/>
              </w:rPr>
              <w:footnoteReference w:id="3"/>
            </w:r>
          </w:p>
        </w:tc>
        <w:tc>
          <w:tcPr>
            <w:tcW w:w="5490" w:type="dxa"/>
            <w:vAlign w:val="center"/>
          </w:tcPr>
          <w:p w14:paraId="716041CE" w14:textId="77777777" w:rsidR="008D00C0" w:rsidRPr="000751B2" w:rsidRDefault="008D00C0" w:rsidP="008D00C0">
            <w:pPr>
              <w:rPr>
                <w:b/>
              </w:rPr>
            </w:pPr>
          </w:p>
        </w:tc>
      </w:tr>
      <w:tr w:rsidR="00A67448" w14:paraId="434AAE6A" w14:textId="77777777" w:rsidTr="008D00C0">
        <w:trPr>
          <w:cantSplit/>
          <w:trHeight w:val="2231"/>
        </w:trPr>
        <w:tc>
          <w:tcPr>
            <w:tcW w:w="4045" w:type="dxa"/>
          </w:tcPr>
          <w:p w14:paraId="406F61A6" w14:textId="2781DA7A" w:rsidR="008D00C0" w:rsidRPr="00D671DB" w:rsidRDefault="005F2DEA" w:rsidP="008D00C0">
            <w:pPr>
              <w:spacing w:after="0"/>
            </w:pPr>
            <w:r w:rsidRPr="00D671DB">
              <w:t>Project Proposal (short description):</w:t>
            </w:r>
          </w:p>
        </w:tc>
        <w:tc>
          <w:tcPr>
            <w:tcW w:w="5490" w:type="dxa"/>
            <w:vAlign w:val="center"/>
          </w:tcPr>
          <w:p w14:paraId="0C01FCC4" w14:textId="69DB9221" w:rsidR="008D00C0" w:rsidRPr="000751B2" w:rsidRDefault="008D00C0" w:rsidP="008D00C0">
            <w:pPr>
              <w:rPr>
                <w:b/>
              </w:rPr>
            </w:pPr>
          </w:p>
        </w:tc>
      </w:tr>
    </w:tbl>
    <w:p w14:paraId="6352A8F9" w14:textId="306E1298" w:rsidR="00987E78" w:rsidRPr="00D671DB" w:rsidRDefault="00987E78" w:rsidP="008D00C0"/>
    <w:p w14:paraId="20ABD5F7" w14:textId="305CBFDE" w:rsidR="00FA4980" w:rsidRDefault="005F2DEA" w:rsidP="00FA4980">
      <w:pPr>
        <w:pStyle w:val="Heading2"/>
      </w:pPr>
      <w:r>
        <w:t>Application Review Timeline</w:t>
      </w:r>
    </w:p>
    <w:p w14:paraId="48D436F4" w14:textId="44327236" w:rsidR="00FA4980" w:rsidRDefault="005F2DEA" w:rsidP="00FA4980">
      <w:pPr>
        <w:rPr>
          <w:rFonts w:ascii="inherit" w:eastAsia="Times New Roman" w:hAnsi="inherit"/>
          <w:color w:val="333333"/>
        </w:rPr>
      </w:pPr>
      <w:r w:rsidRPr="00D671DB">
        <w:t xml:space="preserve">Within </w:t>
      </w:r>
      <w:r w:rsidRPr="00FA4980">
        <w:rPr>
          <w:b/>
          <w:bCs/>
        </w:rPr>
        <w:t>sixty days</w:t>
      </w:r>
      <w:r w:rsidRPr="00D671DB">
        <w:t xml:space="preserve"> from the receipt of a complete application, the </w:t>
      </w:r>
      <w:r>
        <w:t>[</w:t>
      </w:r>
      <w:r w:rsidRPr="009A4DEE">
        <w:rPr>
          <w:highlight w:val="yellow"/>
        </w:rPr>
        <w:t>Director</w:t>
      </w:r>
      <w:r>
        <w:t>]</w:t>
      </w:r>
      <w:r w:rsidRPr="00D671DB">
        <w:t xml:space="preserve"> shall determine if the housing development project meets </w:t>
      </w:r>
      <w:proofErr w:type="gramStart"/>
      <w:r w:rsidRPr="00D671DB">
        <w:t xml:space="preserve">all </w:t>
      </w:r>
      <w:r w:rsidR="00A43EFD">
        <w:t>of</w:t>
      </w:r>
      <w:proofErr w:type="gramEnd"/>
      <w:r w:rsidR="00A43EFD">
        <w:t xml:space="preserve"> </w:t>
      </w:r>
      <w:r w:rsidRPr="00D671DB">
        <w:t xml:space="preserve">the following requirements listed in </w:t>
      </w:r>
      <w:r>
        <w:t>the checklist tables below</w:t>
      </w:r>
      <w:r w:rsidRPr="00D671DB">
        <w:t>.</w:t>
      </w:r>
      <w:r>
        <w:t xml:space="preserve"> </w:t>
      </w:r>
      <w:r w:rsidRPr="006E182B">
        <w:t>If the local agency does not approve or deny a completed application within 60 days, the application shall be deemed approved.</w:t>
      </w:r>
      <w:r w:rsidRPr="006E182B">
        <w:rPr>
          <w:rFonts w:ascii="inherit" w:eastAsia="Times New Roman" w:hAnsi="inherit"/>
          <w:color w:val="333333"/>
        </w:rPr>
        <w:t xml:space="preserve"> </w:t>
      </w:r>
    </w:p>
    <w:p w14:paraId="3A96CFB2" w14:textId="411376DF" w:rsidR="009D18D1" w:rsidRDefault="005F2DEA" w:rsidP="00044C8A">
      <w:pPr>
        <w:pStyle w:val="Bulletstext"/>
      </w:pPr>
      <w:r w:rsidRPr="009D18D1">
        <w:t>[</w:t>
      </w:r>
      <w:r w:rsidRPr="001D7162">
        <w:rPr>
          <w:highlight w:val="yellow"/>
        </w:rPr>
        <w:t>Required materials for complete application</w:t>
      </w:r>
      <w:r w:rsidRPr="009D18D1">
        <w:t>]</w:t>
      </w:r>
    </w:p>
    <w:p w14:paraId="5DB3C93B" w14:textId="270D5114" w:rsidR="009D18D1" w:rsidRPr="009D18D1" w:rsidRDefault="005F2DEA" w:rsidP="00CC5F96">
      <w:pPr>
        <w:pStyle w:val="Bulletstext"/>
      </w:pPr>
      <w:r w:rsidRPr="009D18D1">
        <w:t>[</w:t>
      </w:r>
      <w:r w:rsidRPr="00300E3E">
        <w:rPr>
          <w:highlight w:val="yellow"/>
        </w:rPr>
        <w:t>Required materials for complete application</w:t>
      </w:r>
      <w:r w:rsidRPr="009D18D1">
        <w:t>]</w:t>
      </w:r>
    </w:p>
    <w:tbl>
      <w:tblPr>
        <w:tblStyle w:val="TableGridLight"/>
        <w:tblW w:w="9535" w:type="dxa"/>
        <w:tblLook w:val="0600" w:firstRow="0" w:lastRow="0" w:firstColumn="0" w:lastColumn="0" w:noHBand="1" w:noVBand="1"/>
      </w:tblPr>
      <w:tblGrid>
        <w:gridCol w:w="5665"/>
        <w:gridCol w:w="3870"/>
      </w:tblGrid>
      <w:tr w:rsidR="00A67448" w14:paraId="23E270BD" w14:textId="77777777" w:rsidTr="001D7162">
        <w:trPr>
          <w:cantSplit/>
          <w:trHeight w:val="314"/>
          <w:tblHeader/>
        </w:trPr>
        <w:tc>
          <w:tcPr>
            <w:tcW w:w="5665" w:type="dxa"/>
          </w:tcPr>
          <w:p w14:paraId="01479A38" w14:textId="29ED1D26" w:rsidR="00FA4980" w:rsidRPr="000751B2" w:rsidRDefault="005F2DEA" w:rsidP="001D7162">
            <w:pPr>
              <w:pStyle w:val="Tableheading"/>
              <w:spacing w:before="120"/>
            </w:pPr>
            <w:r>
              <w:t>Date [</w:t>
            </w:r>
            <w:r w:rsidRPr="001D7162">
              <w:rPr>
                <w:highlight w:val="yellow"/>
              </w:rPr>
              <w:t>City/County</w:t>
            </w:r>
            <w:r>
              <w:t xml:space="preserve">] Received Complete Application </w:t>
            </w:r>
          </w:p>
        </w:tc>
        <w:tc>
          <w:tcPr>
            <w:tcW w:w="3870" w:type="dxa"/>
          </w:tcPr>
          <w:p w14:paraId="5543C4D1" w14:textId="41664475" w:rsidR="00FA4980" w:rsidRPr="000751B2" w:rsidRDefault="00FA4980" w:rsidP="001D7162"/>
        </w:tc>
      </w:tr>
      <w:tr w:rsidR="00A67448" w14:paraId="56D4BEB0" w14:textId="77777777" w:rsidTr="001D7162">
        <w:trPr>
          <w:cantSplit/>
          <w:trHeight w:val="317"/>
        </w:trPr>
        <w:tc>
          <w:tcPr>
            <w:tcW w:w="5665" w:type="dxa"/>
          </w:tcPr>
          <w:p w14:paraId="7BCCB210" w14:textId="1FF7AB18" w:rsidR="00FA4980" w:rsidRPr="00300E3E" w:rsidRDefault="005F2DEA" w:rsidP="001D7162">
            <w:pPr>
              <w:pStyle w:val="Tableheading"/>
              <w:spacing w:before="120"/>
            </w:pPr>
            <w:r>
              <w:t>Required Date of Completion for Ministerial Review</w:t>
            </w:r>
            <w:r w:rsidR="00E22402">
              <w:br/>
            </w:r>
            <w:r w:rsidR="00E22402" w:rsidRPr="001D7162">
              <w:rPr>
                <w:b w:val="0"/>
                <w:bCs w:val="0"/>
              </w:rPr>
              <w:t xml:space="preserve">(60 days from </w:t>
            </w:r>
            <w:r w:rsidR="00E22402">
              <w:rPr>
                <w:b w:val="0"/>
                <w:bCs w:val="0"/>
              </w:rPr>
              <w:t>d</w:t>
            </w:r>
            <w:r w:rsidR="00E22402" w:rsidRPr="001D7162">
              <w:rPr>
                <w:b w:val="0"/>
                <w:bCs w:val="0"/>
              </w:rPr>
              <w:t xml:space="preserve">ate </w:t>
            </w:r>
            <w:r w:rsidR="00E22402">
              <w:rPr>
                <w:b w:val="0"/>
                <w:bCs w:val="0"/>
              </w:rPr>
              <w:t>r</w:t>
            </w:r>
            <w:r w:rsidR="00E22402" w:rsidRPr="001D7162">
              <w:rPr>
                <w:b w:val="0"/>
                <w:bCs w:val="0"/>
              </w:rPr>
              <w:t>eceived)</w:t>
            </w:r>
          </w:p>
        </w:tc>
        <w:tc>
          <w:tcPr>
            <w:tcW w:w="3870" w:type="dxa"/>
            <w:vAlign w:val="center"/>
          </w:tcPr>
          <w:p w14:paraId="76D7FB68" w14:textId="60FCC80A" w:rsidR="00FA4980" w:rsidRPr="000751B2" w:rsidRDefault="00FA4980" w:rsidP="001D7162">
            <w:pPr>
              <w:rPr>
                <w:b/>
              </w:rPr>
            </w:pPr>
          </w:p>
        </w:tc>
      </w:tr>
    </w:tbl>
    <w:p w14:paraId="05B7E641" w14:textId="77777777" w:rsidR="009A5C10" w:rsidRDefault="005F2DEA">
      <w:pPr>
        <w:spacing w:after="0" w:line="240" w:lineRule="auto"/>
        <w:rPr>
          <w:rFonts w:cs="Times New Roman"/>
          <w:b/>
          <w:bCs/>
          <w:sz w:val="28"/>
          <w:szCs w:val="34"/>
        </w:rPr>
      </w:pPr>
      <w:r>
        <w:rPr>
          <w:rFonts w:cs="Times New Roman"/>
        </w:rPr>
        <w:br w:type="page"/>
      </w:r>
    </w:p>
    <w:p w14:paraId="3228BB85" w14:textId="22E93FF8" w:rsidR="00135329" w:rsidRPr="00D671DB" w:rsidRDefault="005F2DEA" w:rsidP="000B00EF">
      <w:pPr>
        <w:pStyle w:val="Heading2"/>
        <w:rPr>
          <w:rFonts w:cs="Times New Roman"/>
        </w:rPr>
      </w:pPr>
      <w:r>
        <w:rPr>
          <w:rFonts w:cs="Times New Roman"/>
        </w:rPr>
        <w:t>Proposal Review</w:t>
      </w:r>
      <w:r w:rsidR="001D7162">
        <w:rPr>
          <w:rFonts w:cs="Times New Roman"/>
        </w:rPr>
        <w:t xml:space="preserve"> </w:t>
      </w:r>
      <w:r w:rsidR="001D7162" w:rsidRPr="00D671DB">
        <w:rPr>
          <w:rFonts w:cs="Times New Roman"/>
        </w:rPr>
        <w:t>Checklist</w:t>
      </w:r>
      <w:r w:rsidR="001D7162">
        <w:rPr>
          <w:rFonts w:cs="Times New Roman"/>
        </w:rPr>
        <w:t>s</w:t>
      </w:r>
    </w:p>
    <w:p w14:paraId="56C31E94" w14:textId="14AA2277" w:rsidR="00135329" w:rsidRDefault="005F2DEA" w:rsidP="00E84A3B">
      <w:pPr>
        <w:pStyle w:val="Heading3"/>
      </w:pPr>
      <w:r w:rsidRPr="00D671DB">
        <w:t xml:space="preserve">Table 1: </w:t>
      </w:r>
      <w:r w:rsidR="00566600">
        <w:t xml:space="preserve">Parcel Map Qualifying </w:t>
      </w:r>
      <w:r w:rsidR="00472A51">
        <w:t xml:space="preserve">Criteria </w:t>
      </w:r>
      <w:r w:rsidR="005C62CC">
        <w:t>Checklist</w:t>
      </w:r>
      <w:r>
        <w:rPr>
          <w:rStyle w:val="FootnoteReference"/>
        </w:rPr>
        <w:footnoteReference w:id="4"/>
      </w:r>
    </w:p>
    <w:p w14:paraId="62F18B6C" w14:textId="237E6D5E" w:rsidR="00CF7013" w:rsidRPr="00D671DB" w:rsidRDefault="005F2DEA" w:rsidP="00CF7013">
      <w:r>
        <w:t>Instructions: For this table</w:t>
      </w:r>
      <w:r w:rsidR="006A7C02">
        <w:t xml:space="preserve">, </w:t>
      </w:r>
      <w:proofErr w:type="gramStart"/>
      <w:r w:rsidR="006A7C02">
        <w:t>each and every</w:t>
      </w:r>
      <w:proofErr w:type="gramEnd"/>
      <w:r w:rsidR="006A7C02">
        <w:t xml:space="preserve"> row</w:t>
      </w:r>
      <w:r>
        <w:t xml:space="preserve"> must be YES to qualify. </w:t>
      </w:r>
    </w:p>
    <w:tbl>
      <w:tblPr>
        <w:tblStyle w:val="TableGridLight"/>
        <w:tblW w:w="9535" w:type="dxa"/>
        <w:tblLook w:val="0420" w:firstRow="1" w:lastRow="0" w:firstColumn="0" w:lastColumn="0" w:noHBand="0" w:noVBand="1"/>
      </w:tblPr>
      <w:tblGrid>
        <w:gridCol w:w="6835"/>
        <w:gridCol w:w="2700"/>
      </w:tblGrid>
      <w:tr w:rsidR="00A67448" w14:paraId="58653201" w14:textId="77777777" w:rsidTr="00DB5C6E">
        <w:trPr>
          <w:cantSplit/>
          <w:trHeight w:val="314"/>
          <w:tblHeader/>
        </w:trPr>
        <w:tc>
          <w:tcPr>
            <w:tcW w:w="6835" w:type="dxa"/>
          </w:tcPr>
          <w:p w14:paraId="74E145F4" w14:textId="27648B3F" w:rsidR="00AB3497" w:rsidRPr="000751B2" w:rsidRDefault="005F2DEA" w:rsidP="00AB3497">
            <w:pPr>
              <w:pStyle w:val="TableColumnHeading"/>
              <w:rPr>
                <w:color w:val="auto"/>
              </w:rPr>
            </w:pPr>
            <w:r>
              <w:rPr>
                <w:color w:val="auto"/>
              </w:rPr>
              <w:t>Table 1: Parcel</w:t>
            </w:r>
            <w:r w:rsidR="00BA6C43">
              <w:rPr>
                <w:color w:val="auto"/>
              </w:rPr>
              <w:t>/Lot</w:t>
            </w:r>
            <w:r>
              <w:rPr>
                <w:color w:val="auto"/>
              </w:rPr>
              <w:t xml:space="preserve"> </w:t>
            </w:r>
            <w:r w:rsidR="005B3D4C">
              <w:rPr>
                <w:color w:val="auto"/>
              </w:rPr>
              <w:t xml:space="preserve">Qualifying </w:t>
            </w:r>
            <w:r w:rsidR="00472A51">
              <w:rPr>
                <w:color w:val="auto"/>
              </w:rPr>
              <w:t>Criteria</w:t>
            </w:r>
          </w:p>
        </w:tc>
        <w:tc>
          <w:tcPr>
            <w:tcW w:w="2700" w:type="dxa"/>
          </w:tcPr>
          <w:p w14:paraId="23D9F361" w14:textId="77777777" w:rsidR="000751B2" w:rsidRDefault="005F2DEA" w:rsidP="004941FC">
            <w:pPr>
              <w:pStyle w:val="TableColumnHeading"/>
              <w:jc w:val="center"/>
              <w:rPr>
                <w:color w:val="auto"/>
              </w:rPr>
            </w:pPr>
            <w:r w:rsidRPr="000751B2">
              <w:rPr>
                <w:color w:val="auto"/>
              </w:rPr>
              <w:t>Must be Y</w:t>
            </w:r>
            <w:r w:rsidR="005B3D4C">
              <w:rPr>
                <w:color w:val="auto"/>
              </w:rPr>
              <w:t>ES</w:t>
            </w:r>
            <w:r w:rsidRPr="000751B2">
              <w:rPr>
                <w:color w:val="auto"/>
              </w:rPr>
              <w:t xml:space="preserve"> to Qualify</w:t>
            </w:r>
          </w:p>
          <w:p w14:paraId="79A209F7" w14:textId="62FC331A" w:rsidR="004941FC" w:rsidRPr="000751B2" w:rsidRDefault="005F2DEA" w:rsidP="004941FC">
            <w:pPr>
              <w:pStyle w:val="TableColumnHeading"/>
              <w:jc w:val="center"/>
              <w:rPr>
                <w:color w:val="auto"/>
              </w:rPr>
            </w:pPr>
            <w:r>
              <w:rPr>
                <w:color w:val="auto"/>
              </w:rPr>
              <w:t>Check Yes or No</w:t>
            </w:r>
          </w:p>
        </w:tc>
      </w:tr>
      <w:tr w:rsidR="00A67448" w14:paraId="17024578" w14:textId="77777777" w:rsidTr="00DB5C6E">
        <w:trPr>
          <w:cantSplit/>
          <w:trHeight w:val="317"/>
        </w:trPr>
        <w:tc>
          <w:tcPr>
            <w:tcW w:w="6835" w:type="dxa"/>
          </w:tcPr>
          <w:p w14:paraId="48D445BF" w14:textId="054EF1E6" w:rsidR="00AB3497" w:rsidRDefault="005F2DEA" w:rsidP="008F4ABC">
            <w:pPr>
              <w:pStyle w:val="Tabletext-nospacing"/>
              <w:rPr>
                <w:rFonts w:cs="Times New Roman"/>
                <w:b/>
              </w:rPr>
            </w:pPr>
            <w:r w:rsidRPr="00D671DB">
              <w:rPr>
                <w:rFonts w:cs="Times New Roman"/>
                <w:b/>
              </w:rPr>
              <w:t xml:space="preserve">66499.41 </w:t>
            </w:r>
            <w:r w:rsidR="00BE75D7">
              <w:rPr>
                <w:rFonts w:cs="Times New Roman"/>
                <w:b/>
              </w:rPr>
              <w:t>(a)</w:t>
            </w:r>
            <w:r w:rsidRPr="00D671DB">
              <w:rPr>
                <w:rFonts w:cs="Times New Roman"/>
                <w:b/>
              </w:rPr>
              <w:t>(1)</w:t>
            </w:r>
          </w:p>
          <w:p w14:paraId="1163AC78" w14:textId="617A3F56" w:rsidR="00021DD8" w:rsidRPr="0084110F" w:rsidRDefault="005F2DEA" w:rsidP="00B67489">
            <w:pPr>
              <w:pStyle w:val="Tabletext"/>
              <w:rPr>
                <w:rFonts w:cs="Times New Roman"/>
                <w:bCs/>
              </w:rPr>
            </w:pPr>
            <w:r w:rsidRPr="00B67489">
              <w:t>The proposed subdivision will result in 10 or fewer parcels.</w:t>
            </w:r>
          </w:p>
        </w:tc>
        <w:tc>
          <w:tcPr>
            <w:tcW w:w="2700" w:type="dxa"/>
            <w:vAlign w:val="center"/>
          </w:tcPr>
          <w:p w14:paraId="5B687D65" w14:textId="12D8DF97" w:rsidR="004941FC" w:rsidRDefault="00000000" w:rsidP="004941FC">
            <w:pPr>
              <w:pStyle w:val="Tabletext-nospacing"/>
              <w:rPr>
                <w:rFonts w:cs="Times New Roman"/>
                <w:b/>
                <w:bCs w:val="0"/>
                <w:szCs w:val="28"/>
              </w:rPr>
            </w:pPr>
            <w:sdt>
              <w:sdtPr>
                <w:rPr>
                  <w:rFonts w:cs="Times New Roman"/>
                  <w:b/>
                  <w:bCs w:val="0"/>
                  <w:szCs w:val="28"/>
                </w:rPr>
                <w:id w:val="318317676"/>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37DC3C4E" w14:textId="348B03B9" w:rsidR="00021DD8" w:rsidRPr="000751B2" w:rsidRDefault="00000000" w:rsidP="004941FC">
            <w:pPr>
              <w:pStyle w:val="Tabletext-nospacing"/>
              <w:rPr>
                <w:rFonts w:cs="Times New Roman"/>
                <w:b/>
                <w:bCs w:val="0"/>
              </w:rPr>
            </w:pPr>
            <w:sdt>
              <w:sdtPr>
                <w:rPr>
                  <w:rFonts w:cs="Times New Roman"/>
                  <w:b/>
                  <w:bCs w:val="0"/>
                  <w:szCs w:val="28"/>
                </w:rPr>
                <w:id w:val="2134058233"/>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7F2DEC1C" w14:textId="77777777" w:rsidTr="00DB5C6E">
        <w:trPr>
          <w:cantSplit/>
          <w:trHeight w:val="317"/>
        </w:trPr>
        <w:tc>
          <w:tcPr>
            <w:tcW w:w="6835" w:type="dxa"/>
          </w:tcPr>
          <w:p w14:paraId="442F2BD5" w14:textId="77777777" w:rsidR="00901BCE" w:rsidRDefault="005F2DEA" w:rsidP="008F4ABC">
            <w:pPr>
              <w:pStyle w:val="Tabletext-nospacing"/>
              <w:rPr>
                <w:rFonts w:cs="Times New Roman"/>
                <w:b/>
              </w:rPr>
            </w:pPr>
            <w:r w:rsidRPr="00D671DB">
              <w:rPr>
                <w:rFonts w:cs="Times New Roman"/>
                <w:b/>
              </w:rPr>
              <w:t xml:space="preserve">66499.41 </w:t>
            </w:r>
            <w:r w:rsidR="00BE75D7">
              <w:rPr>
                <w:rFonts w:cs="Times New Roman"/>
                <w:b/>
              </w:rPr>
              <w:t>(a)</w:t>
            </w:r>
            <w:r w:rsidRPr="00D671DB">
              <w:rPr>
                <w:rFonts w:cs="Times New Roman"/>
                <w:b/>
              </w:rPr>
              <w:t>(</w:t>
            </w:r>
            <w:r>
              <w:rPr>
                <w:rFonts w:cs="Times New Roman"/>
                <w:b/>
              </w:rPr>
              <w:t>2)</w:t>
            </w:r>
            <w:r w:rsidR="00BE75D7">
              <w:rPr>
                <w:rFonts w:cs="Times New Roman"/>
                <w:b/>
              </w:rPr>
              <w:t xml:space="preserve"> </w:t>
            </w:r>
          </w:p>
          <w:p w14:paraId="4EEE5881" w14:textId="6487AE1B" w:rsidR="00BE75D7" w:rsidRDefault="005F2DEA" w:rsidP="008F4ABC">
            <w:pPr>
              <w:pStyle w:val="Tabletext-nospacing"/>
              <w:rPr>
                <w:rFonts w:cs="Times New Roman"/>
                <w:b/>
              </w:rPr>
            </w:pPr>
            <w:r w:rsidRPr="00BE75D7">
              <w:t xml:space="preserve">The lot proposed to be subdivided meets </w:t>
            </w:r>
            <w:proofErr w:type="gramStart"/>
            <w:r w:rsidRPr="00BE75D7">
              <w:t>all of</w:t>
            </w:r>
            <w:proofErr w:type="gramEnd"/>
            <w:r w:rsidRPr="00BE75D7">
              <w:t xml:space="preserve"> the following sets of requirements:</w:t>
            </w:r>
          </w:p>
          <w:p w14:paraId="23FFDA9C" w14:textId="231895E3" w:rsidR="00AB3497" w:rsidRPr="00BE75D7" w:rsidRDefault="005F2DEA" w:rsidP="006B2B7C">
            <w:pPr>
              <w:pStyle w:val="ListParagraph"/>
            </w:pPr>
            <w:r w:rsidRPr="00D671DB">
              <w:t xml:space="preserve">The parcel </w:t>
            </w:r>
            <w:r>
              <w:t>is zone</w:t>
            </w:r>
            <w:r w:rsidR="00BA6C43">
              <w:t>d</w:t>
            </w:r>
            <w:r>
              <w:t xml:space="preserve"> </w:t>
            </w:r>
            <w:r w:rsidR="007440A5">
              <w:t>to allow</w:t>
            </w:r>
            <w:r w:rsidR="007440A5" w:rsidRPr="00D671DB">
              <w:t xml:space="preserve"> </w:t>
            </w:r>
            <w:r w:rsidRPr="00D671DB">
              <w:t xml:space="preserve">multi-family </w:t>
            </w:r>
            <w:r w:rsidR="00021DD8">
              <w:t xml:space="preserve">residential </w:t>
            </w:r>
            <w:r>
              <w:t>development</w:t>
            </w:r>
            <w:r w:rsidR="00495E95">
              <w:t xml:space="preserve"> </w:t>
            </w:r>
            <w:r w:rsidR="00495E95" w:rsidRPr="00495E95">
              <w:t>or</w:t>
            </w:r>
            <w:r w:rsidR="00DC5F50">
              <w:t xml:space="preserve"> is</w:t>
            </w:r>
            <w:r w:rsidR="00495E95" w:rsidRPr="00495E95">
              <w:t xml:space="preserve"> vacant</w:t>
            </w:r>
            <w:r>
              <w:rPr>
                <w:rStyle w:val="FootnoteReference"/>
              </w:rPr>
              <w:footnoteReference w:id="5"/>
            </w:r>
            <w:r w:rsidR="00495E95" w:rsidRPr="00495E95">
              <w:t xml:space="preserve"> and zoned for single-family residential development</w:t>
            </w:r>
            <w:r>
              <w:t xml:space="preserve">. </w:t>
            </w:r>
          </w:p>
          <w:p w14:paraId="5A5CA858" w14:textId="4A2E40E3" w:rsidR="00BE75D7" w:rsidRPr="00BE75D7" w:rsidRDefault="005F2DEA" w:rsidP="006B2B7C">
            <w:pPr>
              <w:pStyle w:val="ListParagraph"/>
            </w:pPr>
            <w:r w:rsidRPr="00D671DB">
              <w:t>The lot is no larger than five acres</w:t>
            </w:r>
            <w:r w:rsidR="00495E95">
              <w:t xml:space="preserve"> if zoned </w:t>
            </w:r>
            <w:r w:rsidR="007440A5">
              <w:t>to allow</w:t>
            </w:r>
            <w:r w:rsidR="00495E95">
              <w:t xml:space="preserve"> multifamily residential development, or no larger than 1.5 acres if zoned for single-family residential development. In either case the lot</w:t>
            </w:r>
            <w:r w:rsidRPr="00D671DB">
              <w:t xml:space="preserve"> </w:t>
            </w:r>
            <w:r w:rsidR="00495E95">
              <w:t xml:space="preserve">is </w:t>
            </w:r>
            <w:r w:rsidRPr="00D671DB">
              <w:t>substantially surrounded by qualified urban uses.</w:t>
            </w:r>
            <w:r>
              <w:rPr>
                <w:rStyle w:val="FootnoteReference"/>
              </w:rPr>
              <w:footnoteReference w:id="6"/>
            </w:r>
          </w:p>
          <w:p w14:paraId="23B85510" w14:textId="77777777" w:rsidR="00BE75D7" w:rsidRPr="00776E5C" w:rsidRDefault="005F2DEA" w:rsidP="006B2B7C">
            <w:pPr>
              <w:pStyle w:val="ListParagraph"/>
            </w:pPr>
            <w:r w:rsidRPr="00D671DB">
              <w:t>The lot is a legal parcel.</w:t>
            </w:r>
            <w:r>
              <w:rPr>
                <w:rStyle w:val="FootnoteReference"/>
                <w:rFonts w:cs="Times New Roman"/>
                <w:color w:val="171717" w:themeColor="accent6" w:themeShade="1A"/>
              </w:rPr>
              <w:footnoteReference w:id="7"/>
            </w:r>
          </w:p>
          <w:p w14:paraId="63F1F4BC" w14:textId="3BC0EB5A" w:rsidR="00776E5C" w:rsidRPr="00D671DB" w:rsidRDefault="005F2DEA" w:rsidP="006B2B7C">
            <w:pPr>
              <w:pStyle w:val="ListParagraph"/>
            </w:pPr>
            <w:r w:rsidRPr="00D671DB">
              <w:t xml:space="preserve">The lot was not established pursuant to Section </w:t>
            </w:r>
            <w:r>
              <w:t>66499.41</w:t>
            </w:r>
            <w:r w:rsidR="00896CAB">
              <w:t xml:space="preserve"> </w:t>
            </w:r>
            <w:r w:rsidR="006D258C">
              <w:t>(small lot subdivision)</w:t>
            </w:r>
            <w:r w:rsidRPr="00D671DB">
              <w:t xml:space="preserve"> or an urban lot split pursuant to Government Code Section 66411.7</w:t>
            </w:r>
            <w:r>
              <w:t>.</w:t>
            </w:r>
          </w:p>
        </w:tc>
        <w:tc>
          <w:tcPr>
            <w:tcW w:w="2700" w:type="dxa"/>
            <w:vAlign w:val="center"/>
          </w:tcPr>
          <w:p w14:paraId="1A74E258" w14:textId="77777777" w:rsidR="004941FC" w:rsidRDefault="00000000" w:rsidP="004941FC">
            <w:pPr>
              <w:pStyle w:val="Tabletext-nospacing"/>
              <w:rPr>
                <w:rFonts w:cs="Times New Roman"/>
                <w:b/>
                <w:bCs w:val="0"/>
                <w:szCs w:val="28"/>
              </w:rPr>
            </w:pPr>
            <w:sdt>
              <w:sdtPr>
                <w:rPr>
                  <w:rFonts w:cs="Times New Roman"/>
                  <w:b/>
                  <w:bCs w:val="0"/>
                  <w:szCs w:val="28"/>
                </w:rPr>
                <w:id w:val="-86867652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495C90DB" w14:textId="18044951" w:rsidR="00AB3497" w:rsidRPr="00D671DB" w:rsidRDefault="00000000" w:rsidP="004941FC">
            <w:pPr>
              <w:pStyle w:val="Tabletext-nospacing"/>
              <w:rPr>
                <w:rFonts w:cs="Times New Roman"/>
              </w:rPr>
            </w:pPr>
            <w:sdt>
              <w:sdtPr>
                <w:rPr>
                  <w:rFonts w:cs="Times New Roman"/>
                  <w:b/>
                  <w:bCs w:val="0"/>
                  <w:szCs w:val="28"/>
                </w:rPr>
                <w:id w:val="743294443"/>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57A819CD" w14:textId="77777777" w:rsidTr="00DB5C6E">
        <w:trPr>
          <w:cantSplit/>
          <w:trHeight w:val="317"/>
        </w:trPr>
        <w:tc>
          <w:tcPr>
            <w:tcW w:w="6835" w:type="dxa"/>
          </w:tcPr>
          <w:p w14:paraId="2BA9D659" w14:textId="46206E98" w:rsidR="00AB3497" w:rsidRPr="00D671DB" w:rsidRDefault="005F2DEA" w:rsidP="002F3216">
            <w:pPr>
              <w:pStyle w:val="Tabletext"/>
              <w:rPr>
                <w:rFonts w:cs="Times New Roman"/>
                <w:color w:val="171717" w:themeColor="accent6" w:themeShade="1A"/>
              </w:rPr>
            </w:pPr>
            <w:r w:rsidRPr="00D671DB">
              <w:rPr>
                <w:rFonts w:cs="Times New Roman"/>
                <w:b/>
                <w:bCs/>
              </w:rPr>
              <w:t>66499.41</w:t>
            </w:r>
            <w:r w:rsidR="00BE75D7">
              <w:rPr>
                <w:rFonts w:cs="Times New Roman"/>
                <w:b/>
                <w:bCs/>
              </w:rPr>
              <w:t xml:space="preserve"> </w:t>
            </w:r>
            <w:r w:rsidR="00BE75D7">
              <w:rPr>
                <w:rFonts w:cs="Times New Roman"/>
                <w:b/>
              </w:rPr>
              <w:t>(a)</w:t>
            </w:r>
            <w:r w:rsidRPr="00D671DB">
              <w:rPr>
                <w:rFonts w:cs="Times New Roman"/>
                <w:b/>
                <w:bCs/>
              </w:rPr>
              <w:t>(</w:t>
            </w:r>
            <w:r w:rsidR="0052424D">
              <w:rPr>
                <w:rFonts w:cs="Times New Roman"/>
                <w:b/>
                <w:bCs/>
              </w:rPr>
              <w:t>3</w:t>
            </w:r>
            <w:r w:rsidRPr="00D671DB">
              <w:rPr>
                <w:rFonts w:cs="Times New Roman"/>
                <w:b/>
                <w:bCs/>
              </w:rPr>
              <w:t>)</w:t>
            </w:r>
          </w:p>
          <w:p w14:paraId="6EF9B836" w14:textId="054541CC" w:rsidR="00AB3497" w:rsidRPr="00D671DB" w:rsidRDefault="00495E95" w:rsidP="00B50AED">
            <w:pPr>
              <w:pStyle w:val="Tabletext"/>
              <w:rPr>
                <w:b/>
              </w:rPr>
            </w:pPr>
            <w:r>
              <w:t xml:space="preserve">If the parcel </w:t>
            </w:r>
            <w:r w:rsidR="00EE05C9">
              <w:t>allows</w:t>
            </w:r>
            <w:r>
              <w:t xml:space="preserve"> for multi-family residential development, t</w:t>
            </w:r>
            <w:r w:rsidR="005F2DEA" w:rsidRPr="00D671DB">
              <w:t xml:space="preserve">he newly created parcels are no smaller than </w:t>
            </w:r>
            <w:r w:rsidR="00125744">
              <w:t>[</w:t>
            </w:r>
            <w:r w:rsidR="005F2DEA" w:rsidRPr="00125744">
              <w:rPr>
                <w:highlight w:val="yellow"/>
              </w:rPr>
              <w:t>600</w:t>
            </w:r>
            <w:r w:rsidR="00125744">
              <w:t>]</w:t>
            </w:r>
            <w:r w:rsidR="005F2DEA" w:rsidRPr="00D671DB">
              <w:t xml:space="preserve"> square feet.</w:t>
            </w:r>
            <w:r>
              <w:t xml:space="preserve"> If the parcel is zoned for single-family residential development, the </w:t>
            </w:r>
            <w:proofErr w:type="gramStart"/>
            <w:r>
              <w:t>newly-created</w:t>
            </w:r>
            <w:proofErr w:type="gramEnd"/>
            <w:r>
              <w:t xml:space="preserve"> parcels are no smaller than [</w:t>
            </w:r>
            <w:r w:rsidRPr="00486244">
              <w:rPr>
                <w:highlight w:val="yellow"/>
              </w:rPr>
              <w:t>1,200</w:t>
            </w:r>
            <w:r>
              <w:t>] square feet.</w:t>
            </w:r>
            <w:r w:rsidR="005F2DEA">
              <w:rPr>
                <w:rStyle w:val="FootnoteReference"/>
                <w:rFonts w:cs="Times New Roman"/>
                <w:color w:val="171717" w:themeColor="accent6" w:themeShade="1A"/>
              </w:rPr>
              <w:footnoteReference w:id="8"/>
            </w:r>
            <w:r>
              <w:t xml:space="preserve"> </w:t>
            </w:r>
          </w:p>
        </w:tc>
        <w:tc>
          <w:tcPr>
            <w:tcW w:w="2700" w:type="dxa"/>
            <w:vAlign w:val="center"/>
          </w:tcPr>
          <w:p w14:paraId="2EB85E63" w14:textId="77777777" w:rsidR="004941FC" w:rsidRDefault="00000000" w:rsidP="004941FC">
            <w:pPr>
              <w:pStyle w:val="Tabletext-nospacing"/>
              <w:rPr>
                <w:rFonts w:cs="Times New Roman"/>
                <w:b/>
                <w:bCs w:val="0"/>
                <w:szCs w:val="28"/>
              </w:rPr>
            </w:pPr>
            <w:sdt>
              <w:sdtPr>
                <w:rPr>
                  <w:rFonts w:cs="Times New Roman"/>
                  <w:b/>
                  <w:bCs w:val="0"/>
                  <w:szCs w:val="28"/>
                </w:rPr>
                <w:id w:val="1933398649"/>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7D1CDF1B" w14:textId="2278C44C" w:rsidR="00AB3497" w:rsidRPr="00D671DB" w:rsidRDefault="00000000" w:rsidP="004941FC">
            <w:pPr>
              <w:pStyle w:val="Tabletext-nospacing"/>
              <w:rPr>
                <w:rFonts w:cs="Times New Roman"/>
              </w:rPr>
            </w:pPr>
            <w:sdt>
              <w:sdtPr>
                <w:rPr>
                  <w:rFonts w:cs="Times New Roman"/>
                  <w:b/>
                  <w:bCs w:val="0"/>
                  <w:szCs w:val="28"/>
                </w:rPr>
                <w:id w:val="1092827067"/>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36383A7C" w14:textId="77777777" w:rsidTr="00DB5C6E">
        <w:trPr>
          <w:cantSplit/>
          <w:trHeight w:val="1903"/>
        </w:trPr>
        <w:tc>
          <w:tcPr>
            <w:tcW w:w="6835" w:type="dxa"/>
          </w:tcPr>
          <w:p w14:paraId="03872EEC" w14:textId="57667B9B" w:rsidR="00AB3497" w:rsidRPr="00D671DB" w:rsidRDefault="005F2DEA" w:rsidP="002F3216">
            <w:pPr>
              <w:pStyle w:val="Tabletext"/>
              <w:rPr>
                <w:rFonts w:cs="Times New Roman"/>
                <w:color w:val="171717" w:themeColor="accent6" w:themeShade="1A"/>
              </w:rPr>
            </w:pPr>
            <w:r w:rsidRPr="00D671DB">
              <w:rPr>
                <w:rFonts w:cs="Times New Roman"/>
                <w:b/>
                <w:bCs/>
              </w:rPr>
              <w:t xml:space="preserve">66499.41 </w:t>
            </w:r>
            <w:r w:rsidR="00BE75D7">
              <w:rPr>
                <w:rFonts w:cs="Times New Roman"/>
                <w:b/>
              </w:rPr>
              <w:t>(a)</w:t>
            </w:r>
            <w:r w:rsidRPr="00D671DB">
              <w:rPr>
                <w:rFonts w:cs="Times New Roman"/>
                <w:b/>
                <w:bCs/>
              </w:rPr>
              <w:t>(</w:t>
            </w:r>
            <w:r w:rsidR="0052424D">
              <w:rPr>
                <w:rFonts w:cs="Times New Roman"/>
                <w:b/>
                <w:bCs/>
              </w:rPr>
              <w:t>4</w:t>
            </w:r>
            <w:r w:rsidRPr="00D671DB">
              <w:rPr>
                <w:rFonts w:cs="Times New Roman"/>
                <w:b/>
                <w:bCs/>
              </w:rPr>
              <w:t>)</w:t>
            </w:r>
          </w:p>
          <w:p w14:paraId="741FD897" w14:textId="77777777" w:rsidR="00AB3497" w:rsidRPr="00D671DB" w:rsidRDefault="005F2DEA" w:rsidP="002F3216">
            <w:pPr>
              <w:pStyle w:val="Tabletext"/>
              <w:rPr>
                <w:rFonts w:cs="Times New Roman"/>
                <w:color w:val="171717" w:themeColor="accent6" w:themeShade="1A"/>
              </w:rPr>
            </w:pPr>
            <w:r w:rsidRPr="00D671DB">
              <w:rPr>
                <w:rFonts w:cs="Times New Roman"/>
                <w:color w:val="171717" w:themeColor="accent6" w:themeShade="1A"/>
              </w:rPr>
              <w:t>The housing units on the lot proposed to be subdivided are one of the following:</w:t>
            </w:r>
          </w:p>
          <w:p w14:paraId="04C5164A" w14:textId="62465404" w:rsidR="00AB3497" w:rsidRPr="00D671DB" w:rsidRDefault="005F2DEA" w:rsidP="006B2B7C">
            <w:pPr>
              <w:pStyle w:val="ListParagraph"/>
            </w:pPr>
            <w:r w:rsidRPr="00D671DB">
              <w:t>Constructed on fee simple ownership lots;</w:t>
            </w:r>
          </w:p>
          <w:p w14:paraId="17F4CB0F" w14:textId="77777777" w:rsidR="00AB3497" w:rsidRPr="00D671DB" w:rsidRDefault="005F2DEA" w:rsidP="006B2B7C">
            <w:pPr>
              <w:pStyle w:val="ListParagraph"/>
            </w:pPr>
            <w:r w:rsidRPr="00D671DB">
              <w:t>Part of a common interest development;</w:t>
            </w:r>
          </w:p>
          <w:p w14:paraId="0E52AEEF" w14:textId="290D2CA5" w:rsidR="0052424D" w:rsidRDefault="005F2DEA" w:rsidP="006B2B7C">
            <w:pPr>
              <w:pStyle w:val="ListParagraph"/>
            </w:pPr>
            <w:r w:rsidRPr="00D671DB">
              <w:t xml:space="preserve">Part of a housing cooperative, as defined in Civil Code Section 817; </w:t>
            </w:r>
          </w:p>
          <w:p w14:paraId="3601209B" w14:textId="7976886F" w:rsidR="00AB3497" w:rsidRDefault="005F2DEA" w:rsidP="006B2B7C">
            <w:pPr>
              <w:pStyle w:val="ListParagraph"/>
            </w:pPr>
            <w:r>
              <w:t>Constructed on land o</w:t>
            </w:r>
            <w:r w:rsidRPr="0052424D">
              <w:t>wned by a community land trust meeting the requirements of Government Code Section 66499.41</w:t>
            </w:r>
            <w:r>
              <w:t>; or</w:t>
            </w:r>
            <w:r w:rsidRPr="0052424D">
              <w:t>.</w:t>
            </w:r>
          </w:p>
          <w:p w14:paraId="05B8FD5C" w14:textId="7C01FFEF" w:rsidR="001D17F0" w:rsidRPr="0052424D" w:rsidRDefault="005F2DEA" w:rsidP="006B2B7C">
            <w:pPr>
              <w:pStyle w:val="ListParagraph"/>
            </w:pPr>
            <w:r>
              <w:t>Part of a tenancy in common, as described in Civil Code Section 685.</w:t>
            </w:r>
          </w:p>
        </w:tc>
        <w:tc>
          <w:tcPr>
            <w:tcW w:w="2700" w:type="dxa"/>
            <w:vAlign w:val="center"/>
          </w:tcPr>
          <w:p w14:paraId="5FBEF4D4" w14:textId="77777777" w:rsidR="004941FC" w:rsidRDefault="00000000" w:rsidP="004941FC">
            <w:pPr>
              <w:pStyle w:val="Tabletext-nospacing"/>
              <w:rPr>
                <w:rFonts w:cs="Times New Roman"/>
                <w:b/>
                <w:bCs w:val="0"/>
                <w:szCs w:val="28"/>
              </w:rPr>
            </w:pPr>
            <w:sdt>
              <w:sdtPr>
                <w:rPr>
                  <w:rFonts w:cs="Times New Roman"/>
                  <w:b/>
                  <w:bCs w:val="0"/>
                  <w:szCs w:val="28"/>
                </w:rPr>
                <w:id w:val="-1963711841"/>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24DC65C0" w14:textId="5C829140" w:rsidR="00AB3497" w:rsidRPr="00D671DB" w:rsidRDefault="00000000" w:rsidP="004941FC">
            <w:pPr>
              <w:pStyle w:val="Tabletext-nospacing"/>
              <w:rPr>
                <w:rFonts w:cs="Times New Roman"/>
              </w:rPr>
            </w:pPr>
            <w:sdt>
              <w:sdtPr>
                <w:rPr>
                  <w:rFonts w:cs="Times New Roman"/>
                  <w:b/>
                  <w:bCs w:val="0"/>
                  <w:szCs w:val="28"/>
                </w:rPr>
                <w:id w:val="-1889792710"/>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2C296EAE" w14:textId="77777777" w:rsidTr="00DB5C6E">
        <w:trPr>
          <w:cantSplit/>
          <w:trHeight w:val="317"/>
        </w:trPr>
        <w:tc>
          <w:tcPr>
            <w:tcW w:w="6835" w:type="dxa"/>
          </w:tcPr>
          <w:p w14:paraId="6833A910" w14:textId="06E91424" w:rsidR="00AB3497" w:rsidRPr="00D671DB" w:rsidRDefault="005F2DEA" w:rsidP="002F3216">
            <w:pPr>
              <w:pStyle w:val="Tabletext"/>
              <w:rPr>
                <w:rFonts w:cs="Times New Roman"/>
                <w:color w:val="171717" w:themeColor="accent6" w:themeShade="1A"/>
              </w:rPr>
            </w:pPr>
            <w:r w:rsidRPr="00D671DB">
              <w:rPr>
                <w:rFonts w:cs="Times New Roman"/>
                <w:b/>
                <w:bCs/>
              </w:rPr>
              <w:t xml:space="preserve">66499.41 </w:t>
            </w:r>
            <w:r w:rsidR="00BE75D7">
              <w:rPr>
                <w:rFonts w:cs="Times New Roman"/>
                <w:b/>
              </w:rPr>
              <w:t>(a)</w:t>
            </w:r>
            <w:r w:rsidRPr="00D671DB">
              <w:rPr>
                <w:rFonts w:cs="Times New Roman"/>
                <w:b/>
                <w:bCs/>
              </w:rPr>
              <w:t>(</w:t>
            </w:r>
            <w:r w:rsidR="0052424D">
              <w:rPr>
                <w:rFonts w:cs="Times New Roman"/>
                <w:b/>
                <w:bCs/>
              </w:rPr>
              <w:t>5</w:t>
            </w:r>
            <w:r w:rsidRPr="00D671DB">
              <w:rPr>
                <w:rFonts w:cs="Times New Roman"/>
                <w:b/>
                <w:bCs/>
              </w:rPr>
              <w:t>)</w:t>
            </w:r>
          </w:p>
          <w:p w14:paraId="20E9C2B3" w14:textId="77777777" w:rsidR="00AB3497" w:rsidRPr="00D671DB" w:rsidRDefault="005F2DEA" w:rsidP="002F3216">
            <w:pPr>
              <w:pStyle w:val="Tabletext"/>
              <w:rPr>
                <w:rFonts w:cs="Times New Roman"/>
                <w:color w:val="171717" w:themeColor="accent6" w:themeShade="1A"/>
              </w:rPr>
            </w:pPr>
            <w:r w:rsidRPr="00D671DB">
              <w:rPr>
                <w:rFonts w:cs="Times New Roman"/>
                <w:color w:val="171717" w:themeColor="accent6" w:themeShade="1A"/>
              </w:rPr>
              <w:t>The proposed development must meet one of the following</w:t>
            </w:r>
            <w:r>
              <w:rPr>
                <w:rStyle w:val="FootnoteReference"/>
                <w:rFonts w:cs="Times New Roman"/>
                <w:color w:val="171717" w:themeColor="accent6" w:themeShade="1A"/>
              </w:rPr>
              <w:footnoteReference w:id="9"/>
            </w:r>
            <w:r w:rsidRPr="00D671DB">
              <w:rPr>
                <w:rFonts w:cs="Times New Roman"/>
                <w:color w:val="171717" w:themeColor="accent6" w:themeShade="1A"/>
              </w:rPr>
              <w:t>:</w:t>
            </w:r>
          </w:p>
          <w:p w14:paraId="0FB58100" w14:textId="3C56F141" w:rsidR="0052424D" w:rsidRDefault="005F2DEA" w:rsidP="00F37B76">
            <w:pPr>
              <w:pStyle w:val="ListParagraph"/>
            </w:pPr>
            <w:r w:rsidRPr="00D671DB">
              <w:t>If the parcel is identified in the Housing Element for the current planning period, the development must result in at least as many units as projected for the parcel in the Housing Element. If the parcel is identified to accommodate low- or very low-income households, the development must result in at least as many low- or very-low-income units as projected in the Housing Element. These units shall be subject to a recorded affordability restriction of at least 45 years.</w:t>
            </w:r>
          </w:p>
          <w:p w14:paraId="1A7B3B45" w14:textId="248D3D0E" w:rsidR="00AB3497" w:rsidRPr="0052424D" w:rsidRDefault="005F2DEA" w:rsidP="00F37B76">
            <w:pPr>
              <w:pStyle w:val="ListParagraph"/>
            </w:pPr>
            <w:r w:rsidRPr="0052424D">
              <w:t xml:space="preserve">If the parcel is not identified in the Housing Element for the current planning period, the development must result in at least </w:t>
            </w:r>
            <w:r w:rsidR="001D17F0">
              <w:rPr>
                <w:color w:val="171717"/>
              </w:rPr>
              <w:t>66 percent of the maximum allowable residential density as specified by local zoning or 66 percent of the applicable default density as specified in Government Code Section 65583.2(c)(3)(B), whichever is greater.</w:t>
            </w:r>
            <w:r w:rsidR="00096B21">
              <w:t xml:space="preserve"> If local zoning does not specify a maximum allowable density, then the development must result in at least 66 percent</w:t>
            </w:r>
            <w:r w:rsidR="00096B21">
              <w:rPr>
                <w:color w:val="171717"/>
              </w:rPr>
              <w:t xml:space="preserve"> of the applicable default density as specified in Government Code Section 65583.2(c)(3)(B).</w:t>
            </w:r>
            <w:r w:rsidR="00096B21">
              <w:t xml:space="preserve"> </w:t>
            </w:r>
          </w:p>
        </w:tc>
        <w:tc>
          <w:tcPr>
            <w:tcW w:w="2700" w:type="dxa"/>
            <w:vAlign w:val="center"/>
          </w:tcPr>
          <w:p w14:paraId="79D03A4B" w14:textId="77777777" w:rsidR="004941FC" w:rsidRDefault="00000000" w:rsidP="004941FC">
            <w:pPr>
              <w:pStyle w:val="Tabletext-nospacing"/>
              <w:rPr>
                <w:rFonts w:cs="Times New Roman"/>
                <w:b/>
                <w:bCs w:val="0"/>
                <w:szCs w:val="28"/>
              </w:rPr>
            </w:pPr>
            <w:sdt>
              <w:sdtPr>
                <w:rPr>
                  <w:rFonts w:cs="Times New Roman"/>
                  <w:b/>
                  <w:bCs w:val="0"/>
                  <w:szCs w:val="28"/>
                </w:rPr>
                <w:id w:val="-158490639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049D9352" w14:textId="40ECEE66" w:rsidR="00AB3497" w:rsidRPr="00D671DB" w:rsidRDefault="00000000" w:rsidP="004941FC">
            <w:pPr>
              <w:pStyle w:val="Tabletext-nospacing"/>
              <w:rPr>
                <w:rFonts w:cs="Times New Roman"/>
              </w:rPr>
            </w:pPr>
            <w:sdt>
              <w:sdtPr>
                <w:rPr>
                  <w:rFonts w:cs="Times New Roman"/>
                  <w:b/>
                  <w:bCs w:val="0"/>
                  <w:szCs w:val="28"/>
                </w:rPr>
                <w:id w:val="-1531632276"/>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7A8D2500" w14:textId="77777777" w:rsidTr="00DB5C6E">
        <w:trPr>
          <w:cantSplit/>
          <w:trHeight w:val="317"/>
        </w:trPr>
        <w:tc>
          <w:tcPr>
            <w:tcW w:w="6835" w:type="dxa"/>
          </w:tcPr>
          <w:p w14:paraId="12FC68B5" w14:textId="38B21706" w:rsidR="00DB5C6E" w:rsidRPr="00D671DB" w:rsidRDefault="005F2DEA" w:rsidP="00DB5C6E">
            <w:pPr>
              <w:pStyle w:val="Tabletext"/>
              <w:rPr>
                <w:rFonts w:cs="Times New Roman"/>
                <w:b/>
                <w:bCs/>
                <w:color w:val="171717" w:themeColor="accent6" w:themeShade="1A"/>
              </w:rPr>
            </w:pPr>
            <w:r w:rsidRPr="00D671DB">
              <w:rPr>
                <w:rFonts w:cs="Times New Roman"/>
                <w:b/>
                <w:bCs/>
                <w:color w:val="171717" w:themeColor="accent6" w:themeShade="1A"/>
              </w:rPr>
              <w:t>66499.41</w:t>
            </w:r>
            <w:r>
              <w:rPr>
                <w:rFonts w:cs="Times New Roman"/>
                <w:b/>
                <w:bCs/>
                <w:color w:val="171717" w:themeColor="accent6" w:themeShade="1A"/>
              </w:rPr>
              <w:t xml:space="preserve"> (a)</w:t>
            </w:r>
            <w:r w:rsidRPr="00D671DB">
              <w:rPr>
                <w:rFonts w:cs="Times New Roman"/>
                <w:b/>
                <w:bCs/>
                <w:color w:val="171717" w:themeColor="accent6" w:themeShade="1A"/>
              </w:rPr>
              <w:t>(1</w:t>
            </w:r>
            <w:r>
              <w:rPr>
                <w:rFonts w:cs="Times New Roman"/>
                <w:b/>
                <w:bCs/>
                <w:color w:val="171717" w:themeColor="accent6" w:themeShade="1A"/>
              </w:rPr>
              <w:t>0</w:t>
            </w:r>
            <w:r w:rsidRPr="00D671DB">
              <w:rPr>
                <w:rFonts w:cs="Times New Roman"/>
                <w:b/>
                <w:bCs/>
                <w:color w:val="171717" w:themeColor="accent6" w:themeShade="1A"/>
              </w:rPr>
              <w:t>)</w:t>
            </w:r>
          </w:p>
          <w:p w14:paraId="20D8B368" w14:textId="7849B141" w:rsidR="00DB5C6E" w:rsidRPr="00D671DB" w:rsidRDefault="005F2DEA" w:rsidP="00DB5C6E">
            <w:pPr>
              <w:pStyle w:val="Tabletext"/>
              <w:rPr>
                <w:rFonts w:cs="Times New Roman"/>
                <w:b/>
                <w:bCs/>
              </w:rPr>
            </w:pPr>
            <w:r w:rsidRPr="00D671DB">
              <w:t>The proposed subdivision conform</w:t>
            </w:r>
            <w:r>
              <w:t>s</w:t>
            </w:r>
            <w:r w:rsidRPr="00D671DB">
              <w:t xml:space="preserve"> to all applicable objective requirements of the Subdivision Map Act (commencing with Government Code Section 66410), except as otherwise expressly provided in Government Code Section 66499.41. </w:t>
            </w:r>
          </w:p>
        </w:tc>
        <w:tc>
          <w:tcPr>
            <w:tcW w:w="2700" w:type="dxa"/>
            <w:vAlign w:val="center"/>
          </w:tcPr>
          <w:p w14:paraId="2CE1126B" w14:textId="77777777" w:rsidR="004941FC" w:rsidRDefault="00000000" w:rsidP="004941FC">
            <w:pPr>
              <w:pStyle w:val="Tabletext-nospacing"/>
              <w:rPr>
                <w:rFonts w:cs="Times New Roman"/>
                <w:b/>
                <w:bCs w:val="0"/>
                <w:szCs w:val="28"/>
              </w:rPr>
            </w:pPr>
            <w:sdt>
              <w:sdtPr>
                <w:rPr>
                  <w:rFonts w:cs="Times New Roman"/>
                  <w:b/>
                  <w:bCs w:val="0"/>
                  <w:szCs w:val="28"/>
                </w:rPr>
                <w:id w:val="-3736106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346750A2" w14:textId="72DDC574" w:rsidR="00DB5C6E" w:rsidRPr="000751B2" w:rsidRDefault="00000000" w:rsidP="004941FC">
            <w:pPr>
              <w:pStyle w:val="Tabletext-nospacing"/>
              <w:rPr>
                <w:rFonts w:cs="Times New Roman"/>
                <w:b/>
                <w:bCs w:val="0"/>
                <w:szCs w:val="28"/>
              </w:rPr>
            </w:pPr>
            <w:sdt>
              <w:sdtPr>
                <w:rPr>
                  <w:rFonts w:cs="Times New Roman"/>
                  <w:b/>
                  <w:bCs w:val="0"/>
                  <w:szCs w:val="28"/>
                </w:rPr>
                <w:id w:val="-1316797171"/>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207BF3C0" w14:textId="77777777" w:rsidTr="00DB5C6E">
        <w:trPr>
          <w:cantSplit/>
          <w:trHeight w:val="317"/>
        </w:trPr>
        <w:tc>
          <w:tcPr>
            <w:tcW w:w="6835" w:type="dxa"/>
          </w:tcPr>
          <w:p w14:paraId="3C1C990E" w14:textId="232A11E1" w:rsidR="00DB5C6E" w:rsidRPr="00D671DB" w:rsidRDefault="005F2DEA" w:rsidP="00DB5C6E">
            <w:pPr>
              <w:pStyle w:val="Tabletext"/>
              <w:rPr>
                <w:rFonts w:cs="Times New Roman"/>
                <w:b/>
                <w:bCs/>
                <w:color w:val="171717" w:themeColor="accent6" w:themeShade="1A"/>
              </w:rPr>
            </w:pPr>
            <w:r w:rsidRPr="00D671DB">
              <w:rPr>
                <w:rFonts w:cs="Times New Roman"/>
                <w:b/>
                <w:bCs/>
                <w:color w:val="171717" w:themeColor="accent6" w:themeShade="1A"/>
              </w:rPr>
              <w:t xml:space="preserve">66499.41 </w:t>
            </w:r>
            <w:r>
              <w:rPr>
                <w:rFonts w:cs="Times New Roman"/>
                <w:b/>
                <w:bCs/>
                <w:color w:val="171717" w:themeColor="accent6" w:themeShade="1A"/>
              </w:rPr>
              <w:t>(a)</w:t>
            </w:r>
            <w:r w:rsidRPr="00D671DB">
              <w:rPr>
                <w:rFonts w:cs="Times New Roman"/>
                <w:b/>
                <w:bCs/>
                <w:color w:val="171717" w:themeColor="accent6" w:themeShade="1A"/>
              </w:rPr>
              <w:t>(1</w:t>
            </w:r>
            <w:r>
              <w:rPr>
                <w:rFonts w:cs="Times New Roman"/>
                <w:b/>
                <w:bCs/>
                <w:color w:val="171717" w:themeColor="accent6" w:themeShade="1A"/>
              </w:rPr>
              <w:t>1</w:t>
            </w:r>
            <w:r w:rsidRPr="00D671DB">
              <w:rPr>
                <w:rFonts w:cs="Times New Roman"/>
                <w:b/>
                <w:bCs/>
                <w:color w:val="171717" w:themeColor="accent6" w:themeShade="1A"/>
              </w:rPr>
              <w:t>)</w:t>
            </w:r>
          </w:p>
          <w:p w14:paraId="4CFD4F54" w14:textId="3EAAA37D" w:rsidR="00DB5C6E" w:rsidRPr="00D671DB" w:rsidRDefault="005F2DEA" w:rsidP="00DB5C6E">
            <w:pPr>
              <w:pStyle w:val="Tabletext"/>
              <w:rPr>
                <w:rFonts w:cs="Times New Roman"/>
                <w:b/>
                <w:bCs/>
              </w:rPr>
            </w:pPr>
            <w:r w:rsidRPr="00D671DB">
              <w:t>The proposed subdivision complies with all applicable standards established in Section Government Code Section 65852.28</w:t>
            </w:r>
            <w:r w:rsidR="00A532E2">
              <w:t>, in below checklist</w:t>
            </w:r>
            <w:r w:rsidRPr="00D671DB">
              <w:t>.</w:t>
            </w:r>
          </w:p>
        </w:tc>
        <w:tc>
          <w:tcPr>
            <w:tcW w:w="2700" w:type="dxa"/>
            <w:vAlign w:val="center"/>
          </w:tcPr>
          <w:p w14:paraId="33796079" w14:textId="77777777" w:rsidR="004941FC" w:rsidRDefault="00000000" w:rsidP="004941FC">
            <w:pPr>
              <w:pStyle w:val="Tabletext-nospacing"/>
              <w:rPr>
                <w:rFonts w:cs="Times New Roman"/>
                <w:b/>
                <w:bCs w:val="0"/>
                <w:szCs w:val="28"/>
              </w:rPr>
            </w:pPr>
            <w:sdt>
              <w:sdtPr>
                <w:rPr>
                  <w:rFonts w:cs="Times New Roman"/>
                  <w:b/>
                  <w:bCs w:val="0"/>
                  <w:szCs w:val="28"/>
                </w:rPr>
                <w:id w:val="-640421802"/>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2CD91EB6" w14:textId="1E425C5B" w:rsidR="00DB5C6E" w:rsidRPr="000751B2" w:rsidRDefault="00000000" w:rsidP="004941FC">
            <w:pPr>
              <w:pStyle w:val="Tabletext-nospacing"/>
              <w:rPr>
                <w:rFonts w:cs="Times New Roman"/>
                <w:b/>
                <w:bCs w:val="0"/>
                <w:szCs w:val="28"/>
              </w:rPr>
            </w:pPr>
            <w:sdt>
              <w:sdtPr>
                <w:rPr>
                  <w:rFonts w:cs="Times New Roman"/>
                  <w:b/>
                  <w:bCs w:val="0"/>
                  <w:szCs w:val="28"/>
                </w:rPr>
                <w:id w:val="-2109809297"/>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0D04C26E" w14:textId="77777777" w:rsidTr="00DB5C6E">
        <w:trPr>
          <w:cantSplit/>
          <w:trHeight w:val="317"/>
        </w:trPr>
        <w:tc>
          <w:tcPr>
            <w:tcW w:w="6835" w:type="dxa"/>
          </w:tcPr>
          <w:p w14:paraId="6A0AD51E" w14:textId="1FFCB045" w:rsidR="00DB5C6E" w:rsidRPr="00E63B03" w:rsidRDefault="005F2DEA" w:rsidP="00DB5C6E">
            <w:pPr>
              <w:pStyle w:val="Tabletext"/>
              <w:rPr>
                <w:b/>
                <w:bCs/>
              </w:rPr>
            </w:pPr>
            <w:r w:rsidRPr="00E63B03">
              <w:rPr>
                <w:b/>
                <w:bCs/>
              </w:rPr>
              <w:t>66499.41 (a)(12)</w:t>
            </w:r>
          </w:p>
          <w:p w14:paraId="20BFA01E" w14:textId="7B89954D" w:rsidR="00DB5C6E" w:rsidRPr="00D671DB" w:rsidRDefault="005F2DEA" w:rsidP="00DB5C6E">
            <w:pPr>
              <w:pStyle w:val="Tabletext"/>
              <w:rPr>
                <w:rFonts w:cs="Times New Roman"/>
                <w:b/>
                <w:bCs/>
              </w:rPr>
            </w:pPr>
            <w:r w:rsidRPr="00D671DB">
              <w:t>The parcels created pursuant to</w:t>
            </w:r>
            <w:r w:rsidR="00092688">
              <w:t xml:space="preserve"> Government Code Section 66499.41</w:t>
            </w:r>
            <w:r w:rsidRPr="00D671DB">
              <w:t xml:space="preserve"> </w:t>
            </w:r>
            <w:r>
              <w:t xml:space="preserve">are </w:t>
            </w:r>
            <w:r w:rsidRPr="00D671DB">
              <w:t>served by a public water system and a municipal sewer system.</w:t>
            </w:r>
          </w:p>
        </w:tc>
        <w:tc>
          <w:tcPr>
            <w:tcW w:w="2700" w:type="dxa"/>
            <w:vAlign w:val="center"/>
          </w:tcPr>
          <w:p w14:paraId="30CBF5A2" w14:textId="77777777" w:rsidR="004941FC" w:rsidRDefault="00000000" w:rsidP="004941FC">
            <w:pPr>
              <w:pStyle w:val="Tabletext-nospacing"/>
              <w:rPr>
                <w:rFonts w:cs="Times New Roman"/>
                <w:b/>
                <w:bCs w:val="0"/>
                <w:szCs w:val="28"/>
              </w:rPr>
            </w:pPr>
            <w:sdt>
              <w:sdtPr>
                <w:rPr>
                  <w:rFonts w:cs="Times New Roman"/>
                  <w:b/>
                  <w:bCs w:val="0"/>
                  <w:szCs w:val="28"/>
                </w:rPr>
                <w:id w:val="1023057138"/>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726E5020" w14:textId="46434888" w:rsidR="00DB5C6E" w:rsidRPr="000751B2" w:rsidRDefault="00000000" w:rsidP="004941FC">
            <w:pPr>
              <w:pStyle w:val="Tabletext-nospacing"/>
              <w:rPr>
                <w:rFonts w:cs="Times New Roman"/>
                <w:b/>
                <w:bCs w:val="0"/>
                <w:szCs w:val="28"/>
              </w:rPr>
            </w:pPr>
            <w:sdt>
              <w:sdtPr>
                <w:rPr>
                  <w:rFonts w:cs="Times New Roman"/>
                  <w:b/>
                  <w:bCs w:val="0"/>
                  <w:szCs w:val="28"/>
                </w:rPr>
                <w:id w:val="1185401975"/>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bl>
    <w:p w14:paraId="7F4CB45D" w14:textId="77777777" w:rsidR="004941FC" w:rsidRDefault="005F2DEA">
      <w:pPr>
        <w:spacing w:after="0" w:line="240" w:lineRule="auto"/>
      </w:pPr>
      <w:r>
        <w:br w:type="page"/>
      </w:r>
    </w:p>
    <w:p w14:paraId="5E8069B8" w14:textId="4E34D2BE" w:rsidR="001A32CE" w:rsidRDefault="005F2DEA" w:rsidP="00E84A3B">
      <w:pPr>
        <w:pStyle w:val="Heading3"/>
      </w:pPr>
      <w:r w:rsidRPr="00D671DB">
        <w:t xml:space="preserve">Table </w:t>
      </w:r>
      <w:r w:rsidR="00472A51">
        <w:t>2</w:t>
      </w:r>
      <w:r w:rsidRPr="00D671DB">
        <w:t xml:space="preserve">: </w:t>
      </w:r>
      <w:r w:rsidR="00084BFC">
        <w:t xml:space="preserve">Project </w:t>
      </w:r>
      <w:r w:rsidR="00DB5C6E">
        <w:t xml:space="preserve">and Parcel </w:t>
      </w:r>
      <w:r w:rsidR="00B33DF9">
        <w:t>Q</w:t>
      </w:r>
      <w:r w:rsidR="00472A51">
        <w:t>ualifying Criteria</w:t>
      </w:r>
      <w:r w:rsidRPr="00D671DB">
        <w:t xml:space="preserve"> </w:t>
      </w:r>
      <w:r>
        <w:t>Checklist</w:t>
      </w:r>
      <w:r>
        <w:rPr>
          <w:rStyle w:val="FootnoteReference"/>
        </w:rPr>
        <w:footnoteReference w:id="10"/>
      </w:r>
    </w:p>
    <w:p w14:paraId="36FB20B4" w14:textId="4AA5B0A4" w:rsidR="00CF7013" w:rsidRPr="00D671DB" w:rsidRDefault="005F2DEA" w:rsidP="00D466B5">
      <w:r>
        <w:t>Instructions: For this table</w:t>
      </w:r>
      <w:r w:rsidR="006A7C02">
        <w:t xml:space="preserve">, </w:t>
      </w:r>
      <w:proofErr w:type="gramStart"/>
      <w:r w:rsidR="006A7C02">
        <w:t>each and every</w:t>
      </w:r>
      <w:proofErr w:type="gramEnd"/>
      <w:r w:rsidR="006A7C02">
        <w:t xml:space="preserve"> row</w:t>
      </w:r>
      <w:r>
        <w:t xml:space="preserve"> must be NO to qualify. </w:t>
      </w:r>
    </w:p>
    <w:tbl>
      <w:tblPr>
        <w:tblStyle w:val="TableGridLight"/>
        <w:tblW w:w="9535" w:type="dxa"/>
        <w:tblLook w:val="0420" w:firstRow="1" w:lastRow="0" w:firstColumn="0" w:lastColumn="0" w:noHBand="0" w:noVBand="1"/>
      </w:tblPr>
      <w:tblGrid>
        <w:gridCol w:w="6835"/>
        <w:gridCol w:w="2700"/>
      </w:tblGrid>
      <w:tr w:rsidR="00A67448" w14:paraId="0E2E1287" w14:textId="77777777" w:rsidTr="00DB5C6E">
        <w:trPr>
          <w:cantSplit/>
          <w:trHeight w:val="317"/>
          <w:tblHeader/>
        </w:trPr>
        <w:tc>
          <w:tcPr>
            <w:tcW w:w="6835" w:type="dxa"/>
          </w:tcPr>
          <w:p w14:paraId="29B23199" w14:textId="10EAD9D3" w:rsidR="000B5B13" w:rsidRDefault="005F2DEA" w:rsidP="000B5B13">
            <w:pPr>
              <w:pStyle w:val="TableColumnHeading"/>
              <w:rPr>
                <w:color w:val="auto"/>
              </w:rPr>
            </w:pPr>
            <w:r>
              <w:rPr>
                <w:color w:val="auto"/>
              </w:rPr>
              <w:t xml:space="preserve">Table 2: Project and Parcel </w:t>
            </w:r>
            <w:r w:rsidR="00B33DF9">
              <w:rPr>
                <w:color w:val="auto"/>
              </w:rPr>
              <w:t>Q</w:t>
            </w:r>
            <w:r w:rsidR="00472A51" w:rsidRPr="00DB5C6E">
              <w:rPr>
                <w:color w:val="auto"/>
              </w:rPr>
              <w:t>ualifying Criteria</w:t>
            </w:r>
          </w:p>
          <w:p w14:paraId="5352B256" w14:textId="04B84BBF" w:rsidR="00CF7013" w:rsidRPr="00DB5C6E" w:rsidRDefault="00CF7013" w:rsidP="000B5B13">
            <w:pPr>
              <w:pStyle w:val="TableColumnHeading"/>
              <w:rPr>
                <w:rFonts w:cs="Times New Roman"/>
                <w:color w:val="auto"/>
              </w:rPr>
            </w:pPr>
          </w:p>
        </w:tc>
        <w:tc>
          <w:tcPr>
            <w:tcW w:w="2700" w:type="dxa"/>
          </w:tcPr>
          <w:p w14:paraId="6C2BD73B" w14:textId="0E66C46C" w:rsidR="000B5B13" w:rsidRDefault="005F2DEA" w:rsidP="00DB5C6E">
            <w:pPr>
              <w:pStyle w:val="TableColumnHeading"/>
              <w:jc w:val="center"/>
              <w:rPr>
                <w:color w:val="auto"/>
              </w:rPr>
            </w:pPr>
            <w:r w:rsidRPr="00DB5C6E">
              <w:rPr>
                <w:color w:val="auto"/>
              </w:rPr>
              <w:t>Must be N</w:t>
            </w:r>
            <w:r w:rsidR="005B3D4C">
              <w:rPr>
                <w:color w:val="auto"/>
              </w:rPr>
              <w:t>O</w:t>
            </w:r>
            <w:r w:rsidRPr="00DB5C6E">
              <w:rPr>
                <w:color w:val="auto"/>
              </w:rPr>
              <w:t xml:space="preserve"> to Qualify</w:t>
            </w:r>
          </w:p>
          <w:p w14:paraId="26907039" w14:textId="59E26081" w:rsidR="00DB5C6E" w:rsidRPr="00DB5C6E" w:rsidRDefault="005F2DEA" w:rsidP="00DB5C6E">
            <w:pPr>
              <w:pStyle w:val="TableColumnHeading"/>
              <w:jc w:val="center"/>
              <w:rPr>
                <w:rFonts w:cs="Times New Roman"/>
                <w:color w:val="auto"/>
              </w:rPr>
            </w:pPr>
            <w:r>
              <w:rPr>
                <w:color w:val="auto"/>
              </w:rPr>
              <w:t>(C</w:t>
            </w:r>
            <w:r w:rsidR="00B33DF9">
              <w:rPr>
                <w:color w:val="auto"/>
              </w:rPr>
              <w:t xml:space="preserve">heck </w:t>
            </w:r>
            <w:r>
              <w:rPr>
                <w:color w:val="auto"/>
              </w:rPr>
              <w:t>Yes or No)</w:t>
            </w:r>
          </w:p>
        </w:tc>
      </w:tr>
      <w:tr w:rsidR="00A67448" w14:paraId="52C36BE1" w14:textId="77777777" w:rsidTr="00B33DF9">
        <w:trPr>
          <w:cantSplit/>
          <w:trHeight w:val="317"/>
        </w:trPr>
        <w:tc>
          <w:tcPr>
            <w:tcW w:w="6835" w:type="dxa"/>
          </w:tcPr>
          <w:p w14:paraId="5FD688DE" w14:textId="1958EAA8" w:rsidR="00DB5C6E" w:rsidRPr="00D671DB" w:rsidRDefault="005F2DEA" w:rsidP="00DB5C6E">
            <w:pPr>
              <w:pStyle w:val="Tabletext"/>
              <w:rPr>
                <w:rFonts w:cs="Times New Roman"/>
                <w:color w:val="171717" w:themeColor="accent6" w:themeShade="1A"/>
              </w:rPr>
            </w:pPr>
            <w:r w:rsidRPr="00D671DB">
              <w:rPr>
                <w:rFonts w:cs="Times New Roman"/>
                <w:b/>
                <w:bCs/>
              </w:rPr>
              <w:t xml:space="preserve">66499.41 </w:t>
            </w:r>
            <w:r>
              <w:rPr>
                <w:rFonts w:cs="Times New Roman"/>
                <w:b/>
              </w:rPr>
              <w:t>(a)</w:t>
            </w:r>
            <w:r w:rsidRPr="00D671DB">
              <w:rPr>
                <w:rFonts w:cs="Times New Roman"/>
                <w:b/>
                <w:bCs/>
              </w:rPr>
              <w:t>(</w:t>
            </w:r>
            <w:r>
              <w:rPr>
                <w:rFonts w:cs="Times New Roman"/>
                <w:b/>
                <w:bCs/>
              </w:rPr>
              <w:t>8</w:t>
            </w:r>
            <w:r w:rsidRPr="00D671DB">
              <w:rPr>
                <w:rFonts w:cs="Times New Roman"/>
                <w:b/>
                <w:bCs/>
              </w:rPr>
              <w:t>)</w:t>
            </w:r>
            <w:r>
              <w:rPr>
                <w:rFonts w:cs="Times New Roman"/>
                <w:b/>
                <w:bCs/>
              </w:rPr>
              <w:t>(A)</w:t>
            </w:r>
          </w:p>
          <w:p w14:paraId="3E31DD57" w14:textId="45BFBFCE" w:rsidR="00DB5C6E" w:rsidRPr="000B5B13" w:rsidRDefault="005F2DEA" w:rsidP="00DB5C6E">
            <w:pPr>
              <w:pStyle w:val="Tabletext"/>
            </w:pPr>
            <w:r w:rsidRPr="00BA6C43">
              <w:rPr>
                <w:rFonts w:cs="Times New Roman"/>
                <w:b/>
                <w:bCs/>
                <w:color w:val="171717" w:themeColor="accent6" w:themeShade="1A"/>
              </w:rPr>
              <w:t>Rental Restrictions for Lower Incomes.</w:t>
            </w:r>
            <w:r>
              <w:rPr>
                <w:rFonts w:cs="Times New Roman"/>
                <w:color w:val="171717" w:themeColor="accent6" w:themeShade="1A"/>
              </w:rPr>
              <w:t xml:space="preserve"> R</w:t>
            </w:r>
            <w:r w:rsidRPr="00D671DB">
              <w:rPr>
                <w:rFonts w:cs="Times New Roman"/>
                <w:color w:val="171717" w:themeColor="accent6" w:themeShade="1A"/>
              </w:rPr>
              <w:t>equire</w:t>
            </w:r>
            <w:r>
              <w:rPr>
                <w:rFonts w:cs="Times New Roman"/>
                <w:color w:val="171717" w:themeColor="accent6" w:themeShade="1A"/>
              </w:rPr>
              <w:t>s</w:t>
            </w:r>
            <w:r w:rsidRPr="00D671DB">
              <w:rPr>
                <w:rFonts w:cs="Times New Roman"/>
                <w:color w:val="171717" w:themeColor="accent6" w:themeShade="1A"/>
              </w:rPr>
              <w:t xml:space="preserve"> demolition or alteration of</w:t>
            </w:r>
            <w:r>
              <w:rPr>
                <w:rFonts w:cs="Times New Roman"/>
                <w:color w:val="171717" w:themeColor="accent6" w:themeShade="1A"/>
              </w:rPr>
              <w:t xml:space="preserve"> h</w:t>
            </w:r>
            <w:r w:rsidRPr="00BE75D7">
              <w:t xml:space="preserve">ousing that is subject to a recorded covenant, ordinance, or law that restricts rents to levels affordable to persons and families of low-, very low-, or extremely low-income. </w:t>
            </w:r>
          </w:p>
        </w:tc>
        <w:tc>
          <w:tcPr>
            <w:tcW w:w="2700" w:type="dxa"/>
            <w:vAlign w:val="center"/>
          </w:tcPr>
          <w:p w14:paraId="47FC5C7D" w14:textId="49B94E8E" w:rsidR="00B33DF9" w:rsidRDefault="00000000" w:rsidP="00B33DF9">
            <w:pPr>
              <w:pStyle w:val="Tabletext-nospacing"/>
              <w:rPr>
                <w:rFonts w:cs="Times New Roman"/>
                <w:b/>
                <w:bCs w:val="0"/>
                <w:szCs w:val="28"/>
              </w:rPr>
            </w:pPr>
            <w:sdt>
              <w:sdtPr>
                <w:rPr>
                  <w:rFonts w:cs="Times New Roman"/>
                  <w:b/>
                  <w:bCs w:val="0"/>
                  <w:szCs w:val="28"/>
                </w:rPr>
                <w:id w:val="-223450711"/>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1A05275A" w14:textId="258EC37A" w:rsidR="00DB5C6E" w:rsidRPr="00D671DB" w:rsidRDefault="00000000" w:rsidP="00B33DF9">
            <w:pPr>
              <w:pStyle w:val="Tabletext-nospacing"/>
              <w:rPr>
                <w:rFonts w:cs="Times New Roman"/>
              </w:rPr>
            </w:pPr>
            <w:sdt>
              <w:sdtPr>
                <w:rPr>
                  <w:rFonts w:cs="Times New Roman"/>
                  <w:b/>
                  <w:bCs w:val="0"/>
                  <w:szCs w:val="28"/>
                </w:rPr>
                <w:id w:val="-1180273439"/>
                <w14:checkbox>
                  <w14:checked w14:val="0"/>
                  <w14:checkedState w14:val="2612" w14:font="MS Gothic"/>
                  <w14:uncheckedState w14:val="2610" w14:font="MS Gothic"/>
                </w14:checkbox>
              </w:sdtPr>
              <w:sdtContent>
                <w:r w:rsidR="00B33DF9">
                  <w:rPr>
                    <w:rFonts w:ascii="MS Gothic" w:eastAsia="MS Gothic" w:hAnsi="MS Gothic" w:cs="Times New Roman" w:hint="eastAsia"/>
                    <w:b/>
                    <w:bCs w:val="0"/>
                    <w:szCs w:val="28"/>
                  </w:rPr>
                  <w:t>☐</w:t>
                </w:r>
              </w:sdtContent>
            </w:sdt>
            <w:r w:rsidR="00B33DF9">
              <w:rPr>
                <w:rFonts w:cs="Times New Roman"/>
                <w:b/>
                <w:bCs w:val="0"/>
                <w:szCs w:val="28"/>
              </w:rPr>
              <w:t xml:space="preserve"> </w:t>
            </w:r>
            <w:r w:rsidR="00B33DF9" w:rsidRPr="000751B2">
              <w:rPr>
                <w:rFonts w:cs="Times New Roman"/>
                <w:b/>
                <w:bCs w:val="0"/>
                <w:szCs w:val="28"/>
              </w:rPr>
              <w:t>No</w:t>
            </w:r>
            <w:r w:rsidR="00B33DF9">
              <w:rPr>
                <w:rFonts w:cs="Times New Roman"/>
                <w:b/>
                <w:bCs w:val="0"/>
                <w:szCs w:val="28"/>
              </w:rPr>
              <w:t xml:space="preserve"> (Qualifies)</w:t>
            </w:r>
          </w:p>
        </w:tc>
      </w:tr>
      <w:tr w:rsidR="00A67448" w14:paraId="0E5E2CA0" w14:textId="77777777" w:rsidTr="00DB5C6E">
        <w:trPr>
          <w:cantSplit/>
          <w:trHeight w:val="317"/>
        </w:trPr>
        <w:tc>
          <w:tcPr>
            <w:tcW w:w="6835" w:type="dxa"/>
          </w:tcPr>
          <w:p w14:paraId="73F214CA" w14:textId="01B9C9C7" w:rsidR="00B33DF9" w:rsidRPr="00D671DB" w:rsidRDefault="005F2DEA" w:rsidP="00B33DF9">
            <w:pPr>
              <w:pStyle w:val="Tabletext"/>
              <w:rPr>
                <w:rFonts w:cs="Times New Roman"/>
                <w:color w:val="171717" w:themeColor="accent6" w:themeShade="1A"/>
              </w:rPr>
            </w:pPr>
            <w:r w:rsidRPr="00D671DB">
              <w:rPr>
                <w:rFonts w:cs="Times New Roman"/>
                <w:b/>
                <w:bCs/>
              </w:rPr>
              <w:t xml:space="preserve">66499.41 </w:t>
            </w:r>
            <w:r>
              <w:rPr>
                <w:rFonts w:cs="Times New Roman"/>
                <w:b/>
              </w:rPr>
              <w:t>(a)</w:t>
            </w:r>
            <w:r w:rsidRPr="00D671DB">
              <w:rPr>
                <w:rFonts w:cs="Times New Roman"/>
                <w:b/>
                <w:bCs/>
              </w:rPr>
              <w:t>(</w:t>
            </w:r>
            <w:r>
              <w:rPr>
                <w:rFonts w:cs="Times New Roman"/>
                <w:b/>
                <w:bCs/>
              </w:rPr>
              <w:t>8</w:t>
            </w:r>
            <w:r w:rsidRPr="00D671DB">
              <w:rPr>
                <w:rFonts w:cs="Times New Roman"/>
                <w:b/>
                <w:bCs/>
              </w:rPr>
              <w:t>)</w:t>
            </w:r>
            <w:r>
              <w:rPr>
                <w:rFonts w:cs="Times New Roman"/>
                <w:b/>
                <w:bCs/>
              </w:rPr>
              <w:t>(B)</w:t>
            </w:r>
          </w:p>
          <w:p w14:paraId="13B6A2F7" w14:textId="3B23FFF9" w:rsidR="00B33DF9" w:rsidRPr="00472A51" w:rsidRDefault="005F2DEA" w:rsidP="00B33DF9">
            <w:pPr>
              <w:pStyle w:val="Tabletext"/>
              <w:rPr>
                <w:rFonts w:cs="Times New Roman"/>
                <w:color w:val="171717" w:themeColor="accent6" w:themeShade="1A"/>
              </w:rPr>
            </w:pPr>
            <w:r w:rsidRPr="00BA6C43">
              <w:rPr>
                <w:rFonts w:cs="Times New Roman"/>
                <w:b/>
                <w:bCs/>
                <w:color w:val="171717" w:themeColor="accent6" w:themeShade="1A"/>
              </w:rPr>
              <w:t>Subject to Rent Control.</w:t>
            </w:r>
            <w:r>
              <w:rPr>
                <w:rFonts w:cs="Times New Roman"/>
                <w:color w:val="171717" w:themeColor="accent6" w:themeShade="1A"/>
              </w:rPr>
              <w:t xml:space="preserve"> R</w:t>
            </w:r>
            <w:r w:rsidRPr="00D671DB">
              <w:rPr>
                <w:rFonts w:cs="Times New Roman"/>
                <w:color w:val="171717" w:themeColor="accent6" w:themeShade="1A"/>
              </w:rPr>
              <w:t>equire</w:t>
            </w:r>
            <w:r>
              <w:rPr>
                <w:rFonts w:cs="Times New Roman"/>
                <w:color w:val="171717" w:themeColor="accent6" w:themeShade="1A"/>
              </w:rPr>
              <w:t>s</w:t>
            </w:r>
            <w:r w:rsidRPr="00D671DB">
              <w:rPr>
                <w:rFonts w:cs="Times New Roman"/>
                <w:color w:val="171717" w:themeColor="accent6" w:themeShade="1A"/>
              </w:rPr>
              <w:t xml:space="preserve"> demolition or alteration of</w:t>
            </w:r>
            <w:r>
              <w:rPr>
                <w:rFonts w:cs="Times New Roman"/>
                <w:color w:val="171717" w:themeColor="accent6" w:themeShade="1A"/>
              </w:rPr>
              <w:t xml:space="preserve"> h</w:t>
            </w:r>
            <w:r w:rsidRPr="00D671DB">
              <w:t>ousing that is subject to any form of rent or price control through a public entity’s valid exercise of its police power.</w:t>
            </w:r>
          </w:p>
        </w:tc>
        <w:tc>
          <w:tcPr>
            <w:tcW w:w="2700" w:type="dxa"/>
            <w:vAlign w:val="center"/>
          </w:tcPr>
          <w:p w14:paraId="23EF31E4" w14:textId="77777777" w:rsidR="00B33DF9" w:rsidRDefault="00000000" w:rsidP="00B33DF9">
            <w:pPr>
              <w:pStyle w:val="Tabletext-nospacing"/>
              <w:rPr>
                <w:rFonts w:cs="Times New Roman"/>
                <w:b/>
                <w:bCs w:val="0"/>
                <w:szCs w:val="28"/>
              </w:rPr>
            </w:pPr>
            <w:sdt>
              <w:sdtPr>
                <w:rPr>
                  <w:rFonts w:cs="Times New Roman"/>
                  <w:b/>
                  <w:bCs w:val="0"/>
                  <w:szCs w:val="28"/>
                </w:rPr>
                <w:id w:val="-1549760757"/>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6096A5A9" w14:textId="2A59CB13" w:rsidR="00B33DF9" w:rsidRPr="00D671DB" w:rsidRDefault="00000000" w:rsidP="00B33DF9">
            <w:pPr>
              <w:pStyle w:val="Tabletext-nospacing"/>
              <w:rPr>
                <w:rFonts w:cs="Times New Roman"/>
              </w:rPr>
            </w:pPr>
            <w:sdt>
              <w:sdtPr>
                <w:rPr>
                  <w:rFonts w:cs="Times New Roman"/>
                  <w:b/>
                  <w:bCs w:val="0"/>
                  <w:szCs w:val="28"/>
                </w:rPr>
                <w:id w:val="249709876"/>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249777CD" w14:textId="77777777" w:rsidTr="00DB5C6E">
        <w:trPr>
          <w:cantSplit/>
          <w:trHeight w:val="317"/>
        </w:trPr>
        <w:tc>
          <w:tcPr>
            <w:tcW w:w="6835" w:type="dxa"/>
          </w:tcPr>
          <w:p w14:paraId="4C6B6E93" w14:textId="0A920737" w:rsidR="00B33DF9" w:rsidRPr="00D671DB" w:rsidRDefault="005F2DEA" w:rsidP="00B33DF9">
            <w:pPr>
              <w:pStyle w:val="Tabletext"/>
              <w:rPr>
                <w:rFonts w:cs="Times New Roman"/>
                <w:color w:val="171717" w:themeColor="accent6" w:themeShade="1A"/>
              </w:rPr>
            </w:pPr>
            <w:r w:rsidRPr="00D671DB">
              <w:rPr>
                <w:rFonts w:cs="Times New Roman"/>
                <w:b/>
                <w:bCs/>
              </w:rPr>
              <w:t xml:space="preserve">66499.41 </w:t>
            </w:r>
            <w:r>
              <w:rPr>
                <w:rFonts w:cs="Times New Roman"/>
                <w:b/>
              </w:rPr>
              <w:t>(a)</w:t>
            </w:r>
            <w:r w:rsidRPr="00D671DB">
              <w:rPr>
                <w:rFonts w:cs="Times New Roman"/>
                <w:b/>
                <w:bCs/>
              </w:rPr>
              <w:t>(</w:t>
            </w:r>
            <w:r>
              <w:rPr>
                <w:rFonts w:cs="Times New Roman"/>
                <w:b/>
                <w:bCs/>
              </w:rPr>
              <w:t>8</w:t>
            </w:r>
            <w:r w:rsidRPr="00D671DB">
              <w:rPr>
                <w:rFonts w:cs="Times New Roman"/>
                <w:b/>
                <w:bCs/>
              </w:rPr>
              <w:t>)</w:t>
            </w:r>
            <w:r>
              <w:rPr>
                <w:rFonts w:cs="Times New Roman"/>
                <w:b/>
                <w:bCs/>
              </w:rPr>
              <w:t>(C)</w:t>
            </w:r>
          </w:p>
          <w:p w14:paraId="1EB7DFE2" w14:textId="2347DCF6" w:rsidR="00B33DF9" w:rsidRPr="00472A51" w:rsidRDefault="005F2DEA" w:rsidP="00B33DF9">
            <w:pPr>
              <w:pStyle w:val="Tabletext"/>
            </w:pPr>
            <w:r w:rsidRPr="00BA6C43">
              <w:rPr>
                <w:rFonts w:cs="Times New Roman"/>
                <w:b/>
                <w:bCs/>
                <w:color w:val="171717" w:themeColor="accent6" w:themeShade="1A"/>
              </w:rPr>
              <w:t>Occupied by Tenants.</w:t>
            </w:r>
            <w:r>
              <w:rPr>
                <w:rFonts w:cs="Times New Roman"/>
                <w:color w:val="171717" w:themeColor="accent6" w:themeShade="1A"/>
              </w:rPr>
              <w:t xml:space="preserve"> R</w:t>
            </w:r>
            <w:r w:rsidRPr="00D671DB">
              <w:rPr>
                <w:rFonts w:cs="Times New Roman"/>
                <w:color w:val="171717" w:themeColor="accent6" w:themeShade="1A"/>
              </w:rPr>
              <w:t>equire</w:t>
            </w:r>
            <w:r>
              <w:rPr>
                <w:rFonts w:cs="Times New Roman"/>
                <w:color w:val="171717" w:themeColor="accent6" w:themeShade="1A"/>
              </w:rPr>
              <w:t>s</w:t>
            </w:r>
            <w:r w:rsidRPr="00D671DB">
              <w:rPr>
                <w:rFonts w:cs="Times New Roman"/>
                <w:color w:val="171717" w:themeColor="accent6" w:themeShade="1A"/>
              </w:rPr>
              <w:t xml:space="preserve"> demolition or alteration of </w:t>
            </w:r>
            <w:r>
              <w:rPr>
                <w:rFonts w:cs="Times New Roman"/>
                <w:color w:val="171717" w:themeColor="accent6" w:themeShade="1A"/>
              </w:rPr>
              <w:t>h</w:t>
            </w:r>
            <w:r w:rsidRPr="00D671DB">
              <w:t>ousing occupied by tenants within the five years preceding the date of the application, including housing that has been demolished or that tenants have vacated prior to the submission of the application for a development permit.</w:t>
            </w:r>
          </w:p>
        </w:tc>
        <w:tc>
          <w:tcPr>
            <w:tcW w:w="2700" w:type="dxa"/>
            <w:vAlign w:val="center"/>
          </w:tcPr>
          <w:p w14:paraId="59A7BD18" w14:textId="77777777" w:rsidR="00B33DF9" w:rsidRDefault="00000000" w:rsidP="00B33DF9">
            <w:pPr>
              <w:pStyle w:val="Tabletext-nospacing"/>
              <w:rPr>
                <w:rFonts w:cs="Times New Roman"/>
                <w:b/>
                <w:bCs w:val="0"/>
                <w:szCs w:val="28"/>
              </w:rPr>
            </w:pPr>
            <w:sdt>
              <w:sdtPr>
                <w:rPr>
                  <w:rFonts w:cs="Times New Roman"/>
                  <w:b/>
                  <w:bCs w:val="0"/>
                  <w:szCs w:val="28"/>
                </w:rPr>
                <w:id w:val="107585867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0F149B53" w14:textId="1DE46EAA" w:rsidR="00B33DF9" w:rsidRPr="00D671DB" w:rsidRDefault="00000000" w:rsidP="00B33DF9">
            <w:pPr>
              <w:pStyle w:val="Tabletext-nospacing"/>
              <w:rPr>
                <w:rFonts w:cs="Times New Roman"/>
              </w:rPr>
            </w:pPr>
            <w:sdt>
              <w:sdtPr>
                <w:rPr>
                  <w:rFonts w:cs="Times New Roman"/>
                  <w:b/>
                  <w:bCs w:val="0"/>
                  <w:szCs w:val="28"/>
                </w:rPr>
                <w:id w:val="-207450410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51553AD1" w14:textId="77777777" w:rsidTr="00DB5C6E">
        <w:trPr>
          <w:cantSplit/>
          <w:trHeight w:val="317"/>
        </w:trPr>
        <w:tc>
          <w:tcPr>
            <w:tcW w:w="6835" w:type="dxa"/>
          </w:tcPr>
          <w:p w14:paraId="3118878D" w14:textId="16007036" w:rsidR="00B33DF9" w:rsidRPr="00D671DB" w:rsidRDefault="005F2DEA" w:rsidP="00B33DF9">
            <w:pPr>
              <w:pStyle w:val="Tabletext"/>
              <w:rPr>
                <w:rFonts w:cs="Times New Roman"/>
                <w:color w:val="171717" w:themeColor="accent6" w:themeShade="1A"/>
              </w:rPr>
            </w:pPr>
            <w:r w:rsidRPr="00D671DB">
              <w:rPr>
                <w:rFonts w:cs="Times New Roman"/>
                <w:b/>
                <w:bCs/>
              </w:rPr>
              <w:t xml:space="preserve">66499.41 </w:t>
            </w:r>
            <w:r>
              <w:rPr>
                <w:rFonts w:cs="Times New Roman"/>
                <w:b/>
              </w:rPr>
              <w:t>(a)</w:t>
            </w:r>
            <w:r w:rsidRPr="00D671DB">
              <w:rPr>
                <w:rFonts w:cs="Times New Roman"/>
                <w:b/>
                <w:bCs/>
              </w:rPr>
              <w:t>(</w:t>
            </w:r>
            <w:r>
              <w:rPr>
                <w:rFonts w:cs="Times New Roman"/>
                <w:b/>
                <w:bCs/>
              </w:rPr>
              <w:t>8</w:t>
            </w:r>
            <w:r w:rsidRPr="00D671DB">
              <w:rPr>
                <w:rFonts w:cs="Times New Roman"/>
                <w:b/>
                <w:bCs/>
              </w:rPr>
              <w:t>)</w:t>
            </w:r>
            <w:r>
              <w:rPr>
                <w:rFonts w:cs="Times New Roman"/>
                <w:b/>
                <w:bCs/>
              </w:rPr>
              <w:t>(D)</w:t>
            </w:r>
          </w:p>
          <w:p w14:paraId="1450E915" w14:textId="7114FBDA" w:rsidR="00B33DF9" w:rsidRPr="00D671DB" w:rsidRDefault="005F2DEA" w:rsidP="00B33DF9">
            <w:pPr>
              <w:pStyle w:val="Tabletext"/>
              <w:rPr>
                <w:rFonts w:cs="Times New Roman"/>
                <w:b/>
                <w:bCs/>
              </w:rPr>
            </w:pPr>
            <w:r w:rsidRPr="00BA6C43">
              <w:rPr>
                <w:rFonts w:cs="Times New Roman"/>
                <w:b/>
                <w:bCs/>
                <w:color w:val="171717" w:themeColor="accent6" w:themeShade="1A"/>
              </w:rPr>
              <w:t>Owner’s Rights.</w:t>
            </w:r>
            <w:r>
              <w:rPr>
                <w:rFonts w:cs="Times New Roman"/>
                <w:color w:val="171717" w:themeColor="accent6" w:themeShade="1A"/>
              </w:rPr>
              <w:t xml:space="preserve"> R</w:t>
            </w:r>
            <w:r w:rsidRPr="00D671DB">
              <w:rPr>
                <w:rFonts w:cs="Times New Roman"/>
                <w:color w:val="171717" w:themeColor="accent6" w:themeShade="1A"/>
              </w:rPr>
              <w:t>equire</w:t>
            </w:r>
            <w:r>
              <w:rPr>
                <w:rFonts w:cs="Times New Roman"/>
                <w:color w:val="171717" w:themeColor="accent6" w:themeShade="1A"/>
              </w:rPr>
              <w:t>s</w:t>
            </w:r>
            <w:r w:rsidRPr="00D671DB">
              <w:rPr>
                <w:rFonts w:cs="Times New Roman"/>
                <w:color w:val="171717" w:themeColor="accent6" w:themeShade="1A"/>
              </w:rPr>
              <w:t xml:space="preserve"> demolition or alteration of</w:t>
            </w:r>
            <w:r>
              <w:rPr>
                <w:rFonts w:cs="Times New Roman"/>
                <w:color w:val="171717" w:themeColor="accent6" w:themeShade="1A"/>
              </w:rPr>
              <w:t xml:space="preserve"> </w:t>
            </w:r>
            <w:r>
              <w:rPr>
                <w:color w:val="171717" w:themeColor="accent6" w:themeShade="1A"/>
              </w:rPr>
              <w:t>a</w:t>
            </w:r>
            <w:r w:rsidRPr="00E4723B">
              <w:t xml:space="preserve"> parcel on which an owner of residential real property has exercised the owner’s rights under Chapter 12.75 (commencing with Section 7060) of Division 7 of Title 1 of the Government Code to withdraw accommodations from rent or lease within 15 years before the date that the development proponent </w:t>
            </w:r>
            <w:proofErr w:type="gramStart"/>
            <w:r w:rsidRPr="00E4723B">
              <w:t>submits an application</w:t>
            </w:r>
            <w:proofErr w:type="gramEnd"/>
            <w:r w:rsidRPr="00E4723B">
              <w:t>.</w:t>
            </w:r>
          </w:p>
        </w:tc>
        <w:tc>
          <w:tcPr>
            <w:tcW w:w="2700" w:type="dxa"/>
            <w:vAlign w:val="center"/>
          </w:tcPr>
          <w:p w14:paraId="34EA5096" w14:textId="77777777" w:rsidR="00B33DF9" w:rsidRDefault="00000000" w:rsidP="00B33DF9">
            <w:pPr>
              <w:pStyle w:val="Tabletext-nospacing"/>
              <w:rPr>
                <w:rFonts w:cs="Times New Roman"/>
                <w:b/>
                <w:bCs w:val="0"/>
                <w:szCs w:val="28"/>
              </w:rPr>
            </w:pPr>
            <w:sdt>
              <w:sdtPr>
                <w:rPr>
                  <w:rFonts w:cs="Times New Roman"/>
                  <w:b/>
                  <w:bCs w:val="0"/>
                  <w:szCs w:val="28"/>
                </w:rPr>
                <w:id w:val="442582577"/>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7F0A831F" w14:textId="1C224C0F" w:rsidR="00B33DF9" w:rsidRPr="00D671DB" w:rsidRDefault="00000000" w:rsidP="00B33DF9">
            <w:pPr>
              <w:pStyle w:val="Tabletext-nospacing"/>
              <w:rPr>
                <w:rFonts w:cs="Times New Roman"/>
              </w:rPr>
            </w:pPr>
            <w:sdt>
              <w:sdtPr>
                <w:rPr>
                  <w:rFonts w:cs="Times New Roman"/>
                  <w:b/>
                  <w:bCs w:val="0"/>
                  <w:szCs w:val="28"/>
                </w:rPr>
                <w:id w:val="593746317"/>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3A8D3B29" w14:textId="77777777" w:rsidTr="00DB5C6E">
        <w:trPr>
          <w:cantSplit/>
          <w:trHeight w:val="913"/>
        </w:trPr>
        <w:tc>
          <w:tcPr>
            <w:tcW w:w="6835" w:type="dxa"/>
          </w:tcPr>
          <w:p w14:paraId="0FE23C44" w14:textId="0A41D1F5" w:rsidR="00B33DF9" w:rsidRPr="00B50AED" w:rsidRDefault="005F2DEA" w:rsidP="00B33DF9">
            <w:pPr>
              <w:pStyle w:val="Tabletext"/>
              <w:rPr>
                <w:b/>
                <w:bCs/>
                <w:color w:val="171717" w:themeColor="accent6" w:themeShade="1A"/>
              </w:rPr>
            </w:pPr>
            <w:r w:rsidRPr="00B50AED">
              <w:rPr>
                <w:b/>
                <w:bCs/>
              </w:rPr>
              <w:t xml:space="preserve">66499.41 </w:t>
            </w:r>
            <w:r w:rsidRPr="00B50AED">
              <w:rPr>
                <w:b/>
                <w:bCs/>
                <w:color w:val="171717" w:themeColor="accent6" w:themeShade="1A"/>
              </w:rPr>
              <w:t>(a)</w:t>
            </w:r>
            <w:r w:rsidRPr="00B50AED">
              <w:rPr>
                <w:b/>
                <w:bCs/>
              </w:rPr>
              <w:t>(9)</w:t>
            </w:r>
            <w:r>
              <w:rPr>
                <w:b/>
                <w:bCs/>
              </w:rPr>
              <w:t>(A)</w:t>
            </w:r>
          </w:p>
          <w:p w14:paraId="28E00578" w14:textId="5ACF7A97" w:rsidR="00B33DF9" w:rsidRPr="00D671DB" w:rsidRDefault="005F2DEA" w:rsidP="00B33DF9">
            <w:pPr>
              <w:pStyle w:val="Tabletext"/>
            </w:pPr>
            <w:r w:rsidRPr="000B5B13">
              <w:rPr>
                <w:b/>
                <w:bCs/>
              </w:rPr>
              <w:t>Farmland</w:t>
            </w:r>
            <w:r>
              <w:rPr>
                <w:b/>
                <w:bCs/>
              </w:rPr>
              <w:t>.</w:t>
            </w:r>
            <w:r>
              <w:t xml:space="preserve"> The lot is on e</w:t>
            </w:r>
            <w:r w:rsidRPr="00D671DB">
              <w:t>ither prime farmland or farmland of statewide importance, as defined pursuant to United States Department of Agriculture land inventory and monitoring criteria, as modified for California, and designated on the maps prepared by the Farmland Mapping and Monitoring Program of the Department of Conservation, or land zoned or designated for agricultural protection or preservation by a local ballot measure that was approved by the voters of that jurisdiction.</w:t>
            </w:r>
          </w:p>
        </w:tc>
        <w:tc>
          <w:tcPr>
            <w:tcW w:w="2700" w:type="dxa"/>
            <w:vAlign w:val="center"/>
          </w:tcPr>
          <w:p w14:paraId="6FEF982D" w14:textId="77777777" w:rsidR="00B33DF9" w:rsidRDefault="00000000" w:rsidP="00B33DF9">
            <w:pPr>
              <w:pStyle w:val="Tabletext-nospacing"/>
              <w:rPr>
                <w:rFonts w:cs="Times New Roman"/>
                <w:b/>
                <w:bCs w:val="0"/>
                <w:szCs w:val="28"/>
              </w:rPr>
            </w:pPr>
            <w:sdt>
              <w:sdtPr>
                <w:rPr>
                  <w:rFonts w:cs="Times New Roman"/>
                  <w:b/>
                  <w:bCs w:val="0"/>
                  <w:szCs w:val="28"/>
                </w:rPr>
                <w:id w:val="5257581"/>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353E8551" w14:textId="55ADE52A" w:rsidR="00B33DF9" w:rsidRPr="00D671DB" w:rsidRDefault="00000000" w:rsidP="00B33DF9">
            <w:pPr>
              <w:pStyle w:val="Tabletext-nospacing"/>
              <w:rPr>
                <w:rFonts w:cs="Times New Roman"/>
              </w:rPr>
            </w:pPr>
            <w:sdt>
              <w:sdtPr>
                <w:rPr>
                  <w:rFonts w:cs="Times New Roman"/>
                  <w:b/>
                  <w:bCs w:val="0"/>
                  <w:szCs w:val="28"/>
                </w:rPr>
                <w:id w:val="1851534146"/>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498A297B" w14:textId="77777777" w:rsidTr="00DB5C6E">
        <w:trPr>
          <w:cantSplit/>
          <w:trHeight w:val="391"/>
        </w:trPr>
        <w:tc>
          <w:tcPr>
            <w:tcW w:w="6835" w:type="dxa"/>
          </w:tcPr>
          <w:p w14:paraId="54663F34" w14:textId="72E1073E" w:rsidR="00B33DF9" w:rsidRPr="00084BFC"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B</w:t>
            </w:r>
            <w:r w:rsidRPr="00472A51">
              <w:rPr>
                <w:b/>
                <w:bCs/>
              </w:rPr>
              <w:t>)</w:t>
            </w:r>
          </w:p>
          <w:p w14:paraId="029E5410" w14:textId="62171369" w:rsidR="00B33DF9" w:rsidRPr="00084BFC" w:rsidRDefault="005F2DEA" w:rsidP="00B33DF9">
            <w:pPr>
              <w:pStyle w:val="Tabletext"/>
            </w:pPr>
            <w:r w:rsidRPr="000B5B13">
              <w:rPr>
                <w:b/>
                <w:bCs/>
              </w:rPr>
              <w:t>Wetlands</w:t>
            </w:r>
            <w:r>
              <w:rPr>
                <w:b/>
                <w:bCs/>
              </w:rPr>
              <w:t>.</w:t>
            </w:r>
            <w:r w:rsidRPr="00D671DB">
              <w:t xml:space="preserve"> </w:t>
            </w:r>
            <w:r>
              <w:t xml:space="preserve">The site is in Wetlands as </w:t>
            </w:r>
            <w:r w:rsidRPr="00D671DB">
              <w:t>defined in the United States Fish and Wildlife Service Manual, Part 660 FW 2 (June 21, 1993).</w:t>
            </w:r>
          </w:p>
        </w:tc>
        <w:tc>
          <w:tcPr>
            <w:tcW w:w="2700" w:type="dxa"/>
            <w:vAlign w:val="center"/>
          </w:tcPr>
          <w:p w14:paraId="4138C91A" w14:textId="77777777" w:rsidR="00B33DF9" w:rsidRDefault="00000000" w:rsidP="00B33DF9">
            <w:pPr>
              <w:pStyle w:val="Tabletext-nospacing"/>
              <w:rPr>
                <w:rFonts w:cs="Times New Roman"/>
                <w:b/>
                <w:bCs w:val="0"/>
                <w:szCs w:val="28"/>
              </w:rPr>
            </w:pPr>
            <w:sdt>
              <w:sdtPr>
                <w:rPr>
                  <w:rFonts w:cs="Times New Roman"/>
                  <w:b/>
                  <w:bCs w:val="0"/>
                  <w:szCs w:val="28"/>
                </w:rPr>
                <w:id w:val="792026341"/>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0F0B8F6E" w14:textId="3A87C6FB" w:rsidR="00B33DF9" w:rsidRDefault="00000000" w:rsidP="00B33DF9">
            <w:pPr>
              <w:pStyle w:val="Tabletext-nospacing"/>
              <w:rPr>
                <w:rFonts w:cs="Times New Roman"/>
              </w:rPr>
            </w:pPr>
            <w:sdt>
              <w:sdtPr>
                <w:rPr>
                  <w:rFonts w:cs="Times New Roman"/>
                  <w:b/>
                  <w:bCs w:val="0"/>
                  <w:szCs w:val="28"/>
                </w:rPr>
                <w:id w:val="53901887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32CD7708" w14:textId="77777777" w:rsidTr="00DB5C6E">
        <w:trPr>
          <w:cantSplit/>
          <w:trHeight w:val="391"/>
        </w:trPr>
        <w:tc>
          <w:tcPr>
            <w:tcW w:w="6835" w:type="dxa"/>
          </w:tcPr>
          <w:p w14:paraId="0F5C43B4" w14:textId="5065FEE2" w:rsidR="00B33DF9" w:rsidRPr="00084BFC"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C</w:t>
            </w:r>
            <w:r w:rsidRPr="00472A51">
              <w:rPr>
                <w:b/>
                <w:bCs/>
              </w:rPr>
              <w:t>)</w:t>
            </w:r>
          </w:p>
          <w:p w14:paraId="5076CF17" w14:textId="33CDAAE8" w:rsidR="00B33DF9" w:rsidRPr="00084BFC" w:rsidRDefault="005F2DEA" w:rsidP="00B33DF9">
            <w:pPr>
              <w:pStyle w:val="Tabletext"/>
            </w:pPr>
            <w:r w:rsidRPr="000B5B13">
              <w:rPr>
                <w:b/>
                <w:bCs/>
              </w:rPr>
              <w:t>Fire Hazard.</w:t>
            </w:r>
            <w:r>
              <w:t xml:space="preserve"> The lot is w</w:t>
            </w:r>
            <w:r w:rsidRPr="00D671DB">
              <w:t xml:space="preserve">ithin a very high fire hazard severity zone, as determined by the Department of Forestry and Fire Protection pursuant to Section 51178 of the Government Code, or within a high or very high fire hazard severity zone as indicated on maps adopted by the Department of Forestry and Fire Protection pursuant to Section 4202 of the Public Resources Code. </w:t>
            </w:r>
          </w:p>
        </w:tc>
        <w:tc>
          <w:tcPr>
            <w:tcW w:w="2700" w:type="dxa"/>
            <w:vAlign w:val="center"/>
          </w:tcPr>
          <w:p w14:paraId="12F58BD2" w14:textId="77777777" w:rsidR="00B33DF9" w:rsidRDefault="00000000" w:rsidP="00B33DF9">
            <w:pPr>
              <w:pStyle w:val="Tabletext-nospacing"/>
              <w:rPr>
                <w:rFonts w:cs="Times New Roman"/>
                <w:b/>
                <w:bCs w:val="0"/>
                <w:szCs w:val="28"/>
              </w:rPr>
            </w:pPr>
            <w:sdt>
              <w:sdtPr>
                <w:rPr>
                  <w:rFonts w:cs="Times New Roman"/>
                  <w:b/>
                  <w:bCs w:val="0"/>
                  <w:szCs w:val="28"/>
                </w:rPr>
                <w:id w:val="-144422526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78F38F4D" w14:textId="7101BF4B" w:rsidR="00B33DF9" w:rsidRDefault="00000000" w:rsidP="00B33DF9">
            <w:pPr>
              <w:pStyle w:val="Tabletext-nospacing"/>
              <w:rPr>
                <w:rFonts w:cs="Times New Roman"/>
              </w:rPr>
            </w:pPr>
            <w:sdt>
              <w:sdtPr>
                <w:rPr>
                  <w:rFonts w:cs="Times New Roman"/>
                  <w:b/>
                  <w:bCs w:val="0"/>
                  <w:szCs w:val="28"/>
                </w:rPr>
                <w:id w:val="-74078934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28315CAB" w14:textId="77777777" w:rsidTr="00DB5C6E">
        <w:trPr>
          <w:cantSplit/>
          <w:trHeight w:val="391"/>
        </w:trPr>
        <w:tc>
          <w:tcPr>
            <w:tcW w:w="6835" w:type="dxa"/>
          </w:tcPr>
          <w:p w14:paraId="08BCD7E1" w14:textId="5E719380" w:rsidR="00B33DF9" w:rsidRPr="00084BFC"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D</w:t>
            </w:r>
            <w:r w:rsidRPr="00472A51">
              <w:rPr>
                <w:b/>
                <w:bCs/>
              </w:rPr>
              <w:t>)</w:t>
            </w:r>
          </w:p>
          <w:p w14:paraId="40361EB5" w14:textId="030181F1" w:rsidR="00B33DF9" w:rsidRPr="00084BFC" w:rsidRDefault="005F2DEA" w:rsidP="00B33DF9">
            <w:pPr>
              <w:pStyle w:val="Tabletext"/>
            </w:pPr>
            <w:r w:rsidRPr="000B5B13">
              <w:rPr>
                <w:b/>
                <w:bCs/>
              </w:rPr>
              <w:t>Hazardous Waste.</w:t>
            </w:r>
            <w:r>
              <w:t xml:space="preserve"> The lot is w</w:t>
            </w:r>
            <w:r w:rsidRPr="00D671DB">
              <w:t xml:space="preserve">ithin </w:t>
            </w:r>
            <w:r>
              <w:t xml:space="preserve">a </w:t>
            </w:r>
            <w:r w:rsidRPr="00D671DB">
              <w:t xml:space="preserve">hazardous waste site that is listed pursuant to Section 65962.5 of the Government Code or a hazardous waste site designated by the Department of Toxic Substances Control pursuant to </w:t>
            </w:r>
            <w:r w:rsidR="00096B21">
              <w:t xml:space="preserve">former </w:t>
            </w:r>
            <w:r w:rsidRPr="00D671DB">
              <w:t xml:space="preserve">Section 25356 of the Health and Safety Code, </w:t>
            </w:r>
            <w:r w:rsidR="00EF0BFE">
              <w:rPr>
                <w:b/>
                <w:bCs/>
              </w:rPr>
              <w:t>and</w:t>
            </w:r>
            <w:r w:rsidR="00EF0BFE" w:rsidRPr="00D671DB">
              <w:t xml:space="preserve"> </w:t>
            </w:r>
            <w:r w:rsidRPr="00D671DB">
              <w:t>the State Department of Public Health, State Water Resources Control Board, or Department of Toxic Substances Control has</w:t>
            </w:r>
            <w:r w:rsidR="00EF0BFE">
              <w:t xml:space="preserve"> not</w:t>
            </w:r>
            <w:r w:rsidRPr="00D671DB">
              <w:t xml:space="preserve"> </w:t>
            </w:r>
            <w:r>
              <w:t>determined</w:t>
            </w:r>
            <w:r w:rsidRPr="00D671DB">
              <w:t xml:space="preserve"> the site </w:t>
            </w:r>
            <w:r>
              <w:t xml:space="preserve">is suitable </w:t>
            </w:r>
            <w:r w:rsidRPr="00D671DB">
              <w:t>for residential use or residential mixed uses.</w:t>
            </w:r>
          </w:p>
        </w:tc>
        <w:tc>
          <w:tcPr>
            <w:tcW w:w="2700" w:type="dxa"/>
            <w:vAlign w:val="center"/>
          </w:tcPr>
          <w:p w14:paraId="41339B55" w14:textId="77777777" w:rsidR="00B33DF9" w:rsidRDefault="00000000" w:rsidP="00B33DF9">
            <w:pPr>
              <w:pStyle w:val="Tabletext-nospacing"/>
              <w:rPr>
                <w:rFonts w:cs="Times New Roman"/>
                <w:b/>
                <w:bCs w:val="0"/>
                <w:szCs w:val="28"/>
              </w:rPr>
            </w:pPr>
            <w:sdt>
              <w:sdtPr>
                <w:rPr>
                  <w:rFonts w:cs="Times New Roman"/>
                  <w:b/>
                  <w:bCs w:val="0"/>
                  <w:szCs w:val="28"/>
                </w:rPr>
                <w:id w:val="1089816947"/>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7744DF24" w14:textId="73DE55D8" w:rsidR="00B33DF9" w:rsidRDefault="00000000" w:rsidP="00B33DF9">
            <w:pPr>
              <w:pStyle w:val="Tabletext-nospacing"/>
              <w:rPr>
                <w:rFonts w:cs="Times New Roman"/>
              </w:rPr>
            </w:pPr>
            <w:sdt>
              <w:sdtPr>
                <w:rPr>
                  <w:rFonts w:cs="Times New Roman"/>
                  <w:b/>
                  <w:bCs w:val="0"/>
                  <w:szCs w:val="28"/>
                </w:rPr>
                <w:id w:val="172313891"/>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447AD9AA" w14:textId="77777777" w:rsidTr="00DB5C6E">
        <w:trPr>
          <w:cantSplit/>
          <w:trHeight w:val="391"/>
        </w:trPr>
        <w:tc>
          <w:tcPr>
            <w:tcW w:w="6835" w:type="dxa"/>
          </w:tcPr>
          <w:p w14:paraId="37FD3A48" w14:textId="1C24E994" w:rsidR="00B33DF9" w:rsidRPr="00084BFC"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E</w:t>
            </w:r>
            <w:r w:rsidRPr="00472A51">
              <w:rPr>
                <w:b/>
                <w:bCs/>
              </w:rPr>
              <w:t>)</w:t>
            </w:r>
          </w:p>
          <w:p w14:paraId="2DF59311" w14:textId="4A120C4D" w:rsidR="00B33DF9" w:rsidRPr="00084BFC" w:rsidRDefault="005F2DEA" w:rsidP="00B33DF9">
            <w:pPr>
              <w:pStyle w:val="Tabletext"/>
            </w:pPr>
            <w:r w:rsidRPr="000B5B13">
              <w:rPr>
                <w:b/>
                <w:bCs/>
              </w:rPr>
              <w:t>Earthquake Zone.</w:t>
            </w:r>
            <w:r>
              <w:t xml:space="preserve"> The lot is w</w:t>
            </w:r>
            <w:r w:rsidRPr="00D671DB">
              <w:t xml:space="preserve">ithin a delineated earthquake fault zone as determined by the State Geologist in any official maps published by the State Geologist, </w:t>
            </w:r>
            <w:r w:rsidR="0051029C">
              <w:rPr>
                <w:b/>
                <w:bCs/>
              </w:rPr>
              <w:t>and</w:t>
            </w:r>
            <w:r w:rsidR="0051029C" w:rsidRPr="00D671DB">
              <w:t xml:space="preserve"> </w:t>
            </w:r>
            <w:r w:rsidRPr="00D671DB">
              <w:t xml:space="preserve">the development </w:t>
            </w:r>
            <w:r w:rsidR="0051029C">
              <w:t>does not comply</w:t>
            </w:r>
            <w:r w:rsidR="0051029C" w:rsidRPr="00D671DB">
              <w:t xml:space="preserve"> </w:t>
            </w:r>
            <w:r w:rsidRPr="00D671DB">
              <w:t>with applicable seismic protection building code standards adopted by the California Building Standards Commission under the California Building Standards Law (Part 2.5 (commencing with Section 18901) of Division 13 of the Health and Safety Code), and by the building department under Chapter 12.2 (commencing with Section 8875) of Division 1 of Title 2 of the Government Code.</w:t>
            </w:r>
          </w:p>
        </w:tc>
        <w:tc>
          <w:tcPr>
            <w:tcW w:w="2700" w:type="dxa"/>
            <w:vAlign w:val="center"/>
          </w:tcPr>
          <w:p w14:paraId="4FA827AF" w14:textId="77777777" w:rsidR="00B33DF9" w:rsidRDefault="00000000" w:rsidP="00B33DF9">
            <w:pPr>
              <w:pStyle w:val="Tabletext-nospacing"/>
              <w:rPr>
                <w:rFonts w:cs="Times New Roman"/>
                <w:b/>
                <w:bCs w:val="0"/>
                <w:szCs w:val="28"/>
              </w:rPr>
            </w:pPr>
            <w:sdt>
              <w:sdtPr>
                <w:rPr>
                  <w:rFonts w:cs="Times New Roman"/>
                  <w:b/>
                  <w:bCs w:val="0"/>
                  <w:szCs w:val="28"/>
                </w:rPr>
                <w:id w:val="1913816186"/>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4117ADFF" w14:textId="3FC21CFD" w:rsidR="00B33DF9" w:rsidRDefault="00000000" w:rsidP="00B33DF9">
            <w:pPr>
              <w:pStyle w:val="Tabletext-nospacing"/>
              <w:rPr>
                <w:rFonts w:cs="Times New Roman"/>
              </w:rPr>
            </w:pPr>
            <w:sdt>
              <w:sdtPr>
                <w:rPr>
                  <w:rFonts w:cs="Times New Roman"/>
                  <w:b/>
                  <w:bCs w:val="0"/>
                  <w:szCs w:val="28"/>
                </w:rPr>
                <w:id w:val="-150542073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r w:rsidR="00F37B76">
              <w:rPr>
                <w:rFonts w:cs="Times New Roman"/>
                <w:b/>
                <w:bCs w:val="0"/>
                <w:szCs w:val="28"/>
              </w:rPr>
              <w:t>)</w:t>
            </w:r>
          </w:p>
        </w:tc>
      </w:tr>
      <w:tr w:rsidR="00A67448" w14:paraId="03914D68" w14:textId="77777777" w:rsidTr="00DB5C6E">
        <w:trPr>
          <w:cantSplit/>
          <w:trHeight w:val="391"/>
        </w:trPr>
        <w:tc>
          <w:tcPr>
            <w:tcW w:w="6835" w:type="dxa"/>
          </w:tcPr>
          <w:p w14:paraId="0D2CF46A" w14:textId="7B631E6B" w:rsidR="00B33DF9" w:rsidRPr="00084BFC"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F</w:t>
            </w:r>
            <w:r w:rsidRPr="00472A51">
              <w:rPr>
                <w:b/>
                <w:bCs/>
              </w:rPr>
              <w:t>)</w:t>
            </w:r>
          </w:p>
          <w:p w14:paraId="1885D1D2" w14:textId="708BB6D0" w:rsidR="00B33DF9" w:rsidRPr="00472A51" w:rsidRDefault="005F2DEA" w:rsidP="00B33DF9">
            <w:pPr>
              <w:pStyle w:val="Tabletext"/>
              <w:rPr>
                <w:b/>
                <w:bCs/>
              </w:rPr>
            </w:pPr>
            <w:r w:rsidRPr="00084BFC">
              <w:rPr>
                <w:b/>
                <w:bCs/>
              </w:rPr>
              <w:t xml:space="preserve">Flood Hazard Zone. </w:t>
            </w:r>
            <w:r>
              <w:t>The lot is w</w:t>
            </w:r>
            <w:r w:rsidRPr="00D671DB">
              <w:t xml:space="preserve">ithin a special flood hazard area subject to inundation by the </w:t>
            </w:r>
            <w:r w:rsidR="00C86739">
              <w:t>one</w:t>
            </w:r>
            <w:r w:rsidR="00C86739" w:rsidRPr="00D671DB">
              <w:t xml:space="preserve"> </w:t>
            </w:r>
            <w:r w:rsidRPr="00D671DB">
              <w:t>percent annual chance flood (100-year flood) as determined by the Federal Emergency Management Agency</w:t>
            </w:r>
            <w:r w:rsidR="0051029C">
              <w:t xml:space="preserve"> (FEMA)</w:t>
            </w:r>
            <w:r w:rsidRPr="00D671DB">
              <w:t xml:space="preserve"> in any official maps published by </w:t>
            </w:r>
            <w:r w:rsidR="0051029C">
              <w:t xml:space="preserve">FEMA, </w:t>
            </w:r>
            <w:r w:rsidR="0051029C" w:rsidRPr="006B2B7C">
              <w:rPr>
                <w:b/>
                <w:bCs/>
              </w:rPr>
              <w:t>and</w:t>
            </w:r>
            <w:r w:rsidR="0051029C">
              <w:t xml:space="preserve"> </w:t>
            </w:r>
            <w:r w:rsidR="00B62E0B">
              <w:t xml:space="preserve">either </w:t>
            </w:r>
            <w:r w:rsidR="0051029C">
              <w:t xml:space="preserve">the site has not been subject </w:t>
            </w:r>
            <w:r w:rsidR="0051029C" w:rsidRPr="0051029C">
              <w:t xml:space="preserve">to a Letter of Map Revision prepared by </w:t>
            </w:r>
            <w:r w:rsidR="0051029C">
              <w:t>FEMA</w:t>
            </w:r>
            <w:r w:rsidR="0051029C" w:rsidRPr="0051029C">
              <w:t xml:space="preserve"> and issued to the local jurisdiction</w:t>
            </w:r>
            <w:r w:rsidR="0051029C">
              <w:t xml:space="preserve"> </w:t>
            </w:r>
            <w:r w:rsidR="00B62E0B">
              <w:rPr>
                <w:b/>
                <w:bCs/>
              </w:rPr>
              <w:t>or</w:t>
            </w:r>
            <w:r w:rsidR="0051029C">
              <w:t xml:space="preserve"> the </w:t>
            </w:r>
            <w:r w:rsidR="0051029C" w:rsidRPr="0051029C">
              <w:t>site</w:t>
            </w:r>
            <w:r w:rsidR="0051029C">
              <w:t xml:space="preserve"> does not</w:t>
            </w:r>
            <w:r w:rsidR="0051029C" w:rsidRPr="0051029C">
              <w:t xml:space="preserve"> meet </w:t>
            </w:r>
            <w:r w:rsidR="0051029C">
              <w:t>FEMA</w:t>
            </w:r>
            <w:r w:rsidR="0051029C" w:rsidRPr="0051029C">
              <w:t xml:space="preserve"> requirements necessary to meet minimum flood plain management criteria of the National Flood Insurance Program pursuant to Part 59 (commencing with Section 59.1) and Part 60 (commencing with Section 60.1) of Subchapter B of Chapter I of Title 44 of the Code of Federal Regulations</w:t>
            </w:r>
            <w:r w:rsidRPr="00D671DB">
              <w:t>.</w:t>
            </w:r>
          </w:p>
        </w:tc>
        <w:tc>
          <w:tcPr>
            <w:tcW w:w="2700" w:type="dxa"/>
            <w:vAlign w:val="center"/>
          </w:tcPr>
          <w:p w14:paraId="01519FD0" w14:textId="77777777" w:rsidR="00B33DF9" w:rsidRDefault="00000000" w:rsidP="00B33DF9">
            <w:pPr>
              <w:pStyle w:val="Tabletext-nospacing"/>
              <w:rPr>
                <w:rFonts w:cs="Times New Roman"/>
                <w:b/>
                <w:bCs w:val="0"/>
                <w:szCs w:val="28"/>
              </w:rPr>
            </w:pPr>
            <w:sdt>
              <w:sdtPr>
                <w:rPr>
                  <w:rFonts w:cs="Times New Roman"/>
                  <w:b/>
                  <w:bCs w:val="0"/>
                  <w:szCs w:val="28"/>
                </w:rPr>
                <w:id w:val="1187249638"/>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60CF1624" w14:textId="336CB239" w:rsidR="00B33DF9" w:rsidRDefault="00000000" w:rsidP="00B33DF9">
            <w:pPr>
              <w:pStyle w:val="Tabletext-nospacing"/>
              <w:rPr>
                <w:rFonts w:cs="Times New Roman"/>
              </w:rPr>
            </w:pPr>
            <w:sdt>
              <w:sdtPr>
                <w:rPr>
                  <w:rFonts w:cs="Times New Roman"/>
                  <w:b/>
                  <w:bCs w:val="0"/>
                  <w:szCs w:val="28"/>
                </w:rPr>
                <w:id w:val="-767847458"/>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0DB49374" w14:textId="77777777" w:rsidTr="00DB5C6E">
        <w:trPr>
          <w:cantSplit/>
          <w:trHeight w:val="391"/>
        </w:trPr>
        <w:tc>
          <w:tcPr>
            <w:tcW w:w="6835" w:type="dxa"/>
          </w:tcPr>
          <w:p w14:paraId="0AAD0C8D" w14:textId="1A6CC209" w:rsidR="00B33DF9" w:rsidRPr="00084BFC"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G</w:t>
            </w:r>
            <w:r w:rsidRPr="00472A51">
              <w:rPr>
                <w:b/>
                <w:bCs/>
              </w:rPr>
              <w:t>)</w:t>
            </w:r>
          </w:p>
          <w:p w14:paraId="17B5377C" w14:textId="3ECB209D" w:rsidR="00B33DF9" w:rsidRPr="00472A51" w:rsidRDefault="005F2DEA" w:rsidP="00B33DF9">
            <w:pPr>
              <w:pStyle w:val="Tabletext"/>
              <w:rPr>
                <w:b/>
                <w:bCs/>
              </w:rPr>
            </w:pPr>
            <w:r w:rsidRPr="00084BFC">
              <w:rPr>
                <w:b/>
                <w:bCs/>
              </w:rPr>
              <w:t>Regulatory Floodway.</w:t>
            </w:r>
            <w:r>
              <w:t xml:space="preserve"> The lot is w</w:t>
            </w:r>
            <w:r w:rsidRPr="00D671DB">
              <w:t xml:space="preserve">ithin a regulatory floodway as determined by the Federal Emergency Management Agency in any official maps published by the Federal Emergency Management Agency, </w:t>
            </w:r>
            <w:r w:rsidR="00EF0BFE" w:rsidRPr="006B2B7C">
              <w:rPr>
                <w:b/>
                <w:bCs/>
              </w:rPr>
              <w:t>and</w:t>
            </w:r>
            <w:r w:rsidR="00EF0BFE" w:rsidRPr="00D671DB">
              <w:t xml:space="preserve"> </w:t>
            </w:r>
            <w:r w:rsidRPr="00D671DB">
              <w:t xml:space="preserve">the development has </w:t>
            </w:r>
            <w:r w:rsidR="00EF0BFE">
              <w:t xml:space="preserve">not </w:t>
            </w:r>
            <w:r w:rsidRPr="00D671DB">
              <w:t>received a no-rise certification in accordance with Section 60.3(d)(3) of Title 44 of the Code of Federal Regulations.</w:t>
            </w:r>
          </w:p>
        </w:tc>
        <w:tc>
          <w:tcPr>
            <w:tcW w:w="2700" w:type="dxa"/>
            <w:vAlign w:val="center"/>
          </w:tcPr>
          <w:p w14:paraId="5DDC7834" w14:textId="77777777" w:rsidR="00B33DF9" w:rsidRDefault="00000000" w:rsidP="00B33DF9">
            <w:pPr>
              <w:pStyle w:val="Tabletext-nospacing"/>
              <w:rPr>
                <w:rFonts w:cs="Times New Roman"/>
                <w:b/>
                <w:bCs w:val="0"/>
                <w:szCs w:val="28"/>
              </w:rPr>
            </w:pPr>
            <w:sdt>
              <w:sdtPr>
                <w:rPr>
                  <w:rFonts w:cs="Times New Roman"/>
                  <w:b/>
                  <w:bCs w:val="0"/>
                  <w:szCs w:val="28"/>
                </w:rPr>
                <w:id w:val="48892882"/>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1E1E5BCD" w14:textId="594E8912" w:rsidR="00B33DF9" w:rsidRDefault="00000000" w:rsidP="00B33DF9">
            <w:pPr>
              <w:pStyle w:val="Tabletext-nospacing"/>
              <w:rPr>
                <w:rFonts w:cs="Times New Roman"/>
              </w:rPr>
            </w:pPr>
            <w:sdt>
              <w:sdtPr>
                <w:rPr>
                  <w:rFonts w:cs="Times New Roman"/>
                  <w:b/>
                  <w:bCs w:val="0"/>
                  <w:szCs w:val="28"/>
                </w:rPr>
                <w:id w:val="-1267528036"/>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210F20CC" w14:textId="77777777" w:rsidTr="00DB5C6E">
        <w:trPr>
          <w:cantSplit/>
          <w:trHeight w:val="391"/>
        </w:trPr>
        <w:tc>
          <w:tcPr>
            <w:tcW w:w="6835" w:type="dxa"/>
          </w:tcPr>
          <w:p w14:paraId="44D61CBF" w14:textId="4B76CED2" w:rsidR="00B33DF9" w:rsidRPr="00472A51"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H</w:t>
            </w:r>
            <w:r w:rsidRPr="00472A51">
              <w:rPr>
                <w:b/>
                <w:bCs/>
              </w:rPr>
              <w:t>)</w:t>
            </w:r>
          </w:p>
          <w:p w14:paraId="14CCBE88" w14:textId="24C44204" w:rsidR="00B33DF9" w:rsidRPr="00472A51" w:rsidRDefault="005F2DEA" w:rsidP="00B33DF9">
            <w:pPr>
              <w:pStyle w:val="Tabletext"/>
              <w:rPr>
                <w:b/>
                <w:bCs/>
              </w:rPr>
            </w:pPr>
            <w:r>
              <w:rPr>
                <w:b/>
                <w:bCs/>
              </w:rPr>
              <w:t xml:space="preserve">Natural Community </w:t>
            </w:r>
            <w:r w:rsidRPr="00084BFC">
              <w:rPr>
                <w:b/>
                <w:bCs/>
              </w:rPr>
              <w:t>Conservation</w:t>
            </w:r>
            <w:r>
              <w:rPr>
                <w:b/>
                <w:bCs/>
              </w:rPr>
              <w:t xml:space="preserve"> Plan</w:t>
            </w:r>
            <w:r w:rsidRPr="00084BFC">
              <w:rPr>
                <w:b/>
                <w:bCs/>
              </w:rPr>
              <w:t>.</w:t>
            </w:r>
            <w:r>
              <w:t xml:space="preserve"> The lot is on l</w:t>
            </w:r>
            <w:r w:rsidRPr="00D671DB">
              <w:t>ands identified for conservation in an adopted natural community conservation plan pursuant to the Natural Community Conservation Planning Act (Chapter 10 (commencing with Section 2800) of Division 3 of the Fish and Game Code), habitat conservation plan pursuant to the federal Endangered Species Act of 1973 (16 U.S.C. Sec. 1531 et seq.), or other adopted natural resource protection plan.</w:t>
            </w:r>
          </w:p>
        </w:tc>
        <w:tc>
          <w:tcPr>
            <w:tcW w:w="2700" w:type="dxa"/>
            <w:vAlign w:val="center"/>
          </w:tcPr>
          <w:p w14:paraId="7005661B" w14:textId="77777777" w:rsidR="00B33DF9" w:rsidRDefault="00000000" w:rsidP="00B33DF9">
            <w:pPr>
              <w:pStyle w:val="Tabletext-nospacing"/>
              <w:rPr>
                <w:rFonts w:cs="Times New Roman"/>
                <w:b/>
                <w:bCs w:val="0"/>
                <w:szCs w:val="28"/>
              </w:rPr>
            </w:pPr>
            <w:sdt>
              <w:sdtPr>
                <w:rPr>
                  <w:rFonts w:cs="Times New Roman"/>
                  <w:b/>
                  <w:bCs w:val="0"/>
                  <w:szCs w:val="28"/>
                </w:rPr>
                <w:id w:val="-794836588"/>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0DB62DFE" w14:textId="1A2B0F00" w:rsidR="00B33DF9" w:rsidRDefault="00000000" w:rsidP="00B33DF9">
            <w:pPr>
              <w:pStyle w:val="Tabletext-nospacing"/>
              <w:rPr>
                <w:rFonts w:cs="Times New Roman"/>
              </w:rPr>
            </w:pPr>
            <w:sdt>
              <w:sdtPr>
                <w:rPr>
                  <w:rFonts w:cs="Times New Roman"/>
                  <w:b/>
                  <w:bCs w:val="0"/>
                  <w:szCs w:val="28"/>
                </w:rPr>
                <w:id w:val="-105508742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7B9F958E" w14:textId="77777777" w:rsidTr="00DB5C6E">
        <w:trPr>
          <w:cantSplit/>
          <w:trHeight w:val="391"/>
        </w:trPr>
        <w:tc>
          <w:tcPr>
            <w:tcW w:w="6835" w:type="dxa"/>
          </w:tcPr>
          <w:p w14:paraId="1EFCF985" w14:textId="295917E0" w:rsidR="00B33DF9" w:rsidRPr="00472A51" w:rsidRDefault="005F2DEA" w:rsidP="00B33DF9">
            <w:pPr>
              <w:pStyle w:val="Tabletext"/>
              <w:rPr>
                <w:b/>
                <w:bCs/>
                <w:color w:val="171717" w:themeColor="accent6" w:themeShade="1A"/>
              </w:rPr>
            </w:pPr>
            <w:r w:rsidRPr="00472A51">
              <w:rPr>
                <w:b/>
                <w:bCs/>
              </w:rPr>
              <w:t xml:space="preserve">66499.41 </w:t>
            </w:r>
            <w:r w:rsidRPr="00472A51">
              <w:rPr>
                <w:b/>
                <w:bCs/>
                <w:color w:val="171717" w:themeColor="accent6" w:themeShade="1A"/>
              </w:rPr>
              <w:t>(a)</w:t>
            </w:r>
            <w:r w:rsidRPr="00472A51">
              <w:rPr>
                <w:b/>
                <w:bCs/>
              </w:rPr>
              <w:t>(9)(</w:t>
            </w:r>
            <w:r>
              <w:rPr>
                <w:b/>
                <w:bCs/>
              </w:rPr>
              <w:t>I</w:t>
            </w:r>
            <w:r w:rsidRPr="00472A51">
              <w:rPr>
                <w:b/>
                <w:bCs/>
              </w:rPr>
              <w:t>)</w:t>
            </w:r>
          </w:p>
          <w:p w14:paraId="17BEA576" w14:textId="4449EEFB" w:rsidR="00B33DF9" w:rsidRPr="00472A51" w:rsidRDefault="005F2DEA" w:rsidP="00B33DF9">
            <w:pPr>
              <w:pStyle w:val="Tabletext"/>
            </w:pPr>
            <w:r w:rsidRPr="00084BFC">
              <w:rPr>
                <w:b/>
                <w:bCs/>
              </w:rPr>
              <w:t>Habitat for Protected Species.</w:t>
            </w:r>
            <w:r>
              <w:t xml:space="preserve"> The lot is located on a site that is h</w:t>
            </w:r>
            <w:r w:rsidRPr="00D671DB">
              <w:t>abitat for protected species identified as candidate, sensitive, or species of special status by state or federal agencies, fully protected species, or species protected by the federal Endangered Species Act of 1973 (16 U.S.C. Sec. 1531 et seq.), the California Endangered Species Act (Chapter 1.5 (commencing with Section 2050) of Division 3 of the Fish and Game Code), or the Native Plant Protection Act (Chapter 10 (commencing with Section 1900) of Division 2 of the Fish and Game Code)</w:t>
            </w:r>
            <w:r>
              <w:t>.</w:t>
            </w:r>
          </w:p>
        </w:tc>
        <w:tc>
          <w:tcPr>
            <w:tcW w:w="2700" w:type="dxa"/>
            <w:vAlign w:val="center"/>
          </w:tcPr>
          <w:p w14:paraId="63065FF9" w14:textId="77777777" w:rsidR="00B33DF9" w:rsidRDefault="00000000" w:rsidP="00B33DF9">
            <w:pPr>
              <w:pStyle w:val="Tabletext-nospacing"/>
              <w:rPr>
                <w:rFonts w:cs="Times New Roman"/>
                <w:b/>
                <w:bCs w:val="0"/>
                <w:szCs w:val="28"/>
              </w:rPr>
            </w:pPr>
            <w:sdt>
              <w:sdtPr>
                <w:rPr>
                  <w:rFonts w:cs="Times New Roman"/>
                  <w:b/>
                  <w:bCs w:val="0"/>
                  <w:szCs w:val="28"/>
                </w:rPr>
                <w:id w:val="1757712086"/>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07DE70F1" w14:textId="069CB2FF" w:rsidR="00B33DF9" w:rsidRDefault="00000000" w:rsidP="00B33DF9">
            <w:pPr>
              <w:pStyle w:val="Tabletext-nospacing"/>
              <w:rPr>
                <w:rFonts w:cs="Times New Roman"/>
              </w:rPr>
            </w:pPr>
            <w:sdt>
              <w:sdtPr>
                <w:rPr>
                  <w:rFonts w:cs="Times New Roman"/>
                  <w:b/>
                  <w:bCs w:val="0"/>
                  <w:szCs w:val="28"/>
                </w:rPr>
                <w:id w:val="42023208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644792D9" w14:textId="77777777" w:rsidTr="00DB5C6E">
        <w:trPr>
          <w:cantSplit/>
          <w:trHeight w:val="391"/>
        </w:trPr>
        <w:tc>
          <w:tcPr>
            <w:tcW w:w="6835" w:type="dxa"/>
          </w:tcPr>
          <w:p w14:paraId="0ECC2899" w14:textId="16E95C6A" w:rsidR="00B33DF9" w:rsidRPr="00B50AED" w:rsidRDefault="005F2DEA" w:rsidP="00B33DF9">
            <w:pPr>
              <w:pStyle w:val="Tabletext"/>
              <w:rPr>
                <w:b/>
                <w:bCs/>
                <w:color w:val="171717" w:themeColor="accent6" w:themeShade="1A"/>
              </w:rPr>
            </w:pPr>
            <w:r w:rsidRPr="00B50AED">
              <w:rPr>
                <w:b/>
                <w:bCs/>
              </w:rPr>
              <w:t xml:space="preserve">66499.41 </w:t>
            </w:r>
            <w:r w:rsidRPr="00B50AED">
              <w:rPr>
                <w:b/>
                <w:bCs/>
                <w:color w:val="171717" w:themeColor="accent6" w:themeShade="1A"/>
              </w:rPr>
              <w:t>(a)</w:t>
            </w:r>
            <w:r w:rsidRPr="00B50AED">
              <w:rPr>
                <w:b/>
                <w:bCs/>
              </w:rPr>
              <w:t>(9)</w:t>
            </w:r>
            <w:r>
              <w:rPr>
                <w:b/>
                <w:bCs/>
              </w:rPr>
              <w:t>(J)</w:t>
            </w:r>
          </w:p>
          <w:p w14:paraId="2E28D5D4" w14:textId="3D99B697" w:rsidR="00B33DF9" w:rsidRPr="00B50AED" w:rsidRDefault="005F2DEA" w:rsidP="00B33DF9">
            <w:pPr>
              <w:pStyle w:val="Tabletext"/>
              <w:rPr>
                <w:b/>
                <w:bCs/>
              </w:rPr>
            </w:pPr>
            <w:r w:rsidRPr="00084BFC">
              <w:rPr>
                <w:b/>
                <w:bCs/>
              </w:rPr>
              <w:t>Conservation Easement.</w:t>
            </w:r>
            <w:r>
              <w:t xml:space="preserve"> The lot is on l</w:t>
            </w:r>
            <w:r w:rsidRPr="00D671DB">
              <w:t>ands under conservation easement.</w:t>
            </w:r>
          </w:p>
        </w:tc>
        <w:tc>
          <w:tcPr>
            <w:tcW w:w="2700" w:type="dxa"/>
            <w:vAlign w:val="center"/>
          </w:tcPr>
          <w:p w14:paraId="417C1640" w14:textId="77777777" w:rsidR="00B33DF9" w:rsidRDefault="00000000" w:rsidP="00B33DF9">
            <w:pPr>
              <w:pStyle w:val="Tabletext-nospacing"/>
              <w:rPr>
                <w:rFonts w:cs="Times New Roman"/>
                <w:b/>
                <w:bCs w:val="0"/>
                <w:szCs w:val="28"/>
              </w:rPr>
            </w:pPr>
            <w:sdt>
              <w:sdtPr>
                <w:rPr>
                  <w:rFonts w:cs="Times New Roman"/>
                  <w:b/>
                  <w:bCs w:val="0"/>
                  <w:szCs w:val="28"/>
                </w:rPr>
                <w:id w:val="1173529346"/>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6F9FE600" w14:textId="506E741C" w:rsidR="00B33DF9" w:rsidRPr="00D671DB" w:rsidRDefault="00000000" w:rsidP="00B33DF9">
            <w:pPr>
              <w:pStyle w:val="Tabletext-nospacing"/>
              <w:rPr>
                <w:rFonts w:cs="Times New Roman"/>
              </w:rPr>
            </w:pPr>
            <w:sdt>
              <w:sdtPr>
                <w:rPr>
                  <w:rFonts w:cs="Times New Roman"/>
                  <w:b/>
                  <w:bCs w:val="0"/>
                  <w:szCs w:val="28"/>
                </w:rPr>
                <w:id w:val="-67965761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r w:rsidR="00A67448" w14:paraId="4E9AE97B" w14:textId="77777777" w:rsidTr="00DB5C6E">
        <w:trPr>
          <w:cantSplit/>
          <w:trHeight w:val="391"/>
        </w:trPr>
        <w:tc>
          <w:tcPr>
            <w:tcW w:w="6835" w:type="dxa"/>
          </w:tcPr>
          <w:p w14:paraId="015D2C03" w14:textId="77777777" w:rsidR="00096B21" w:rsidRDefault="005F2DEA" w:rsidP="00B33DF9">
            <w:pPr>
              <w:pStyle w:val="Tabletext"/>
              <w:rPr>
                <w:b/>
                <w:bCs/>
              </w:rPr>
            </w:pPr>
            <w:r w:rsidRPr="00B50AED">
              <w:rPr>
                <w:b/>
                <w:bCs/>
              </w:rPr>
              <w:t>66499.41</w:t>
            </w:r>
            <w:r>
              <w:rPr>
                <w:b/>
                <w:bCs/>
              </w:rPr>
              <w:t xml:space="preserve"> (a)(13)</w:t>
            </w:r>
          </w:p>
          <w:p w14:paraId="544F7D0E" w14:textId="3799ECD7" w:rsidR="00096B21" w:rsidRPr="006B2B7C" w:rsidRDefault="005F2DEA" w:rsidP="00B33DF9">
            <w:pPr>
              <w:pStyle w:val="Tabletext"/>
            </w:pPr>
            <w:r>
              <w:rPr>
                <w:b/>
                <w:bCs/>
              </w:rPr>
              <w:t xml:space="preserve">Separate Title. </w:t>
            </w:r>
            <w:r>
              <w:t xml:space="preserve">The proposed subdivision </w:t>
            </w:r>
            <w:r w:rsidR="006B6D85">
              <w:t>may</w:t>
            </w:r>
            <w:r>
              <w:t xml:space="preserve"> result in an existing dwelling unit being </w:t>
            </w:r>
            <w:r w:rsidR="006B6D85">
              <w:t>sold separately</w:t>
            </w:r>
            <w:r>
              <w:t xml:space="preserve"> from any other existing dwelling unit on the lot.</w:t>
            </w:r>
          </w:p>
        </w:tc>
        <w:tc>
          <w:tcPr>
            <w:tcW w:w="2700" w:type="dxa"/>
            <w:vAlign w:val="center"/>
          </w:tcPr>
          <w:p w14:paraId="37F2E41B" w14:textId="77777777" w:rsidR="00096B21" w:rsidRDefault="00000000" w:rsidP="00096B21">
            <w:pPr>
              <w:pStyle w:val="Tabletext-nospacing"/>
              <w:rPr>
                <w:rFonts w:cs="Times New Roman"/>
                <w:b/>
                <w:bCs w:val="0"/>
                <w:szCs w:val="28"/>
              </w:rPr>
            </w:pPr>
            <w:sdt>
              <w:sdtPr>
                <w:rPr>
                  <w:rFonts w:cs="Times New Roman"/>
                  <w:b/>
                  <w:bCs w:val="0"/>
                  <w:szCs w:val="28"/>
                </w:rPr>
                <w:id w:val="172278403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(Disqualified)</w:t>
            </w:r>
          </w:p>
          <w:p w14:paraId="087D6BBD" w14:textId="7C25AFC1" w:rsidR="00096B21" w:rsidRDefault="00000000" w:rsidP="00096B21">
            <w:pPr>
              <w:pStyle w:val="Tabletext-nospacing"/>
              <w:rPr>
                <w:rFonts w:cs="Times New Roman"/>
                <w:b/>
                <w:bCs w:val="0"/>
                <w:szCs w:val="28"/>
              </w:rPr>
            </w:pPr>
            <w:sdt>
              <w:sdtPr>
                <w:rPr>
                  <w:rFonts w:cs="Times New Roman"/>
                  <w:b/>
                  <w:bCs w:val="0"/>
                  <w:szCs w:val="28"/>
                </w:rPr>
                <w:id w:val="111016302"/>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No</w:t>
            </w:r>
            <w:r w:rsidR="005F2DEA">
              <w:rPr>
                <w:rFonts w:cs="Times New Roman"/>
                <w:b/>
                <w:bCs w:val="0"/>
                <w:szCs w:val="28"/>
              </w:rPr>
              <w:t xml:space="preserve"> (Qualifies)</w:t>
            </w:r>
          </w:p>
        </w:tc>
      </w:tr>
    </w:tbl>
    <w:p w14:paraId="7010A9B9" w14:textId="3CB048F9" w:rsidR="004941FC" w:rsidRPr="004941FC" w:rsidRDefault="005F2DEA">
      <w:pPr>
        <w:spacing w:after="0" w:line="240" w:lineRule="auto"/>
        <w:rPr>
          <w:rFonts w:cs="Calibri"/>
          <w:b/>
          <w:bCs/>
          <w:szCs w:val="28"/>
        </w:rPr>
      </w:pPr>
      <w:r w:rsidRPr="004941FC">
        <w:rPr>
          <w:b/>
          <w:bCs/>
        </w:rPr>
        <w:br w:type="page"/>
      </w:r>
    </w:p>
    <w:p w14:paraId="72DBD5CC" w14:textId="5EAB6363" w:rsidR="005C62CC" w:rsidRDefault="005F2DEA" w:rsidP="00E84A3B">
      <w:pPr>
        <w:pStyle w:val="Heading3"/>
      </w:pPr>
      <w:r w:rsidRPr="00135329">
        <w:t xml:space="preserve">Table </w:t>
      </w:r>
      <w:r w:rsidR="00566600">
        <w:t>3</w:t>
      </w:r>
      <w:r w:rsidRPr="00135329">
        <w:t xml:space="preserve">: Housing Development </w:t>
      </w:r>
      <w:r w:rsidR="00566600">
        <w:t xml:space="preserve">Qualifying Criteria </w:t>
      </w:r>
      <w:r>
        <w:t>Checklist</w:t>
      </w:r>
    </w:p>
    <w:p w14:paraId="5AB5C0CC" w14:textId="788E1CA8" w:rsidR="00CF7013" w:rsidRDefault="005F2DEA" w:rsidP="00D466B5">
      <w:r>
        <w:t>Instructions: For this table</w:t>
      </w:r>
      <w:r w:rsidR="006A7C02">
        <w:t xml:space="preserve">, </w:t>
      </w:r>
      <w:proofErr w:type="gramStart"/>
      <w:r w:rsidR="006A7C02">
        <w:t>each and every</w:t>
      </w:r>
      <w:proofErr w:type="gramEnd"/>
      <w:r w:rsidR="006A7C02">
        <w:t xml:space="preserve"> row</w:t>
      </w:r>
      <w:r>
        <w:t xml:space="preserve"> must be YES to qualify. </w:t>
      </w:r>
    </w:p>
    <w:tbl>
      <w:tblPr>
        <w:tblStyle w:val="TableGridLight"/>
        <w:tblW w:w="9535" w:type="dxa"/>
        <w:tblLook w:val="0420" w:firstRow="1" w:lastRow="0" w:firstColumn="0" w:lastColumn="0" w:noHBand="0" w:noVBand="1"/>
      </w:tblPr>
      <w:tblGrid>
        <w:gridCol w:w="6835"/>
        <w:gridCol w:w="2700"/>
      </w:tblGrid>
      <w:tr w:rsidR="00A67448" w14:paraId="794B7680" w14:textId="77777777" w:rsidTr="00DA0D6E">
        <w:trPr>
          <w:cantSplit/>
          <w:trHeight w:val="317"/>
          <w:tblHeader/>
        </w:trPr>
        <w:tc>
          <w:tcPr>
            <w:tcW w:w="6835" w:type="dxa"/>
          </w:tcPr>
          <w:p w14:paraId="1451F912" w14:textId="1AD69A37" w:rsidR="00AB3497" w:rsidRPr="00DB5C6E" w:rsidRDefault="005F2DEA" w:rsidP="005C62CC">
            <w:pPr>
              <w:pStyle w:val="TableColumnHeading"/>
              <w:rPr>
                <w:color w:val="auto"/>
              </w:rPr>
            </w:pPr>
            <w:r>
              <w:rPr>
                <w:color w:val="auto"/>
              </w:rPr>
              <w:t xml:space="preserve">Table 3: </w:t>
            </w:r>
            <w:r w:rsidRPr="00DB5C6E">
              <w:rPr>
                <w:color w:val="auto"/>
              </w:rPr>
              <w:t xml:space="preserve">Housing Development </w:t>
            </w:r>
            <w:r w:rsidR="005B3D4C">
              <w:rPr>
                <w:color w:val="auto"/>
              </w:rPr>
              <w:t>Qualifying Criteria</w:t>
            </w:r>
          </w:p>
        </w:tc>
        <w:tc>
          <w:tcPr>
            <w:tcW w:w="2700" w:type="dxa"/>
          </w:tcPr>
          <w:p w14:paraId="0B2BFC5A" w14:textId="40105B27" w:rsidR="00DB5C6E" w:rsidRPr="00DB5C6E" w:rsidRDefault="005F2DEA" w:rsidP="00DB5C6E">
            <w:pPr>
              <w:pStyle w:val="TableColumnHeading"/>
              <w:jc w:val="center"/>
              <w:rPr>
                <w:color w:val="auto"/>
                <w:szCs w:val="24"/>
              </w:rPr>
            </w:pPr>
            <w:r w:rsidRPr="00DB5C6E">
              <w:rPr>
                <w:color w:val="auto"/>
                <w:szCs w:val="24"/>
              </w:rPr>
              <w:t xml:space="preserve">Must be </w:t>
            </w:r>
            <w:r w:rsidR="003E721E">
              <w:rPr>
                <w:color w:val="auto"/>
                <w:szCs w:val="24"/>
              </w:rPr>
              <w:t>YES</w:t>
            </w:r>
            <w:r w:rsidRPr="00DB5C6E">
              <w:rPr>
                <w:color w:val="auto"/>
                <w:szCs w:val="24"/>
              </w:rPr>
              <w:t xml:space="preserve"> to Qualify</w:t>
            </w:r>
          </w:p>
          <w:p w14:paraId="27CCDD1D" w14:textId="317CBB59" w:rsidR="00AB3497" w:rsidRPr="00DB5C6E" w:rsidRDefault="005F2DEA" w:rsidP="00DB5C6E">
            <w:pPr>
              <w:pStyle w:val="Tabletext-nospacing"/>
              <w:jc w:val="center"/>
              <w:rPr>
                <w:rFonts w:cs="Times New Roman"/>
                <w:b/>
                <w:bCs w:val="0"/>
              </w:rPr>
            </w:pPr>
            <w:r w:rsidRPr="00DB5C6E">
              <w:rPr>
                <w:b/>
                <w:bCs w:val="0"/>
              </w:rPr>
              <w:t>(Circle Yes or No)</w:t>
            </w:r>
          </w:p>
        </w:tc>
      </w:tr>
      <w:tr w:rsidR="00A67448" w14:paraId="57CD3ADE" w14:textId="77777777" w:rsidTr="004941FC">
        <w:trPr>
          <w:cantSplit/>
          <w:trHeight w:val="317"/>
        </w:trPr>
        <w:tc>
          <w:tcPr>
            <w:tcW w:w="6835" w:type="dxa"/>
          </w:tcPr>
          <w:p w14:paraId="77584DA2" w14:textId="04C3187A" w:rsidR="00DB5C6E" w:rsidRPr="00135329" w:rsidRDefault="005F2DEA" w:rsidP="00DB5C6E">
            <w:pPr>
              <w:pStyle w:val="Tabletext-nospacing"/>
              <w:rPr>
                <w:b/>
                <w:bCs w:val="0"/>
              </w:rPr>
            </w:pPr>
            <w:r>
              <w:rPr>
                <w:b/>
                <w:bCs w:val="0"/>
              </w:rPr>
              <w:t>665852.28 (a)</w:t>
            </w:r>
          </w:p>
          <w:p w14:paraId="2049004F" w14:textId="2D79BAF4" w:rsidR="00DB5C6E" w:rsidRPr="00D671DB" w:rsidRDefault="005F2DEA" w:rsidP="00DB5C6E">
            <w:pPr>
              <w:pStyle w:val="Tabletext"/>
              <w:rPr>
                <w:rFonts w:cs="Times New Roman"/>
                <w:b/>
                <w:bCs/>
              </w:rPr>
            </w:pPr>
            <w:r w:rsidRPr="003B10FD">
              <w:t>The proposed housing development is on a lot created in accordance with Section [</w:t>
            </w:r>
            <w:r w:rsidR="007910D2" w:rsidRPr="007910D2">
              <w:rPr>
                <w:highlight w:val="yellow"/>
              </w:rPr>
              <w:t>municipal/county code section</w:t>
            </w:r>
            <w:r w:rsidR="007910D2" w:rsidRPr="00E4723B">
              <w:rPr>
                <w:highlight w:val="yellow"/>
              </w:rPr>
              <w:t xml:space="preserve"> </w:t>
            </w:r>
            <w:r w:rsidRPr="00E4723B">
              <w:rPr>
                <w:highlight w:val="yellow"/>
              </w:rPr>
              <w:t>for small lot subdivision</w:t>
            </w:r>
            <w:r w:rsidRPr="003B10FD">
              <w:t>] and Government Code Section 66499.41</w:t>
            </w:r>
            <w:r>
              <w:t>.</w:t>
            </w:r>
          </w:p>
        </w:tc>
        <w:tc>
          <w:tcPr>
            <w:tcW w:w="2700" w:type="dxa"/>
            <w:vAlign w:val="center"/>
          </w:tcPr>
          <w:p w14:paraId="010A2899" w14:textId="77777777" w:rsidR="004941FC" w:rsidRDefault="00000000" w:rsidP="004941FC">
            <w:pPr>
              <w:pStyle w:val="Tabletext-nospacing"/>
              <w:rPr>
                <w:rFonts w:cs="Times New Roman"/>
                <w:b/>
                <w:bCs w:val="0"/>
                <w:szCs w:val="28"/>
              </w:rPr>
            </w:pPr>
            <w:sdt>
              <w:sdtPr>
                <w:rPr>
                  <w:rFonts w:cs="Times New Roman"/>
                  <w:b/>
                  <w:bCs w:val="0"/>
                  <w:szCs w:val="28"/>
                </w:rPr>
                <w:id w:val="141497378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2B9D9797" w14:textId="7DC43711" w:rsidR="00DB5C6E" w:rsidRPr="00D671DB" w:rsidRDefault="00000000" w:rsidP="004941FC">
            <w:pPr>
              <w:pStyle w:val="Tabletext-nospacing"/>
              <w:rPr>
                <w:rFonts w:cs="Times New Roman"/>
              </w:rPr>
            </w:pPr>
            <w:sdt>
              <w:sdtPr>
                <w:rPr>
                  <w:rFonts w:cs="Times New Roman"/>
                  <w:b/>
                  <w:bCs w:val="0"/>
                  <w:szCs w:val="28"/>
                </w:rPr>
                <w:id w:val="-1960478960"/>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7ED9D930" w14:textId="77777777" w:rsidTr="004941FC">
        <w:trPr>
          <w:cantSplit/>
          <w:trHeight w:val="317"/>
        </w:trPr>
        <w:tc>
          <w:tcPr>
            <w:tcW w:w="6835" w:type="dxa"/>
          </w:tcPr>
          <w:p w14:paraId="066E043F" w14:textId="6729DDAE" w:rsidR="00DB5C6E" w:rsidRDefault="005F2DEA" w:rsidP="00DB5C6E">
            <w:pPr>
              <w:pStyle w:val="Tabletext-nospacing"/>
              <w:rPr>
                <w:rFonts w:cs="Times New Roman"/>
                <w:b/>
              </w:rPr>
            </w:pPr>
            <w:r w:rsidRPr="00D671DB">
              <w:rPr>
                <w:rFonts w:cs="Times New Roman"/>
                <w:b/>
              </w:rPr>
              <w:t xml:space="preserve">66499.41 </w:t>
            </w:r>
            <w:r>
              <w:rPr>
                <w:rFonts w:cs="Times New Roman"/>
                <w:b/>
              </w:rPr>
              <w:t>(a)</w:t>
            </w:r>
            <w:r w:rsidRPr="00D671DB">
              <w:rPr>
                <w:rFonts w:cs="Times New Roman"/>
                <w:b/>
              </w:rPr>
              <w:t>(1)</w:t>
            </w:r>
            <w:r w:rsidR="005B4518">
              <w:rPr>
                <w:rFonts w:cs="Times New Roman"/>
                <w:b/>
              </w:rPr>
              <w:t xml:space="preserve"> &amp; (g)</w:t>
            </w:r>
          </w:p>
          <w:p w14:paraId="34EAB618" w14:textId="69451E3F" w:rsidR="00DB5C6E" w:rsidRPr="00D671DB" w:rsidRDefault="005F2DEA" w:rsidP="00DB5C6E">
            <w:pPr>
              <w:pStyle w:val="Tabletext"/>
              <w:rPr>
                <w:rFonts w:cs="Times New Roman"/>
                <w:b/>
                <w:bCs/>
              </w:rPr>
            </w:pPr>
            <w:r w:rsidRPr="00B67489">
              <w:t>The housing development project on the lot proposed to be subdivided will contain 10 or fewer residential units</w:t>
            </w:r>
            <w:r w:rsidR="00CE72F5">
              <w:t xml:space="preserve"> </w:t>
            </w:r>
            <w:r w:rsidR="00E17380" w:rsidRPr="006B2B7C">
              <w:rPr>
                <w:highlight w:val="yellow"/>
              </w:rPr>
              <w:t>[</w:t>
            </w:r>
            <w:r w:rsidR="005B4518" w:rsidRPr="006B2B7C">
              <w:rPr>
                <w:highlight w:val="yellow"/>
              </w:rPr>
              <w:t xml:space="preserve">not counting any </w:t>
            </w:r>
            <w:r w:rsidR="00004845">
              <w:rPr>
                <w:highlight w:val="yellow"/>
              </w:rPr>
              <w:t>Accessory Dwelling Units (</w:t>
            </w:r>
            <w:r w:rsidR="005B4518" w:rsidRPr="006B2B7C">
              <w:rPr>
                <w:highlight w:val="yellow"/>
              </w:rPr>
              <w:t>ADUs</w:t>
            </w:r>
            <w:r w:rsidR="00004845">
              <w:rPr>
                <w:highlight w:val="yellow"/>
              </w:rPr>
              <w:t>)</w:t>
            </w:r>
            <w:r w:rsidR="005B4518" w:rsidRPr="006B2B7C">
              <w:rPr>
                <w:highlight w:val="yellow"/>
              </w:rPr>
              <w:t xml:space="preserve"> or</w:t>
            </w:r>
            <w:r w:rsidR="00004845">
              <w:rPr>
                <w:highlight w:val="yellow"/>
              </w:rPr>
              <w:t xml:space="preserve"> Junior Accessory Dwelling Units</w:t>
            </w:r>
            <w:r w:rsidR="005B4518" w:rsidRPr="006B2B7C">
              <w:rPr>
                <w:highlight w:val="yellow"/>
              </w:rPr>
              <w:t xml:space="preserve"> </w:t>
            </w:r>
            <w:r w:rsidR="00004845">
              <w:rPr>
                <w:highlight w:val="yellow"/>
              </w:rPr>
              <w:t>(</w:t>
            </w:r>
            <w:r w:rsidR="005B4518" w:rsidRPr="006B2B7C">
              <w:rPr>
                <w:highlight w:val="yellow"/>
              </w:rPr>
              <w:t>JADUs</w:t>
            </w:r>
            <w:r w:rsidR="00004845">
              <w:rPr>
                <w:highlight w:val="yellow"/>
              </w:rPr>
              <w:t>)</w:t>
            </w:r>
            <w:r w:rsidR="005B4518" w:rsidRPr="006B2B7C">
              <w:rPr>
                <w:highlight w:val="yellow"/>
              </w:rPr>
              <w:t xml:space="preserve"> that are permitted</w:t>
            </w:r>
            <w:r w:rsidR="00E17380">
              <w:t>]</w:t>
            </w:r>
            <w:r w:rsidRPr="00B67489">
              <w:t>.</w:t>
            </w:r>
            <w:r>
              <w:rPr>
                <w:rStyle w:val="FootnoteReference"/>
              </w:rPr>
              <w:footnoteReference w:id="11"/>
            </w:r>
          </w:p>
        </w:tc>
        <w:tc>
          <w:tcPr>
            <w:tcW w:w="2700" w:type="dxa"/>
            <w:vAlign w:val="center"/>
          </w:tcPr>
          <w:p w14:paraId="73784650" w14:textId="77777777" w:rsidR="004941FC" w:rsidRDefault="00000000" w:rsidP="004941FC">
            <w:pPr>
              <w:pStyle w:val="Tabletext-nospacing"/>
              <w:rPr>
                <w:rFonts w:cs="Times New Roman"/>
                <w:b/>
                <w:bCs w:val="0"/>
                <w:szCs w:val="28"/>
              </w:rPr>
            </w:pPr>
            <w:sdt>
              <w:sdtPr>
                <w:rPr>
                  <w:rFonts w:cs="Times New Roman"/>
                  <w:b/>
                  <w:bCs w:val="0"/>
                  <w:szCs w:val="28"/>
                </w:rPr>
                <w:id w:val="487141474"/>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2B588B04" w14:textId="682E6DE3" w:rsidR="00DB5C6E" w:rsidRPr="00D671DB" w:rsidRDefault="00000000" w:rsidP="004941FC">
            <w:pPr>
              <w:pStyle w:val="Tabletext-nospacing"/>
              <w:rPr>
                <w:rFonts w:cs="Times New Roman"/>
              </w:rPr>
            </w:pPr>
            <w:sdt>
              <w:sdtPr>
                <w:rPr>
                  <w:rFonts w:cs="Times New Roman"/>
                  <w:b/>
                  <w:bCs w:val="0"/>
                  <w:szCs w:val="28"/>
                </w:rPr>
                <w:id w:val="1869025419"/>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43FD5516" w14:textId="77777777" w:rsidTr="004941FC">
        <w:trPr>
          <w:cantSplit/>
          <w:trHeight w:val="317"/>
        </w:trPr>
        <w:tc>
          <w:tcPr>
            <w:tcW w:w="6835" w:type="dxa"/>
          </w:tcPr>
          <w:p w14:paraId="0B279F97" w14:textId="16A7ACD0" w:rsidR="00DB5C6E" w:rsidRPr="00D671DB" w:rsidRDefault="005F2DEA" w:rsidP="00DB5C6E">
            <w:pPr>
              <w:pStyle w:val="Tabletext"/>
              <w:rPr>
                <w:rFonts w:cs="Times New Roman"/>
                <w:color w:val="171717" w:themeColor="accent6" w:themeShade="1A"/>
              </w:rPr>
            </w:pPr>
            <w:r w:rsidRPr="00D671DB">
              <w:rPr>
                <w:rFonts w:cs="Times New Roman"/>
                <w:b/>
                <w:bCs/>
              </w:rPr>
              <w:t xml:space="preserve">66499.41 </w:t>
            </w:r>
            <w:r>
              <w:rPr>
                <w:rFonts w:cs="Times New Roman"/>
                <w:b/>
              </w:rPr>
              <w:t xml:space="preserve">(a) </w:t>
            </w:r>
            <w:r w:rsidRPr="00D671DB">
              <w:rPr>
                <w:rFonts w:cs="Times New Roman"/>
                <w:b/>
                <w:bCs/>
              </w:rPr>
              <w:t>(</w:t>
            </w:r>
            <w:r>
              <w:rPr>
                <w:rFonts w:cs="Times New Roman"/>
                <w:b/>
                <w:bCs/>
              </w:rPr>
              <w:t>6</w:t>
            </w:r>
            <w:r w:rsidRPr="00D671DB">
              <w:rPr>
                <w:rFonts w:cs="Times New Roman"/>
                <w:b/>
                <w:bCs/>
              </w:rPr>
              <w:t>)</w:t>
            </w:r>
          </w:p>
          <w:p w14:paraId="44A8ECFF" w14:textId="2142B490" w:rsidR="00DB5C6E" w:rsidRPr="00D671DB" w:rsidRDefault="005F2DEA" w:rsidP="00DB5C6E">
            <w:pPr>
              <w:pStyle w:val="Tabletext"/>
              <w:rPr>
                <w:rFonts w:cs="Times New Roman"/>
                <w:b/>
                <w:bCs/>
              </w:rPr>
            </w:pPr>
            <w:r w:rsidRPr="00D671DB">
              <w:rPr>
                <w:rFonts w:cs="Times New Roman"/>
                <w:color w:val="171717" w:themeColor="accent6" w:themeShade="1A"/>
              </w:rPr>
              <w:t>The average total area of floorspace for the proposed housing units on the lot proposed to be subdivided does not exceed 1,750 net habitable square feet.</w:t>
            </w:r>
            <w:r>
              <w:rPr>
                <w:rStyle w:val="FootnoteReference"/>
                <w:rFonts w:cs="Times New Roman"/>
                <w:color w:val="171717" w:themeColor="accent6" w:themeShade="1A"/>
              </w:rPr>
              <w:footnoteReference w:id="12"/>
            </w:r>
          </w:p>
        </w:tc>
        <w:tc>
          <w:tcPr>
            <w:tcW w:w="2700" w:type="dxa"/>
            <w:vAlign w:val="center"/>
          </w:tcPr>
          <w:p w14:paraId="14609DE8" w14:textId="77777777" w:rsidR="004941FC" w:rsidRDefault="00000000" w:rsidP="004941FC">
            <w:pPr>
              <w:pStyle w:val="Tabletext-nospacing"/>
              <w:rPr>
                <w:rFonts w:cs="Times New Roman"/>
                <w:b/>
                <w:bCs w:val="0"/>
                <w:szCs w:val="28"/>
              </w:rPr>
            </w:pPr>
            <w:sdt>
              <w:sdtPr>
                <w:rPr>
                  <w:rFonts w:cs="Times New Roman"/>
                  <w:b/>
                  <w:bCs w:val="0"/>
                  <w:szCs w:val="28"/>
                </w:rPr>
                <w:id w:val="-185403187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1F98CD01" w14:textId="59967B36" w:rsidR="00DB5C6E" w:rsidRPr="00D671DB" w:rsidRDefault="00000000" w:rsidP="004941FC">
            <w:pPr>
              <w:pStyle w:val="Tabletext-nospacing"/>
              <w:rPr>
                <w:rFonts w:cs="Times New Roman"/>
              </w:rPr>
            </w:pPr>
            <w:sdt>
              <w:sdtPr>
                <w:rPr>
                  <w:rFonts w:cs="Times New Roman"/>
                  <w:b/>
                  <w:bCs w:val="0"/>
                  <w:szCs w:val="28"/>
                </w:rPr>
                <w:id w:val="641236080"/>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4D6E18F9" w14:textId="77777777" w:rsidTr="004941FC">
        <w:trPr>
          <w:cantSplit/>
          <w:trHeight w:val="317"/>
        </w:trPr>
        <w:tc>
          <w:tcPr>
            <w:tcW w:w="6835" w:type="dxa"/>
          </w:tcPr>
          <w:p w14:paraId="13C0D69C" w14:textId="77777777" w:rsidR="00DB5C6E" w:rsidRPr="00D671DB" w:rsidRDefault="005F2DEA" w:rsidP="00DB5C6E">
            <w:pPr>
              <w:pStyle w:val="Tabletext"/>
              <w:rPr>
                <w:rFonts w:cs="Times New Roman"/>
                <w:color w:val="171717" w:themeColor="accent6" w:themeShade="1A"/>
              </w:rPr>
            </w:pPr>
            <w:r w:rsidRPr="00D671DB">
              <w:rPr>
                <w:rFonts w:cs="Times New Roman"/>
                <w:b/>
                <w:bCs/>
              </w:rPr>
              <w:t xml:space="preserve">66499.41 </w:t>
            </w:r>
            <w:r>
              <w:rPr>
                <w:rFonts w:cs="Times New Roman"/>
                <w:b/>
              </w:rPr>
              <w:t>(a)</w:t>
            </w:r>
            <w:r w:rsidRPr="00D671DB">
              <w:rPr>
                <w:rFonts w:cs="Times New Roman"/>
                <w:b/>
                <w:bCs/>
              </w:rPr>
              <w:t>(</w:t>
            </w:r>
            <w:r>
              <w:rPr>
                <w:rFonts w:cs="Times New Roman"/>
                <w:b/>
                <w:bCs/>
              </w:rPr>
              <w:t>7</w:t>
            </w:r>
            <w:r w:rsidRPr="00D671DB">
              <w:rPr>
                <w:rFonts w:cs="Times New Roman"/>
                <w:b/>
                <w:bCs/>
              </w:rPr>
              <w:t>)</w:t>
            </w:r>
          </w:p>
          <w:p w14:paraId="25E0B65B" w14:textId="47295E0F" w:rsidR="00DB5C6E" w:rsidRPr="00D671DB" w:rsidRDefault="005F2DEA" w:rsidP="00DB5C6E">
            <w:pPr>
              <w:pStyle w:val="Tabletext"/>
              <w:rPr>
                <w:rFonts w:cs="Times New Roman"/>
                <w:b/>
                <w:bCs/>
              </w:rPr>
            </w:pPr>
            <w:r w:rsidRPr="00D671DB">
              <w:rPr>
                <w:rFonts w:cs="Times New Roman"/>
                <w:color w:val="171717" w:themeColor="accent6" w:themeShade="1A"/>
              </w:rPr>
              <w:t>The housing development project on the lot proposed to be subdivided complies with Section [</w:t>
            </w:r>
            <w:r w:rsidR="007910D2">
              <w:rPr>
                <w:rFonts w:cs="Times New Roman"/>
                <w:color w:val="171717" w:themeColor="accent6" w:themeShade="1A"/>
                <w:highlight w:val="yellow"/>
              </w:rPr>
              <w:t>municipal/county</w:t>
            </w:r>
            <w:r>
              <w:rPr>
                <w:rFonts w:cs="Times New Roman"/>
                <w:color w:val="171717" w:themeColor="accent6" w:themeShade="1A"/>
                <w:highlight w:val="yellow"/>
              </w:rPr>
              <w:t xml:space="preserve"> code </w:t>
            </w:r>
            <w:r w:rsidRPr="000526DF">
              <w:rPr>
                <w:rFonts w:cs="Times New Roman"/>
                <w:color w:val="171717" w:themeColor="accent6" w:themeShade="1A"/>
                <w:highlight w:val="yellow"/>
              </w:rPr>
              <w:t xml:space="preserve">section </w:t>
            </w:r>
            <w:r>
              <w:rPr>
                <w:rFonts w:cs="Times New Roman"/>
                <w:color w:val="171717" w:themeColor="accent6" w:themeShade="1A"/>
                <w:highlight w:val="yellow"/>
              </w:rPr>
              <w:t xml:space="preserve">for local </w:t>
            </w:r>
            <w:r w:rsidRPr="000526DF">
              <w:rPr>
                <w:rFonts w:cs="Times New Roman"/>
                <w:color w:val="171717" w:themeColor="accent6" w:themeShade="1A"/>
                <w:highlight w:val="yellow"/>
              </w:rPr>
              <w:t>inclusionary zoning ordinance. If city/county does not have an inclusionary zoning ordinance, remov</w:t>
            </w:r>
            <w:r>
              <w:rPr>
                <w:rFonts w:cs="Times New Roman"/>
                <w:color w:val="171717" w:themeColor="accent6" w:themeShade="1A"/>
                <w:highlight w:val="yellow"/>
              </w:rPr>
              <w:t>e</w:t>
            </w:r>
            <w:r w:rsidR="007910D2">
              <w:rPr>
                <w:rFonts w:cs="Times New Roman"/>
                <w:color w:val="171717" w:themeColor="accent6" w:themeShade="1A"/>
                <w:highlight w:val="yellow"/>
              </w:rPr>
              <w:t xml:space="preserve"> this row</w:t>
            </w:r>
            <w:r w:rsidRPr="000526DF">
              <w:rPr>
                <w:rFonts w:cs="Times New Roman"/>
                <w:color w:val="171717" w:themeColor="accent6" w:themeShade="1A"/>
                <w:highlight w:val="yellow"/>
              </w:rPr>
              <w:t>.</w:t>
            </w:r>
            <w:r w:rsidRPr="000526DF">
              <w:rPr>
                <w:rFonts w:cs="Times New Roman"/>
                <w:color w:val="171717" w:themeColor="accent6" w:themeShade="1A"/>
              </w:rPr>
              <w:t>]</w:t>
            </w:r>
          </w:p>
        </w:tc>
        <w:tc>
          <w:tcPr>
            <w:tcW w:w="2700" w:type="dxa"/>
            <w:vAlign w:val="center"/>
          </w:tcPr>
          <w:p w14:paraId="043F4226" w14:textId="77777777" w:rsidR="004941FC" w:rsidRDefault="00000000" w:rsidP="004941FC">
            <w:pPr>
              <w:pStyle w:val="Tabletext-nospacing"/>
              <w:rPr>
                <w:rFonts w:cs="Times New Roman"/>
                <w:b/>
                <w:bCs w:val="0"/>
                <w:szCs w:val="28"/>
              </w:rPr>
            </w:pPr>
            <w:sdt>
              <w:sdtPr>
                <w:rPr>
                  <w:rFonts w:cs="Times New Roman"/>
                  <w:b/>
                  <w:bCs w:val="0"/>
                  <w:szCs w:val="28"/>
                </w:rPr>
                <w:id w:val="-1096633813"/>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38C089AA" w14:textId="09D950D3" w:rsidR="00DB5C6E" w:rsidRPr="00D671DB" w:rsidRDefault="00000000" w:rsidP="004941FC">
            <w:pPr>
              <w:pStyle w:val="Tabletext-nospacing"/>
              <w:rPr>
                <w:rFonts w:cs="Times New Roman"/>
              </w:rPr>
            </w:pPr>
            <w:sdt>
              <w:sdtPr>
                <w:rPr>
                  <w:rFonts w:cs="Times New Roman"/>
                  <w:b/>
                  <w:bCs w:val="0"/>
                  <w:szCs w:val="28"/>
                </w:rPr>
                <w:id w:val="2039233575"/>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04A5C4F9" w14:textId="77777777" w:rsidTr="004941FC">
        <w:trPr>
          <w:cantSplit/>
          <w:trHeight w:val="317"/>
        </w:trPr>
        <w:tc>
          <w:tcPr>
            <w:tcW w:w="6835" w:type="dxa"/>
          </w:tcPr>
          <w:p w14:paraId="61427ABB" w14:textId="5BC2D0E8" w:rsidR="00325BA8" w:rsidRPr="0084110F" w:rsidRDefault="005F2DEA" w:rsidP="00325BA8">
            <w:pPr>
              <w:pStyle w:val="Tabletext"/>
            </w:pPr>
            <w:r w:rsidRPr="0084110F">
              <w:rPr>
                <w:b/>
                <w:bCs/>
              </w:rPr>
              <w:t>66499.41 (g)</w:t>
            </w:r>
            <w:r w:rsidRPr="0084110F">
              <w:br/>
            </w:r>
            <w:r w:rsidR="001F7031" w:rsidRPr="00D508F0">
              <w:rPr>
                <w:b/>
                <w:bCs/>
              </w:rPr>
              <w:t>No ADUs/JADUs.</w:t>
            </w:r>
            <w:r w:rsidR="001F7031">
              <w:t xml:space="preserve"> </w:t>
            </w:r>
            <w:r w:rsidR="00F05304">
              <w:t>The</w:t>
            </w:r>
            <w:r w:rsidR="00F05304" w:rsidRPr="0084110F">
              <w:t xml:space="preserve"> </w:t>
            </w:r>
            <w:r>
              <w:t>housing development project</w:t>
            </w:r>
            <w:r w:rsidR="00E34113">
              <w:t xml:space="preserve"> does </w:t>
            </w:r>
            <w:r w:rsidR="00E34113" w:rsidRPr="00D508F0">
              <w:rPr>
                <w:i/>
                <w:iCs/>
              </w:rPr>
              <w:t>not</w:t>
            </w:r>
            <w:r w:rsidR="00E34113">
              <w:t xml:space="preserve"> include any Accessory Dwelling Units (</w:t>
            </w:r>
            <w:r w:rsidR="00E34113" w:rsidRPr="0084110F">
              <w:t>ADUs</w:t>
            </w:r>
            <w:r w:rsidR="00E34113">
              <w:t>) or Junior Accessory Dwelling Units (</w:t>
            </w:r>
            <w:r w:rsidR="00E34113" w:rsidRPr="0084110F">
              <w:t>JADUs</w:t>
            </w:r>
            <w:r w:rsidR="00E34113">
              <w:t>)</w:t>
            </w:r>
            <w:r>
              <w:t>.</w:t>
            </w:r>
            <w:r>
              <w:rPr>
                <w:rStyle w:val="FootnoteReference"/>
              </w:rPr>
              <w:footnoteReference w:id="13"/>
            </w:r>
            <w:r>
              <w:t xml:space="preserve"> </w:t>
            </w:r>
          </w:p>
        </w:tc>
        <w:tc>
          <w:tcPr>
            <w:tcW w:w="2700" w:type="dxa"/>
            <w:vAlign w:val="center"/>
          </w:tcPr>
          <w:p w14:paraId="57467D7B" w14:textId="77777777" w:rsidR="004941FC" w:rsidRDefault="00000000" w:rsidP="004941FC">
            <w:pPr>
              <w:pStyle w:val="Tabletext-nospacing"/>
              <w:rPr>
                <w:rFonts w:cs="Times New Roman"/>
                <w:b/>
                <w:bCs w:val="0"/>
                <w:szCs w:val="28"/>
              </w:rPr>
            </w:pPr>
            <w:sdt>
              <w:sdtPr>
                <w:rPr>
                  <w:rFonts w:cs="Times New Roman"/>
                  <w:b/>
                  <w:bCs w:val="0"/>
                  <w:szCs w:val="28"/>
                </w:rPr>
                <w:id w:val="-574438098"/>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4E6B4794" w14:textId="4648BE7C" w:rsidR="00325BA8" w:rsidRPr="000751B2" w:rsidRDefault="00000000" w:rsidP="004941FC">
            <w:pPr>
              <w:pStyle w:val="Tabletext-nospacing"/>
              <w:rPr>
                <w:rFonts w:cs="Times New Roman"/>
                <w:b/>
                <w:bCs w:val="0"/>
                <w:szCs w:val="28"/>
              </w:rPr>
            </w:pPr>
            <w:sdt>
              <w:sdtPr>
                <w:rPr>
                  <w:rFonts w:cs="Times New Roman"/>
                  <w:b/>
                  <w:bCs w:val="0"/>
                  <w:szCs w:val="28"/>
                </w:rPr>
                <w:id w:val="-907525750"/>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4B569EFB" w14:textId="77777777" w:rsidTr="004941FC">
        <w:trPr>
          <w:cantSplit/>
          <w:trHeight w:val="317"/>
        </w:trPr>
        <w:tc>
          <w:tcPr>
            <w:tcW w:w="6835" w:type="dxa"/>
          </w:tcPr>
          <w:p w14:paraId="56F48602" w14:textId="75F6DEFD" w:rsidR="001D7162" w:rsidRPr="008F4ABC" w:rsidRDefault="005F2DEA" w:rsidP="001D7162">
            <w:pPr>
              <w:pStyle w:val="Tabletext"/>
              <w:rPr>
                <w:rFonts w:cs="Times New Roman"/>
                <w:b/>
                <w:bCs/>
              </w:rPr>
            </w:pPr>
            <w:r w:rsidRPr="004941FC">
              <w:rPr>
                <w:rFonts w:cs="Times New Roman"/>
                <w:b/>
                <w:bCs/>
                <w:color w:val="171717" w:themeColor="accent6" w:themeShade="1A"/>
              </w:rPr>
              <w:t>66300.6 (b)</w:t>
            </w:r>
            <w:r>
              <w:rPr>
                <w:rFonts w:cs="Times New Roman"/>
                <w:color w:val="171717" w:themeColor="accent6" w:themeShade="1A"/>
              </w:rPr>
              <w:t xml:space="preserve"> [</w:t>
            </w:r>
            <w:r w:rsidRPr="0084110F">
              <w:rPr>
                <w:rFonts w:cs="Times New Roman"/>
                <w:color w:val="171717" w:themeColor="accent6" w:themeShade="1A"/>
                <w:highlight w:val="yellow"/>
              </w:rPr>
              <w:t>and municipal</w:t>
            </w:r>
            <w:r w:rsidR="009061F5">
              <w:rPr>
                <w:rFonts w:cs="Times New Roman"/>
                <w:color w:val="171717" w:themeColor="accent6" w:themeShade="1A"/>
                <w:highlight w:val="yellow"/>
              </w:rPr>
              <w:t>/county</w:t>
            </w:r>
            <w:r w:rsidRPr="0084110F">
              <w:rPr>
                <w:rFonts w:cs="Times New Roman"/>
                <w:color w:val="171717" w:themeColor="accent6" w:themeShade="1A"/>
                <w:highlight w:val="yellow"/>
              </w:rPr>
              <w:t xml:space="preserve"> code section if applicable</w:t>
            </w:r>
            <w:r>
              <w:rPr>
                <w:rFonts w:cs="Times New Roman"/>
                <w:color w:val="171717" w:themeColor="accent6" w:themeShade="1A"/>
              </w:rPr>
              <w:t>]</w:t>
            </w:r>
          </w:p>
          <w:p w14:paraId="43DA16A7" w14:textId="2F0DCB38" w:rsidR="001D7162" w:rsidRPr="001D7162" w:rsidRDefault="005F2DEA" w:rsidP="001D7162">
            <w:pPr>
              <w:pStyle w:val="Tabletext"/>
              <w:rPr>
                <w:b/>
                <w:bCs/>
              </w:rPr>
            </w:pPr>
            <w:r w:rsidRPr="007910D2">
              <w:rPr>
                <w:rFonts w:cs="Times New Roman"/>
                <w:b/>
                <w:bCs/>
                <w:color w:val="171717" w:themeColor="accent6" w:themeShade="1A"/>
              </w:rPr>
              <w:t>Replacement Housing.</w:t>
            </w:r>
            <w:r w:rsidRPr="00D671DB">
              <w:rPr>
                <w:rFonts w:cs="Times New Roman"/>
                <w:color w:val="171717" w:themeColor="accent6" w:themeShade="1A"/>
              </w:rPr>
              <w:t xml:space="preserve"> If any existing dwelling unit is proposed to be demolished, the </w:t>
            </w:r>
            <w:r w:rsidR="002D634C">
              <w:rPr>
                <w:rFonts w:cs="Times New Roman"/>
                <w:color w:val="171717" w:themeColor="accent6" w:themeShade="1A"/>
              </w:rPr>
              <w:t>development project</w:t>
            </w:r>
            <w:r w:rsidR="002D634C" w:rsidRPr="00D671DB">
              <w:rPr>
                <w:rFonts w:cs="Times New Roman"/>
                <w:color w:val="171717" w:themeColor="accent6" w:themeShade="1A"/>
              </w:rPr>
              <w:t xml:space="preserve"> </w:t>
            </w:r>
            <w:r w:rsidR="002D634C">
              <w:rPr>
                <w:rFonts w:cs="Times New Roman"/>
                <w:color w:val="171717" w:themeColor="accent6" w:themeShade="1A"/>
              </w:rPr>
              <w:t xml:space="preserve">complies </w:t>
            </w:r>
            <w:r w:rsidRPr="00D671DB">
              <w:rPr>
                <w:rFonts w:cs="Times New Roman"/>
                <w:color w:val="171717" w:themeColor="accent6" w:themeShade="1A"/>
              </w:rPr>
              <w:t>with the replacement housing provisions of Government Code Section 66300</w:t>
            </w:r>
            <w:r w:rsidR="002D634C">
              <w:rPr>
                <w:rFonts w:cs="Times New Roman"/>
                <w:color w:val="171717" w:themeColor="accent6" w:themeShade="1A"/>
              </w:rPr>
              <w:t>.6</w:t>
            </w:r>
            <w:r w:rsidRPr="00D671DB">
              <w:rPr>
                <w:rFonts w:cs="Times New Roman"/>
                <w:color w:val="171717" w:themeColor="accent6" w:themeShade="1A"/>
              </w:rPr>
              <w:t>(</w:t>
            </w:r>
            <w:r w:rsidR="002D634C">
              <w:rPr>
                <w:rFonts w:cs="Times New Roman"/>
                <w:color w:val="171717" w:themeColor="accent6" w:themeShade="1A"/>
              </w:rPr>
              <w:t>b</w:t>
            </w:r>
            <w:r w:rsidRPr="00D671DB">
              <w:rPr>
                <w:rFonts w:cs="Times New Roman"/>
                <w:color w:val="171717" w:themeColor="accent6" w:themeShade="1A"/>
              </w:rPr>
              <w:t>).</w:t>
            </w:r>
          </w:p>
        </w:tc>
        <w:tc>
          <w:tcPr>
            <w:tcW w:w="2700" w:type="dxa"/>
            <w:vAlign w:val="center"/>
          </w:tcPr>
          <w:p w14:paraId="54BBDD2F" w14:textId="77777777" w:rsidR="004941FC" w:rsidRDefault="00000000" w:rsidP="004941FC">
            <w:pPr>
              <w:pStyle w:val="Tabletext-nospacing"/>
              <w:rPr>
                <w:rFonts w:cs="Times New Roman"/>
                <w:b/>
                <w:bCs w:val="0"/>
                <w:szCs w:val="28"/>
              </w:rPr>
            </w:pPr>
            <w:sdt>
              <w:sdtPr>
                <w:rPr>
                  <w:rFonts w:cs="Times New Roman"/>
                  <w:b/>
                  <w:bCs w:val="0"/>
                  <w:szCs w:val="28"/>
                </w:rPr>
                <w:id w:val="1232668322"/>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20A3EA0C" w14:textId="46213110" w:rsidR="001D7162" w:rsidRPr="000751B2" w:rsidRDefault="00000000" w:rsidP="004941FC">
            <w:pPr>
              <w:pStyle w:val="Tabletext-nospacing"/>
              <w:rPr>
                <w:rFonts w:cs="Times New Roman"/>
                <w:b/>
                <w:bCs w:val="0"/>
                <w:szCs w:val="28"/>
              </w:rPr>
            </w:pPr>
            <w:sdt>
              <w:sdtPr>
                <w:rPr>
                  <w:rFonts w:cs="Times New Roman"/>
                  <w:b/>
                  <w:bCs w:val="0"/>
                  <w:szCs w:val="28"/>
                </w:rPr>
                <w:id w:val="-949616404"/>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r w:rsidR="00A67448" w14:paraId="23E55796" w14:textId="77777777" w:rsidTr="004941FC">
        <w:trPr>
          <w:cantSplit/>
          <w:trHeight w:val="317"/>
        </w:trPr>
        <w:tc>
          <w:tcPr>
            <w:tcW w:w="6835" w:type="dxa"/>
          </w:tcPr>
          <w:p w14:paraId="4E6C29A0" w14:textId="14F9BA0C" w:rsidR="001D7162" w:rsidRDefault="005F2DEA" w:rsidP="001D7162">
            <w:pPr>
              <w:pStyle w:val="Tabletext"/>
              <w:rPr>
                <w:rFonts w:cs="Times New Roman"/>
                <w:b/>
                <w:bCs/>
              </w:rPr>
            </w:pPr>
            <w:r>
              <w:rPr>
                <w:rFonts w:cs="Times New Roman"/>
                <w:b/>
                <w:bCs/>
              </w:rPr>
              <w:t>[</w:t>
            </w:r>
            <w:r w:rsidRPr="007910D2">
              <w:rPr>
                <w:b/>
                <w:bCs/>
                <w:highlight w:val="yellow"/>
              </w:rPr>
              <w:t>municipal</w:t>
            </w:r>
            <w:r w:rsidR="009061F5">
              <w:rPr>
                <w:b/>
                <w:bCs/>
                <w:highlight w:val="yellow"/>
              </w:rPr>
              <w:t>/county</w:t>
            </w:r>
            <w:r w:rsidRPr="00DB5C6E">
              <w:rPr>
                <w:highlight w:val="yellow"/>
              </w:rPr>
              <w:t xml:space="preserve"> </w:t>
            </w:r>
            <w:r w:rsidRPr="008F4ABC">
              <w:rPr>
                <w:b/>
                <w:bCs/>
                <w:highlight w:val="yellow"/>
              </w:rPr>
              <w:t xml:space="preserve">code </w:t>
            </w:r>
            <w:r w:rsidRPr="00912DF4">
              <w:rPr>
                <w:b/>
                <w:bCs/>
                <w:highlight w:val="yellow"/>
              </w:rPr>
              <w:t>section</w:t>
            </w:r>
            <w:r w:rsidR="00912DF4" w:rsidRPr="00912DF4">
              <w:rPr>
                <w:b/>
                <w:bCs/>
                <w:highlight w:val="yellow"/>
              </w:rPr>
              <w:t xml:space="preserve"> if applicable</w:t>
            </w:r>
            <w:r>
              <w:rPr>
                <w:b/>
                <w:bCs/>
              </w:rPr>
              <w:t>]</w:t>
            </w:r>
          </w:p>
          <w:p w14:paraId="1CD97BC1" w14:textId="0F406079" w:rsidR="001D7162" w:rsidRPr="001D7162" w:rsidRDefault="005F2DEA" w:rsidP="001D7162">
            <w:pPr>
              <w:pStyle w:val="Tabletext"/>
              <w:rPr>
                <w:b/>
                <w:bCs/>
              </w:rPr>
            </w:pPr>
            <w:r w:rsidRPr="00B50AED">
              <w:rPr>
                <w:b/>
                <w:bCs/>
              </w:rPr>
              <w:t>Declaration of Prior Tenancies</w:t>
            </w:r>
            <w:r w:rsidRPr="00B50AED">
              <w:t>. If any existing housing is proposed to be demolished, the owner of the property proposed for the subdivision shall sign an affidavit, in the form approved by the [</w:t>
            </w:r>
            <w:r w:rsidRPr="00B50AED">
              <w:rPr>
                <w:highlight w:val="yellow"/>
              </w:rPr>
              <w:t>city attorney/county counsel</w:t>
            </w:r>
            <w:r w:rsidRPr="00B50AED">
              <w:t xml:space="preserve">], stating that none of the conditions listed in </w:t>
            </w:r>
            <w:r>
              <w:t>[</w:t>
            </w:r>
            <w:r w:rsidR="009061F5">
              <w:rPr>
                <w:highlight w:val="yellow"/>
              </w:rPr>
              <w:t>municipal/county</w:t>
            </w:r>
            <w:r w:rsidR="009061F5" w:rsidRPr="008A5F0F">
              <w:rPr>
                <w:highlight w:val="yellow"/>
              </w:rPr>
              <w:t xml:space="preserve"> </w:t>
            </w:r>
            <w:r w:rsidRPr="008A5F0F">
              <w:rPr>
                <w:highlight w:val="yellow"/>
              </w:rPr>
              <w:t>code section</w:t>
            </w:r>
            <w:r>
              <w:t>]</w:t>
            </w:r>
            <w:r w:rsidRPr="00B50AED">
              <w:t xml:space="preserve"> exist and shall provide a comprehensive history of the occupancy of the units to be altered or demolished for the past five years on a form approved by [</w:t>
            </w:r>
            <w:r w:rsidRPr="00B50AED">
              <w:rPr>
                <w:highlight w:val="yellow"/>
              </w:rPr>
              <w:t>the Director</w:t>
            </w:r>
            <w:r w:rsidRPr="00B50AED">
              <w:t>].</w:t>
            </w:r>
          </w:p>
        </w:tc>
        <w:tc>
          <w:tcPr>
            <w:tcW w:w="2700" w:type="dxa"/>
            <w:vAlign w:val="center"/>
          </w:tcPr>
          <w:p w14:paraId="6C4B704D" w14:textId="77777777" w:rsidR="004941FC" w:rsidRDefault="00000000" w:rsidP="004941FC">
            <w:pPr>
              <w:pStyle w:val="Tabletext-nospacing"/>
              <w:rPr>
                <w:rFonts w:cs="Times New Roman"/>
                <w:b/>
                <w:bCs w:val="0"/>
                <w:szCs w:val="28"/>
              </w:rPr>
            </w:pPr>
            <w:sdt>
              <w:sdtPr>
                <w:rPr>
                  <w:rFonts w:cs="Times New Roman"/>
                  <w:b/>
                  <w:bCs w:val="0"/>
                  <w:szCs w:val="28"/>
                </w:rPr>
                <w:id w:val="-192146857"/>
                <w14:checkbox>
                  <w14:checked w14:val="0"/>
                  <w14:checkedState w14:val="2612" w14:font="MS Gothic"/>
                  <w14:uncheckedState w14:val="2610" w14:font="MS Gothic"/>
                </w14:checkbox>
              </w:sdtPr>
              <w:sdtContent>
                <w:r w:rsidR="005F2DEA">
                  <w:rPr>
                    <w:rFonts w:ascii="MS Gothic" w:eastAsia="MS Gothic" w:hAnsi="MS Gothic" w:cs="Times New Roman" w:hint="eastAsia"/>
                    <w:b/>
                    <w:bCs w:val="0"/>
                    <w:szCs w:val="28"/>
                  </w:rPr>
                  <w:t>☐</w:t>
                </w:r>
              </w:sdtContent>
            </w:sdt>
            <w:r w:rsidR="005F2DEA">
              <w:rPr>
                <w:rFonts w:cs="Times New Roman"/>
                <w:b/>
                <w:bCs w:val="0"/>
                <w:szCs w:val="28"/>
              </w:rPr>
              <w:t xml:space="preserve"> </w:t>
            </w:r>
            <w:r w:rsidR="005F2DEA" w:rsidRPr="000751B2">
              <w:rPr>
                <w:rFonts w:cs="Times New Roman"/>
                <w:b/>
                <w:bCs w:val="0"/>
                <w:szCs w:val="28"/>
              </w:rPr>
              <w:t>Yes</w:t>
            </w:r>
            <w:r w:rsidR="005F2DEA">
              <w:rPr>
                <w:rFonts w:cs="Times New Roman"/>
                <w:b/>
                <w:bCs w:val="0"/>
                <w:szCs w:val="28"/>
              </w:rPr>
              <w:t xml:space="preserve"> (Qualifies)</w:t>
            </w:r>
          </w:p>
          <w:p w14:paraId="5E6D5867" w14:textId="25201B3B" w:rsidR="001D7162" w:rsidRPr="000751B2" w:rsidRDefault="00000000" w:rsidP="004941FC">
            <w:pPr>
              <w:pStyle w:val="Tabletext-nospacing"/>
              <w:rPr>
                <w:rFonts w:cs="Times New Roman"/>
                <w:b/>
                <w:bCs w:val="0"/>
                <w:szCs w:val="28"/>
              </w:rPr>
            </w:pPr>
            <w:sdt>
              <w:sdtPr>
                <w:rPr>
                  <w:rFonts w:cs="Times New Roman"/>
                  <w:b/>
                  <w:bCs w:val="0"/>
                  <w:szCs w:val="28"/>
                </w:rPr>
                <w:id w:val="-256133850"/>
                <w14:checkbox>
                  <w14:checked w14:val="0"/>
                  <w14:checkedState w14:val="2612" w14:font="MS Gothic"/>
                  <w14:uncheckedState w14:val="2610" w14:font="MS Gothic"/>
                </w14:checkbox>
              </w:sdtPr>
              <w:sdtContent>
                <w:r w:rsidR="004941FC">
                  <w:rPr>
                    <w:rFonts w:ascii="MS Gothic" w:eastAsia="MS Gothic" w:hAnsi="MS Gothic" w:cs="Times New Roman" w:hint="eastAsia"/>
                    <w:b/>
                    <w:bCs w:val="0"/>
                    <w:szCs w:val="28"/>
                  </w:rPr>
                  <w:t>☐</w:t>
                </w:r>
              </w:sdtContent>
            </w:sdt>
            <w:r w:rsidR="004941FC">
              <w:rPr>
                <w:rFonts w:cs="Times New Roman"/>
                <w:b/>
                <w:bCs w:val="0"/>
                <w:szCs w:val="28"/>
              </w:rPr>
              <w:t xml:space="preserve"> </w:t>
            </w:r>
            <w:r w:rsidR="004941FC" w:rsidRPr="000751B2">
              <w:rPr>
                <w:rFonts w:cs="Times New Roman"/>
                <w:b/>
                <w:bCs w:val="0"/>
                <w:szCs w:val="28"/>
              </w:rPr>
              <w:t>No</w:t>
            </w:r>
            <w:r w:rsidR="004941FC">
              <w:rPr>
                <w:rFonts w:cs="Times New Roman"/>
                <w:b/>
                <w:bCs w:val="0"/>
                <w:szCs w:val="28"/>
              </w:rPr>
              <w:t xml:space="preserve"> (Disqualified)</w:t>
            </w:r>
          </w:p>
        </w:tc>
      </w:tr>
    </w:tbl>
    <w:p w14:paraId="729C7997" w14:textId="77777777" w:rsidR="004941FC" w:rsidRDefault="005F2DEA">
      <w:pPr>
        <w:spacing w:after="0" w:line="240" w:lineRule="auto"/>
        <w:rPr>
          <w:rFonts w:cs="Calibri"/>
          <w:b/>
          <w:bCs/>
          <w:szCs w:val="28"/>
        </w:rPr>
      </w:pPr>
      <w:r>
        <w:br w:type="page"/>
      </w:r>
    </w:p>
    <w:p w14:paraId="70C68CFF" w14:textId="51EC5598" w:rsidR="00566600" w:rsidRDefault="005F2DEA" w:rsidP="00E84A3B">
      <w:pPr>
        <w:pStyle w:val="Heading3"/>
      </w:pPr>
      <w:r w:rsidRPr="00135329">
        <w:t xml:space="preserve">Table </w:t>
      </w:r>
      <w:r>
        <w:t>4</w:t>
      </w:r>
      <w:r w:rsidRPr="00135329">
        <w:t xml:space="preserve">: </w:t>
      </w:r>
      <w:r w:rsidR="00BA6C43" w:rsidRPr="00BA6C43">
        <w:t>Development and Objective Standards</w:t>
      </w:r>
      <w:r w:rsidR="00BA6C43" w:rsidRPr="00566600">
        <w:rPr>
          <w:b w:val="0"/>
          <w:bCs w:val="0"/>
          <w:szCs w:val="24"/>
        </w:rPr>
        <w:t xml:space="preserve"> </w:t>
      </w:r>
      <w:r w:rsidR="008158A6" w:rsidRPr="00912DF4">
        <w:t xml:space="preserve">Review </w:t>
      </w:r>
      <w:r>
        <w:t>Checklist</w:t>
      </w:r>
    </w:p>
    <w:p w14:paraId="26A1F3DD" w14:textId="4CFB45EF" w:rsidR="00CF7013" w:rsidRDefault="005F2DEA" w:rsidP="00D466B5">
      <w:r>
        <w:t>Instructions: For this table</w:t>
      </w:r>
      <w:r w:rsidR="006A7C02">
        <w:t xml:space="preserve">, </w:t>
      </w:r>
      <w:proofErr w:type="gramStart"/>
      <w:r w:rsidR="006A7C02">
        <w:t>each and every</w:t>
      </w:r>
      <w:proofErr w:type="gramEnd"/>
      <w:r w:rsidR="006A7C02">
        <w:t xml:space="preserve"> row</w:t>
      </w:r>
      <w:r>
        <w:t xml:space="preserve"> must be YES to qualify.</w:t>
      </w:r>
      <w:r>
        <w:rPr>
          <w:rStyle w:val="FootnoteReference"/>
        </w:rPr>
        <w:footnoteReference w:id="14"/>
      </w:r>
    </w:p>
    <w:tbl>
      <w:tblPr>
        <w:tblStyle w:val="TableGridLight"/>
        <w:tblW w:w="9535" w:type="dxa"/>
        <w:tblLook w:val="0420" w:firstRow="1" w:lastRow="0" w:firstColumn="0" w:lastColumn="0" w:noHBand="0" w:noVBand="1"/>
      </w:tblPr>
      <w:tblGrid>
        <w:gridCol w:w="6835"/>
        <w:gridCol w:w="2700"/>
      </w:tblGrid>
      <w:tr w:rsidR="00A67448" w14:paraId="55EE742D" w14:textId="77777777" w:rsidTr="00377EB1">
        <w:trPr>
          <w:cantSplit/>
          <w:trHeight w:val="317"/>
          <w:tblHeader/>
        </w:trPr>
        <w:tc>
          <w:tcPr>
            <w:tcW w:w="6835" w:type="dxa"/>
          </w:tcPr>
          <w:p w14:paraId="11CA6D92" w14:textId="6CD799B8" w:rsidR="00566600" w:rsidRPr="00566600" w:rsidRDefault="005F2DEA" w:rsidP="00566600">
            <w:pPr>
              <w:pStyle w:val="Tabletext"/>
              <w:rPr>
                <w:rFonts w:cs="Times New Roman"/>
                <w:b/>
                <w:bCs/>
              </w:rPr>
            </w:pPr>
            <w:r>
              <w:rPr>
                <w:b/>
                <w:bCs/>
                <w:szCs w:val="24"/>
              </w:rPr>
              <w:t>Development and Objective Standards</w:t>
            </w:r>
          </w:p>
        </w:tc>
        <w:tc>
          <w:tcPr>
            <w:tcW w:w="2700" w:type="dxa"/>
          </w:tcPr>
          <w:p w14:paraId="7540B194" w14:textId="406A3C70" w:rsidR="00566600" w:rsidRPr="00DB5C6E" w:rsidRDefault="005F2DEA" w:rsidP="00566600">
            <w:pPr>
              <w:pStyle w:val="TableColumnHeading"/>
              <w:jc w:val="center"/>
              <w:rPr>
                <w:color w:val="auto"/>
                <w:szCs w:val="24"/>
              </w:rPr>
            </w:pPr>
            <w:r w:rsidRPr="00DB5C6E">
              <w:rPr>
                <w:color w:val="auto"/>
                <w:szCs w:val="24"/>
              </w:rPr>
              <w:t xml:space="preserve">Must be </w:t>
            </w:r>
            <w:r w:rsidR="007910D2">
              <w:rPr>
                <w:color w:val="auto"/>
                <w:szCs w:val="24"/>
              </w:rPr>
              <w:t>Y</w:t>
            </w:r>
            <w:r w:rsidR="003E721E">
              <w:rPr>
                <w:color w:val="auto"/>
                <w:szCs w:val="24"/>
              </w:rPr>
              <w:t>ES</w:t>
            </w:r>
            <w:r w:rsidRPr="00DB5C6E">
              <w:rPr>
                <w:color w:val="auto"/>
                <w:szCs w:val="24"/>
              </w:rPr>
              <w:t xml:space="preserve"> to Qualify</w:t>
            </w:r>
          </w:p>
          <w:p w14:paraId="1DDA2C9E" w14:textId="4DE97D11" w:rsidR="00566600" w:rsidRPr="000751B2" w:rsidRDefault="005F2DEA" w:rsidP="00566600">
            <w:pPr>
              <w:pStyle w:val="Tabletext-nospacing"/>
              <w:jc w:val="center"/>
              <w:rPr>
                <w:rFonts w:cs="Times New Roman"/>
                <w:b/>
                <w:bCs w:val="0"/>
                <w:szCs w:val="28"/>
              </w:rPr>
            </w:pPr>
            <w:r w:rsidRPr="00DB5C6E">
              <w:rPr>
                <w:b/>
                <w:bCs w:val="0"/>
              </w:rPr>
              <w:t>(Circle Yes or No)</w:t>
            </w:r>
          </w:p>
        </w:tc>
      </w:tr>
      <w:tr w:rsidR="00A67448" w14:paraId="3A510EB0" w14:textId="77777777" w:rsidTr="00377EB1">
        <w:trPr>
          <w:cantSplit/>
          <w:trHeight w:val="317"/>
        </w:trPr>
        <w:tc>
          <w:tcPr>
            <w:tcW w:w="6835" w:type="dxa"/>
          </w:tcPr>
          <w:p w14:paraId="2D5D62FF" w14:textId="5FADB4AB" w:rsidR="00BA6C43" w:rsidRPr="00912DF4" w:rsidRDefault="005F2DEA" w:rsidP="00BA6C43">
            <w:pPr>
              <w:pStyle w:val="Tabletext"/>
              <w:rPr>
                <w:b/>
                <w:bCs/>
              </w:rPr>
            </w:pPr>
            <w:r w:rsidRPr="00BA6C43">
              <w:rPr>
                <w:b/>
                <w:bCs/>
              </w:rPr>
              <w:t xml:space="preserve">65852.28 </w:t>
            </w:r>
            <w:r w:rsidRPr="006E182B">
              <w:rPr>
                <w:b/>
                <w:bCs/>
              </w:rPr>
              <w:t>(b)(1)</w:t>
            </w:r>
            <w:r w:rsidRPr="006E182B">
              <w:rPr>
                <w:rFonts w:ascii="inherit" w:eastAsia="Times New Roman" w:hAnsi="inherit" w:cs="Times New Roman"/>
                <w:color w:val="333333"/>
              </w:rPr>
              <w:t> </w:t>
            </w:r>
            <w:r w:rsidRPr="00BA6C43">
              <w:rPr>
                <w:b/>
                <w:bCs/>
              </w:rPr>
              <w:t xml:space="preserve">and </w:t>
            </w:r>
            <w:r w:rsidRPr="00BA6C43">
              <w:rPr>
                <w:rFonts w:cs="Times New Roman"/>
                <w:b/>
                <w:bCs/>
              </w:rPr>
              <w:t xml:space="preserve">66499.41 </w:t>
            </w:r>
            <w:r w:rsidRPr="00BA6C43">
              <w:rPr>
                <w:b/>
                <w:bCs/>
              </w:rPr>
              <w:t>(d)</w:t>
            </w:r>
            <w:r w:rsidR="00912DF4">
              <w:rPr>
                <w:b/>
                <w:bCs/>
              </w:rPr>
              <w:t xml:space="preserve"> </w:t>
            </w:r>
            <w:r w:rsidR="008158A6" w:rsidRPr="00912DF4">
              <w:rPr>
                <w:b/>
                <w:bCs/>
              </w:rPr>
              <w:t>Objective Zoning Standards</w:t>
            </w:r>
            <w:r w:rsidR="008158A6">
              <w:rPr>
                <w:b/>
                <w:bCs/>
              </w:rPr>
              <w:t xml:space="preserve">. </w:t>
            </w:r>
            <w:r w:rsidR="008158A6" w:rsidRPr="00135329">
              <w:t>The proposed housing development complies with all objective zoning standards, objective subdivision standards, and objective design review standards applicable to the parcel as provided in the zoning district in which the parcel is located</w:t>
            </w:r>
            <w:r>
              <w:rPr>
                <w:rStyle w:val="FootnoteReference"/>
              </w:rPr>
              <w:footnoteReference w:id="15"/>
            </w:r>
            <w:r w:rsidR="008158A6" w:rsidRPr="00135329">
              <w:t xml:space="preserve"> that do not conflict with Section</w:t>
            </w:r>
            <w:r w:rsidR="00912DF4">
              <w:t>s</w:t>
            </w:r>
            <w:r w:rsidR="008158A6" w:rsidRPr="00135329">
              <w:t xml:space="preserve"> [</w:t>
            </w:r>
            <w:r w:rsidR="008158A6" w:rsidRPr="00DB5C6E">
              <w:rPr>
                <w:highlight w:val="yellow"/>
              </w:rPr>
              <w:t>municipal/county code section</w:t>
            </w:r>
            <w:r w:rsidR="008158A6" w:rsidRPr="00135329">
              <w:t>]</w:t>
            </w:r>
            <w:r>
              <w:rPr>
                <w:rStyle w:val="FootnoteReference"/>
              </w:rPr>
              <w:footnoteReference w:id="16"/>
            </w:r>
            <w:r w:rsidR="008158A6" w:rsidRPr="00135329">
              <w:t xml:space="preserve"> and Government Code </w:t>
            </w:r>
            <w:r w:rsidR="008158A6">
              <w:t>Sections</w:t>
            </w:r>
            <w:r w:rsidR="008158A6" w:rsidRPr="00135329">
              <w:t xml:space="preserve"> 65852.28 and 66499.41. </w:t>
            </w:r>
          </w:p>
        </w:tc>
        <w:tc>
          <w:tcPr>
            <w:tcW w:w="2700" w:type="dxa"/>
            <w:vAlign w:val="center"/>
          </w:tcPr>
          <w:p w14:paraId="72AB8D1A" w14:textId="5E875A9D" w:rsidR="00566600" w:rsidRPr="00D671DB" w:rsidRDefault="005F2DEA" w:rsidP="0084110F">
            <w:pPr>
              <w:pStyle w:val="Tabletext-nospacing"/>
              <w:jc w:val="center"/>
              <w:rPr>
                <w:rFonts w:cs="Times New Roman"/>
              </w:rPr>
            </w:pPr>
            <w:r w:rsidRPr="000751B2">
              <w:rPr>
                <w:rFonts w:cs="Times New Roman"/>
                <w:b/>
                <w:bCs w:val="0"/>
                <w:szCs w:val="28"/>
              </w:rPr>
              <w:t>Yes / No</w:t>
            </w:r>
          </w:p>
        </w:tc>
      </w:tr>
      <w:tr w:rsidR="00A67448" w14:paraId="2E9618D5" w14:textId="77777777" w:rsidTr="00377EB1">
        <w:trPr>
          <w:trHeight w:val="317"/>
        </w:trPr>
        <w:tc>
          <w:tcPr>
            <w:tcW w:w="6835" w:type="dxa"/>
          </w:tcPr>
          <w:p w14:paraId="1C0D8CCA" w14:textId="37F0FBBF" w:rsidR="00566600" w:rsidRPr="008A5F0F" w:rsidRDefault="005F2DEA" w:rsidP="00566600">
            <w:pPr>
              <w:pStyle w:val="Tabletext-nospacing"/>
              <w:rPr>
                <w:b/>
                <w:bCs w:val="0"/>
              </w:rPr>
            </w:pPr>
            <w:r>
              <w:rPr>
                <w:b/>
                <w:bCs w:val="0"/>
              </w:rPr>
              <w:t>65852.28 (b)(2)</w:t>
            </w:r>
            <w:r w:rsidR="006975C9">
              <w:rPr>
                <w:b/>
                <w:bCs w:val="0"/>
              </w:rPr>
              <w:t xml:space="preserve">(C), </w:t>
            </w:r>
            <w:r>
              <w:rPr>
                <w:b/>
                <w:bCs w:val="0"/>
              </w:rPr>
              <w:t>(E)</w:t>
            </w:r>
          </w:p>
          <w:p w14:paraId="6AE4B2E3" w14:textId="77777777" w:rsidR="00566600" w:rsidRDefault="005F2DEA" w:rsidP="00566600">
            <w:pPr>
              <w:pStyle w:val="Tabletext"/>
            </w:pPr>
            <w:r w:rsidRPr="008A5F0F">
              <w:rPr>
                <w:b/>
                <w:bCs/>
              </w:rPr>
              <w:t>Setbacks.</w:t>
            </w:r>
            <w:r>
              <w:t xml:space="preserve"> </w:t>
            </w:r>
          </w:p>
          <w:p w14:paraId="14190005" w14:textId="01E28A6A" w:rsidR="00566600" w:rsidRDefault="005F2DEA" w:rsidP="006B2B7C">
            <w:pPr>
              <w:pStyle w:val="ListParagraph"/>
            </w:pPr>
            <w:r>
              <w:t>N</w:t>
            </w:r>
            <w:r w:rsidRPr="00135329">
              <w:t xml:space="preserve">o setback between the units is required, except as provided in the California Building Code (Title 24 of the California Code of Regulations). </w:t>
            </w:r>
          </w:p>
          <w:p w14:paraId="219C555F" w14:textId="1E227637" w:rsidR="00566600" w:rsidRPr="008A5F0F" w:rsidRDefault="005F2DEA" w:rsidP="006B2B7C">
            <w:pPr>
              <w:pStyle w:val="ListParagraph"/>
              <w:rPr>
                <w:rFonts w:cs="Times New Roman"/>
                <w:b/>
                <w:bCs/>
              </w:rPr>
            </w:pPr>
            <w:r w:rsidRPr="00135329">
              <w:t>Required rear and side yard setbacks from the original lot line shall equal four feet, except that no setback shall be required for an existing legally created structure or a structure constructed in the same location and to the same dimensions as an existing legally created structure.</w:t>
            </w:r>
          </w:p>
        </w:tc>
        <w:tc>
          <w:tcPr>
            <w:tcW w:w="2700" w:type="dxa"/>
            <w:vAlign w:val="center"/>
          </w:tcPr>
          <w:p w14:paraId="0583DBDB" w14:textId="09AC2A2E" w:rsidR="00566600" w:rsidRPr="00D671DB" w:rsidRDefault="005F2DEA" w:rsidP="00566600">
            <w:pPr>
              <w:pStyle w:val="Tabletext-nospacing"/>
              <w:jc w:val="center"/>
              <w:rPr>
                <w:rFonts w:cs="Times New Roman"/>
              </w:rPr>
            </w:pPr>
            <w:r w:rsidRPr="000751B2">
              <w:rPr>
                <w:rFonts w:cs="Times New Roman"/>
                <w:b/>
                <w:bCs w:val="0"/>
                <w:szCs w:val="28"/>
              </w:rPr>
              <w:t>Yes / No</w:t>
            </w:r>
          </w:p>
        </w:tc>
      </w:tr>
      <w:tr w:rsidR="00A67448" w14:paraId="35D2A111" w14:textId="77777777" w:rsidTr="00377EB1">
        <w:trPr>
          <w:trHeight w:val="317"/>
        </w:trPr>
        <w:tc>
          <w:tcPr>
            <w:tcW w:w="6835" w:type="dxa"/>
          </w:tcPr>
          <w:p w14:paraId="78E84078" w14:textId="1E7E8539" w:rsidR="00566600" w:rsidRPr="00CE72F5" w:rsidRDefault="005F2DEA" w:rsidP="00CE72F5">
            <w:pPr>
              <w:pStyle w:val="Tabletext-nospacing"/>
              <w:rPr>
                <w:b/>
                <w:bCs w:val="0"/>
              </w:rPr>
            </w:pPr>
            <w:r>
              <w:rPr>
                <w:b/>
                <w:bCs w:val="0"/>
              </w:rPr>
              <w:t>65852.28 (b)(2)</w:t>
            </w:r>
            <w:r w:rsidR="003A3C2B">
              <w:rPr>
                <w:b/>
                <w:bCs w:val="0"/>
              </w:rPr>
              <w:t xml:space="preserve">(D), </w:t>
            </w:r>
            <w:r>
              <w:rPr>
                <w:b/>
                <w:bCs w:val="0"/>
              </w:rPr>
              <w:t xml:space="preserve">(F) and </w:t>
            </w:r>
            <w:r>
              <w:rPr>
                <w:rFonts w:cs="Times New Roman"/>
                <w:b/>
                <w:bCs w:val="0"/>
              </w:rPr>
              <w:t>[</w:t>
            </w:r>
            <w:r w:rsidR="007910D2" w:rsidRPr="007910D2">
              <w:rPr>
                <w:b/>
                <w:bCs w:val="0"/>
                <w:highlight w:val="yellow"/>
              </w:rPr>
              <w:t>municipal/county</w:t>
            </w:r>
            <w:r w:rsidR="007910D2" w:rsidRPr="00DB5C6E">
              <w:rPr>
                <w:highlight w:val="yellow"/>
              </w:rPr>
              <w:t xml:space="preserve"> </w:t>
            </w:r>
            <w:r w:rsidRPr="008F4ABC">
              <w:rPr>
                <w:b/>
                <w:bCs w:val="0"/>
                <w:highlight w:val="yellow"/>
              </w:rPr>
              <w:t>code section</w:t>
            </w:r>
            <w:r>
              <w:rPr>
                <w:b/>
                <w:bCs w:val="0"/>
              </w:rPr>
              <w:t>]</w:t>
            </w:r>
            <w:r w:rsidR="00EF0979">
              <w:rPr>
                <w:b/>
                <w:bCs w:val="0"/>
              </w:rPr>
              <w:br/>
            </w:r>
            <w:r>
              <w:rPr>
                <w:b/>
              </w:rPr>
              <w:t xml:space="preserve">Parking. </w:t>
            </w:r>
            <w:r w:rsidRPr="00353CE2">
              <w:rPr>
                <w:color w:val="171717" w:themeColor="accent6" w:themeShade="1A"/>
              </w:rPr>
              <w:t>One parking space</w:t>
            </w:r>
            <w:r>
              <w:rPr>
                <w:rStyle w:val="FootnoteReference"/>
                <w:color w:val="171717" w:themeColor="accent6" w:themeShade="1A"/>
              </w:rPr>
              <w:footnoteReference w:id="17"/>
            </w:r>
            <w:r>
              <w:rPr>
                <w:color w:val="171717" w:themeColor="accent6" w:themeShade="1A"/>
              </w:rPr>
              <w:t>,</w:t>
            </w:r>
            <w:r w:rsidRPr="00353CE2">
              <w:rPr>
                <w:color w:val="171717" w:themeColor="accent6" w:themeShade="1A"/>
              </w:rPr>
              <w:t xml:space="preserve"> which may be uncovered or not enclosed, shall be required per unit constructed on a parcel created pursuant to the procedures in this section, except that no parking may be required where the parcel is located within one-half mile walking distance of either a stop located in a high-quality transit corridor, as defined in Public Resources Code Section 21155(b), or a major transit stop, as defined in Public Resources Code Section 21064.3.</w:t>
            </w:r>
          </w:p>
        </w:tc>
        <w:tc>
          <w:tcPr>
            <w:tcW w:w="2700" w:type="dxa"/>
            <w:vAlign w:val="center"/>
          </w:tcPr>
          <w:p w14:paraId="00FE4611" w14:textId="611009B1" w:rsidR="00566600" w:rsidRPr="00D671DB" w:rsidRDefault="005F2DEA" w:rsidP="00566600">
            <w:pPr>
              <w:pStyle w:val="Tabletext-nospacing"/>
              <w:jc w:val="center"/>
              <w:rPr>
                <w:rFonts w:cs="Times New Roman"/>
              </w:rPr>
            </w:pPr>
            <w:r w:rsidRPr="000751B2">
              <w:rPr>
                <w:rFonts w:cs="Times New Roman"/>
                <w:b/>
                <w:bCs w:val="0"/>
                <w:szCs w:val="28"/>
              </w:rPr>
              <w:t>Yes / No</w:t>
            </w:r>
          </w:p>
        </w:tc>
      </w:tr>
      <w:tr w:rsidR="00A67448" w14:paraId="6A652572" w14:textId="77777777" w:rsidTr="00377EB1">
        <w:trPr>
          <w:cantSplit/>
          <w:trHeight w:val="317"/>
        </w:trPr>
        <w:tc>
          <w:tcPr>
            <w:tcW w:w="6835" w:type="dxa"/>
          </w:tcPr>
          <w:p w14:paraId="5262BA24" w14:textId="6AA21B21" w:rsidR="00566600" w:rsidRPr="00377EB1" w:rsidRDefault="005F2DEA" w:rsidP="00566600">
            <w:pPr>
              <w:pStyle w:val="Tabletext"/>
              <w:rPr>
                <w:rFonts w:cs="Times New Roman"/>
                <w:b/>
                <w:bCs/>
              </w:rPr>
            </w:pPr>
            <w:r w:rsidRPr="00377EB1">
              <w:rPr>
                <w:b/>
                <w:bCs/>
              </w:rPr>
              <w:t xml:space="preserve">65852.28 (b)(2)(G) and </w:t>
            </w:r>
            <w:r w:rsidRPr="00377EB1">
              <w:rPr>
                <w:rFonts w:cs="Times New Roman"/>
                <w:b/>
                <w:bCs/>
              </w:rPr>
              <w:t>[</w:t>
            </w:r>
            <w:r w:rsidR="007910D2" w:rsidRPr="00377EB1">
              <w:rPr>
                <w:b/>
                <w:bCs/>
                <w:highlight w:val="yellow"/>
              </w:rPr>
              <w:t>municipal/county</w:t>
            </w:r>
            <w:r w:rsidR="007910D2" w:rsidRPr="00377EB1">
              <w:rPr>
                <w:highlight w:val="yellow"/>
              </w:rPr>
              <w:t xml:space="preserve"> </w:t>
            </w:r>
            <w:r w:rsidR="007910D2" w:rsidRPr="00377EB1">
              <w:rPr>
                <w:b/>
                <w:bCs/>
                <w:highlight w:val="yellow"/>
              </w:rPr>
              <w:t>code section</w:t>
            </w:r>
            <w:r w:rsidRPr="00377EB1">
              <w:rPr>
                <w:b/>
                <w:bCs/>
              </w:rPr>
              <w:t>]</w:t>
            </w:r>
          </w:p>
          <w:p w14:paraId="0503265C" w14:textId="5CAC9D82" w:rsidR="00566600" w:rsidRPr="00377EB1" w:rsidRDefault="005F2DEA" w:rsidP="00377EB1">
            <w:pPr>
              <w:pStyle w:val="Tabletext"/>
              <w:tabs>
                <w:tab w:val="left" w:pos="6542"/>
              </w:tabs>
              <w:ind w:right="-112"/>
            </w:pPr>
            <w:r w:rsidRPr="00377EB1">
              <w:rPr>
                <w:b/>
                <w:bCs/>
              </w:rPr>
              <w:t>Floor Area Ratio Standards.</w:t>
            </w:r>
            <w:r w:rsidRPr="00377EB1">
              <w:t xml:space="preserve"> The following floor area ratios shall</w:t>
            </w:r>
            <w:r w:rsidR="00377EB1">
              <w:t xml:space="preserve"> </w:t>
            </w:r>
            <w:r w:rsidRPr="00377EB1">
              <w:t>appl</w:t>
            </w:r>
            <w:r w:rsidR="00377EB1" w:rsidRPr="00377EB1">
              <w:t>y</w:t>
            </w:r>
            <w:r w:rsidRPr="00377EB1">
              <w:rPr>
                <w:rStyle w:val="FootnoteReference"/>
                <w:color w:val="171717" w:themeColor="accent6" w:themeShade="1A"/>
              </w:rPr>
              <w:footnoteReference w:id="18"/>
            </w:r>
            <w:r w:rsidRPr="00377EB1">
              <w:t>:</w:t>
            </w:r>
          </w:p>
          <w:p w14:paraId="64E341C1" w14:textId="7ED41213" w:rsidR="00566600" w:rsidRPr="00377EB1" w:rsidRDefault="005F2DEA" w:rsidP="00377EB1">
            <w:pPr>
              <w:pStyle w:val="ListParagraph"/>
            </w:pPr>
            <w:r w:rsidRPr="00377EB1">
              <w:t>For a housing development project consisting of three to seven units, inclusive, the floor area ratio is 1.0.</w:t>
            </w:r>
          </w:p>
          <w:p w14:paraId="297C3722" w14:textId="7D5E7B00" w:rsidR="00566600" w:rsidRPr="00D671DB" w:rsidRDefault="005F2DEA" w:rsidP="00377EB1">
            <w:pPr>
              <w:pStyle w:val="ListParagraph"/>
              <w:rPr>
                <w:rFonts w:cs="Times New Roman"/>
                <w:b/>
                <w:bCs/>
              </w:rPr>
            </w:pPr>
            <w:r w:rsidRPr="00377EB1">
              <w:t>For a housing development project consisting of eight to ten units, inclusive, the floor area ratio is 1.25.</w:t>
            </w:r>
          </w:p>
        </w:tc>
        <w:tc>
          <w:tcPr>
            <w:tcW w:w="2700" w:type="dxa"/>
            <w:vAlign w:val="center"/>
          </w:tcPr>
          <w:p w14:paraId="1D5BEB78" w14:textId="089CEF19" w:rsidR="00566600" w:rsidRPr="00D671DB" w:rsidRDefault="005F2DEA" w:rsidP="007910D2">
            <w:pPr>
              <w:pStyle w:val="Tabletext-nospacing"/>
              <w:jc w:val="center"/>
              <w:rPr>
                <w:rFonts w:cs="Times New Roman"/>
              </w:rPr>
            </w:pPr>
            <w:r w:rsidRPr="000751B2">
              <w:rPr>
                <w:rFonts w:cs="Times New Roman"/>
                <w:b/>
                <w:bCs w:val="0"/>
                <w:szCs w:val="28"/>
              </w:rPr>
              <w:t>Yes / No</w:t>
            </w:r>
          </w:p>
        </w:tc>
      </w:tr>
    </w:tbl>
    <w:p w14:paraId="5D18BF02" w14:textId="7875AD6D" w:rsidR="004941FC" w:rsidRDefault="004941FC">
      <w:pPr>
        <w:spacing w:after="0" w:line="240" w:lineRule="auto"/>
      </w:pPr>
    </w:p>
    <w:p w14:paraId="39FE09F0" w14:textId="467E450F" w:rsidR="001D7162" w:rsidRDefault="005F2DEA" w:rsidP="001D7162">
      <w:pPr>
        <w:pStyle w:val="Heading3"/>
      </w:pPr>
      <w:r>
        <w:t>Table 5: Conditions of Approval of Subdivision Maps</w:t>
      </w:r>
    </w:p>
    <w:p w14:paraId="7385831F" w14:textId="6A3D04C3" w:rsidR="00CF7013" w:rsidRPr="00A14E6E" w:rsidRDefault="005F2DEA" w:rsidP="00D466B5">
      <w:pPr>
        <w:rPr>
          <w:rFonts w:ascii="inherit" w:eastAsia="Times New Roman" w:hAnsi="inherit"/>
          <w:color w:val="333333"/>
        </w:rPr>
      </w:pPr>
      <w:r>
        <w:t xml:space="preserve">Instructions: </w:t>
      </w:r>
      <w:r w:rsidR="001815E1">
        <w:t>Confirm that the applicant provides documentation for the required conditions</w:t>
      </w:r>
      <w:r>
        <w:t>.</w:t>
      </w:r>
      <w:r w:rsidR="009B14D5">
        <w:t xml:space="preserve"> [</w:t>
      </w:r>
      <w:r w:rsidR="009B14D5" w:rsidRPr="006B2B7C">
        <w:rPr>
          <w:highlight w:val="yellow"/>
        </w:rPr>
        <w:t>If your jurisdiction does not require these, you can remove this table or rows that do not apply.]</w:t>
      </w:r>
    </w:p>
    <w:tbl>
      <w:tblPr>
        <w:tblStyle w:val="TableGridLight"/>
        <w:tblW w:w="9535" w:type="dxa"/>
        <w:tblLook w:val="0420" w:firstRow="1" w:lastRow="0" w:firstColumn="0" w:lastColumn="0" w:noHBand="0" w:noVBand="1"/>
      </w:tblPr>
      <w:tblGrid>
        <w:gridCol w:w="6835"/>
        <w:gridCol w:w="2700"/>
      </w:tblGrid>
      <w:tr w:rsidR="00A67448" w14:paraId="5062A38D" w14:textId="77777777" w:rsidTr="00A14E6E">
        <w:trPr>
          <w:cantSplit/>
          <w:trHeight w:val="317"/>
          <w:tblHeader/>
        </w:trPr>
        <w:tc>
          <w:tcPr>
            <w:tcW w:w="6835" w:type="dxa"/>
          </w:tcPr>
          <w:p w14:paraId="23347258" w14:textId="093F4FF9" w:rsidR="001D7162" w:rsidRPr="00566600" w:rsidRDefault="005F2DEA" w:rsidP="00A14E6E">
            <w:pPr>
              <w:pStyle w:val="Tabletext"/>
              <w:rPr>
                <w:rFonts w:cs="Times New Roman"/>
                <w:b/>
                <w:bCs/>
              </w:rPr>
            </w:pPr>
            <w:r>
              <w:rPr>
                <w:b/>
                <w:bCs/>
                <w:szCs w:val="24"/>
              </w:rPr>
              <w:t>Conditions of Approval</w:t>
            </w:r>
          </w:p>
        </w:tc>
        <w:tc>
          <w:tcPr>
            <w:tcW w:w="2700" w:type="dxa"/>
          </w:tcPr>
          <w:p w14:paraId="39717357" w14:textId="368CF18D" w:rsidR="001D7162" w:rsidRPr="000751B2" w:rsidRDefault="001D7162" w:rsidP="00A14E6E">
            <w:pPr>
              <w:pStyle w:val="Tabletext-nospacing"/>
              <w:jc w:val="center"/>
              <w:rPr>
                <w:rFonts w:cs="Times New Roman"/>
                <w:b/>
                <w:bCs w:val="0"/>
                <w:szCs w:val="28"/>
              </w:rPr>
            </w:pPr>
          </w:p>
        </w:tc>
      </w:tr>
      <w:tr w:rsidR="00A67448" w14:paraId="48EACDB1" w14:textId="77777777" w:rsidTr="00A14E6E">
        <w:trPr>
          <w:cantSplit/>
          <w:trHeight w:val="317"/>
        </w:trPr>
        <w:tc>
          <w:tcPr>
            <w:tcW w:w="6835" w:type="dxa"/>
          </w:tcPr>
          <w:p w14:paraId="4A8F014E" w14:textId="77777777" w:rsidR="00826634" w:rsidRPr="0084110F" w:rsidRDefault="005F2DEA" w:rsidP="00826634">
            <w:pPr>
              <w:pStyle w:val="Tabletext"/>
              <w:rPr>
                <w:b/>
                <w:bCs/>
              </w:rPr>
            </w:pPr>
            <w:r w:rsidRPr="0084110F">
              <w:rPr>
                <w:b/>
                <w:bCs/>
              </w:rPr>
              <w:t>66499.41 (e)</w:t>
            </w:r>
          </w:p>
          <w:p w14:paraId="0EE27C72" w14:textId="0B7ED4F5" w:rsidR="001D7162" w:rsidRPr="0084110F" w:rsidRDefault="005F2DEA" w:rsidP="00826634">
            <w:pPr>
              <w:pStyle w:val="Tabletext"/>
            </w:pPr>
            <w:r w:rsidRPr="00D466B5">
              <w:rPr>
                <w:b/>
                <w:bCs/>
              </w:rPr>
              <w:t>Completion of Residential Structures.</w:t>
            </w:r>
            <w:r>
              <w:t xml:space="preserve"> </w:t>
            </w:r>
            <w:r w:rsidR="00826634">
              <w:t>A</w:t>
            </w:r>
            <w:r w:rsidRPr="008F4ABC">
              <w:t xml:space="preserve"> local agency may condition the approval and recordation of a subdivision map upon the completion of a residential structure in compliance with all applicable provisions of the California Building Standards Code that contains at least one dwelling unit on each resulting parcel that does not already contain an existing legally permitted residential structure or is reserved for internal circulation, open space, or common area. </w:t>
            </w:r>
          </w:p>
        </w:tc>
        <w:tc>
          <w:tcPr>
            <w:tcW w:w="2700" w:type="dxa"/>
            <w:vAlign w:val="center"/>
          </w:tcPr>
          <w:p w14:paraId="01B07668" w14:textId="24F6634C" w:rsidR="00CF7013" w:rsidRDefault="005F2DEA" w:rsidP="00CF7013">
            <w:pPr>
              <w:pStyle w:val="Tabletext-nospacing"/>
              <w:jc w:val="center"/>
              <w:rPr>
                <w:rFonts w:cs="Times New Roman"/>
                <w:b/>
                <w:bCs w:val="0"/>
                <w:szCs w:val="28"/>
              </w:rPr>
            </w:pPr>
            <w:r>
              <w:rPr>
                <w:rFonts w:cs="Times New Roman"/>
                <w:b/>
                <w:bCs w:val="0"/>
                <w:szCs w:val="28"/>
              </w:rPr>
              <w:t>Required</w:t>
            </w:r>
          </w:p>
          <w:p w14:paraId="3B969C0F" w14:textId="77777777" w:rsidR="00CF7013" w:rsidRDefault="00CF7013" w:rsidP="00CF7013">
            <w:pPr>
              <w:pStyle w:val="Tabletext-nospacing"/>
              <w:jc w:val="center"/>
              <w:rPr>
                <w:rFonts w:cs="Times New Roman"/>
                <w:b/>
                <w:bCs w:val="0"/>
                <w:szCs w:val="28"/>
              </w:rPr>
            </w:pPr>
          </w:p>
          <w:p w14:paraId="21CCCD40" w14:textId="581B8FDB" w:rsidR="00CF7013" w:rsidRPr="00D466B5" w:rsidRDefault="005F2DEA" w:rsidP="00CF7013">
            <w:pPr>
              <w:pStyle w:val="Tabletext-nospacing"/>
              <w:jc w:val="center"/>
              <w:rPr>
                <w:rFonts w:cs="Times New Roman"/>
                <w:b/>
                <w:bCs w:val="0"/>
                <w:szCs w:val="28"/>
              </w:rPr>
            </w:pPr>
            <w:r>
              <w:rPr>
                <w:rFonts w:cs="Times New Roman"/>
                <w:b/>
                <w:bCs w:val="0"/>
                <w:szCs w:val="28"/>
              </w:rPr>
              <w:t>Not Required</w:t>
            </w:r>
          </w:p>
        </w:tc>
      </w:tr>
      <w:tr w:rsidR="00A67448" w14:paraId="69CF7A19" w14:textId="77777777" w:rsidTr="00A14E6E">
        <w:trPr>
          <w:trHeight w:val="317"/>
        </w:trPr>
        <w:tc>
          <w:tcPr>
            <w:tcW w:w="6835" w:type="dxa"/>
          </w:tcPr>
          <w:p w14:paraId="5293935E" w14:textId="5E3F892C" w:rsidR="001D7162" w:rsidRPr="008F2D08" w:rsidRDefault="005F2DEA" w:rsidP="0084110F">
            <w:pPr>
              <w:pStyle w:val="Tabletext"/>
              <w:rPr>
                <w:b/>
                <w:bCs/>
              </w:rPr>
            </w:pPr>
            <w:r w:rsidRPr="0084110F">
              <w:rPr>
                <w:b/>
                <w:bCs/>
              </w:rPr>
              <w:t>65913.4.5</w:t>
            </w:r>
            <w:r w:rsidRPr="004F2883">
              <w:rPr>
                <w:b/>
                <w:bCs/>
              </w:rPr>
              <w:t xml:space="preserve"> (</w:t>
            </w:r>
            <w:r w:rsidR="004F2883" w:rsidRPr="004F2883">
              <w:rPr>
                <w:b/>
                <w:bCs/>
              </w:rPr>
              <w:t>a</w:t>
            </w:r>
            <w:r w:rsidRPr="004F2883">
              <w:rPr>
                <w:b/>
                <w:bCs/>
              </w:rPr>
              <w:t>)</w:t>
            </w:r>
            <w:r w:rsidR="004F2883" w:rsidRPr="004F2883">
              <w:rPr>
                <w:b/>
                <w:bCs/>
              </w:rPr>
              <w:t>(3)(B)</w:t>
            </w:r>
            <w:r w:rsidR="008F2D08">
              <w:rPr>
                <w:b/>
                <w:bCs/>
              </w:rPr>
              <w:br/>
            </w:r>
            <w:r w:rsidRPr="0084110F">
              <w:rPr>
                <w:b/>
                <w:bCs/>
              </w:rPr>
              <w:t>Security Bonds or Letter of Credit.</w:t>
            </w:r>
            <w:r>
              <w:t xml:space="preserve"> If the applicant seeks a building permit prior to final map being recorded, the applicant shall provide security in the form of bonds, an instrument of credit from one or more financial institutions subject to regulation by the state or federal government and pledging that the sufficient funds necessary to carry out the act or agreement are on deposit and guaranteed for payment, or a letter of credit from such a financial institution. The amount of the security shall be [</w:t>
            </w:r>
            <w:r w:rsidRPr="00D466B5">
              <w:rPr>
                <w:highlight w:val="yellow"/>
              </w:rPr>
              <w:t>an amount not more than 300%</w:t>
            </w:r>
            <w:r>
              <w:t>] of the total estimated cost of improvements or acts to be performed.</w:t>
            </w:r>
          </w:p>
        </w:tc>
        <w:tc>
          <w:tcPr>
            <w:tcW w:w="2700" w:type="dxa"/>
            <w:vAlign w:val="center"/>
          </w:tcPr>
          <w:p w14:paraId="2202ADC2" w14:textId="346A9D80" w:rsidR="00CF7013" w:rsidRDefault="005F2DEA" w:rsidP="00CF7013">
            <w:pPr>
              <w:pStyle w:val="Tabletext-nospacing"/>
              <w:jc w:val="center"/>
              <w:rPr>
                <w:rFonts w:cs="Times New Roman"/>
                <w:b/>
                <w:bCs w:val="0"/>
              </w:rPr>
            </w:pPr>
            <w:r w:rsidRPr="00D466B5">
              <w:rPr>
                <w:rFonts w:cs="Times New Roman"/>
                <w:b/>
                <w:bCs w:val="0"/>
              </w:rPr>
              <w:t>Provided</w:t>
            </w:r>
          </w:p>
          <w:p w14:paraId="20CED819" w14:textId="77777777" w:rsidR="00CF7013" w:rsidRPr="00D466B5" w:rsidRDefault="00CF7013" w:rsidP="00CF7013">
            <w:pPr>
              <w:pStyle w:val="Tabletext-nospacing"/>
              <w:jc w:val="center"/>
              <w:rPr>
                <w:rFonts w:cs="Times New Roman"/>
                <w:b/>
                <w:bCs w:val="0"/>
              </w:rPr>
            </w:pPr>
          </w:p>
          <w:p w14:paraId="7757F2B3" w14:textId="77777777" w:rsidR="00CF7013" w:rsidRDefault="005F2DEA" w:rsidP="00CF7013">
            <w:pPr>
              <w:pStyle w:val="Tabletext-nospacing"/>
              <w:jc w:val="center"/>
              <w:rPr>
                <w:rFonts w:cs="Times New Roman"/>
                <w:b/>
                <w:bCs w:val="0"/>
              </w:rPr>
            </w:pPr>
            <w:r w:rsidRPr="00D466B5">
              <w:rPr>
                <w:rFonts w:cs="Times New Roman"/>
                <w:b/>
                <w:bCs w:val="0"/>
              </w:rPr>
              <w:t>Not Provided</w:t>
            </w:r>
          </w:p>
          <w:p w14:paraId="479B3D37" w14:textId="77777777" w:rsidR="00CF7013" w:rsidRPr="00D466B5" w:rsidRDefault="00CF7013" w:rsidP="00CF7013">
            <w:pPr>
              <w:pStyle w:val="Tabletext-nospacing"/>
              <w:jc w:val="center"/>
              <w:rPr>
                <w:rFonts w:cs="Times New Roman"/>
                <w:b/>
                <w:bCs w:val="0"/>
              </w:rPr>
            </w:pPr>
          </w:p>
          <w:p w14:paraId="028956B1" w14:textId="6F252BF4" w:rsidR="00CF7013" w:rsidRPr="00CF7013" w:rsidRDefault="005F2DEA" w:rsidP="00CF7013">
            <w:pPr>
              <w:pStyle w:val="Tabletext-nospacing"/>
              <w:jc w:val="center"/>
              <w:rPr>
                <w:rFonts w:cs="Times New Roman"/>
                <w:bCs w:val="0"/>
              </w:rPr>
            </w:pPr>
            <w:r w:rsidRPr="00D466B5">
              <w:rPr>
                <w:rFonts w:cs="Times New Roman"/>
                <w:b/>
                <w:bCs w:val="0"/>
              </w:rPr>
              <w:t>Not Needed</w:t>
            </w:r>
          </w:p>
        </w:tc>
      </w:tr>
      <w:tr w:rsidR="00A67448" w14:paraId="0C313A0A" w14:textId="77777777" w:rsidTr="00A14E6E">
        <w:trPr>
          <w:trHeight w:val="317"/>
        </w:trPr>
        <w:tc>
          <w:tcPr>
            <w:tcW w:w="6835" w:type="dxa"/>
          </w:tcPr>
          <w:p w14:paraId="63B89E58" w14:textId="3ED1E84D" w:rsidR="004F2883" w:rsidRDefault="005F2DEA" w:rsidP="00826634">
            <w:pPr>
              <w:pStyle w:val="Tabletext"/>
              <w:rPr>
                <w:b/>
                <w:bCs/>
              </w:rPr>
            </w:pPr>
            <w:r w:rsidRPr="004F2883">
              <w:rPr>
                <w:b/>
                <w:bCs/>
              </w:rPr>
              <w:t>65913.4.5</w:t>
            </w:r>
            <w:r>
              <w:t xml:space="preserve"> </w:t>
            </w:r>
            <w:r w:rsidRPr="004F2883">
              <w:rPr>
                <w:b/>
                <w:bCs/>
              </w:rPr>
              <w:t>(a)(</w:t>
            </w:r>
            <w:r>
              <w:rPr>
                <w:b/>
                <w:bCs/>
              </w:rPr>
              <w:t>2)</w:t>
            </w:r>
          </w:p>
          <w:p w14:paraId="30276CBC" w14:textId="00C0137F" w:rsidR="001D7162" w:rsidRPr="00D671DB" w:rsidRDefault="005F2DEA" w:rsidP="00826634">
            <w:pPr>
              <w:pStyle w:val="Tabletext"/>
              <w:rPr>
                <w:rFonts w:cs="Times New Roman"/>
                <w:b/>
                <w:bCs/>
              </w:rPr>
            </w:pPr>
            <w:r w:rsidRPr="00826634">
              <w:rPr>
                <w:b/>
                <w:bCs/>
              </w:rPr>
              <w:t>Recorded Covenant.</w:t>
            </w:r>
            <w:r w:rsidRPr="00826634">
              <w:t xml:space="preserve"> If the applicant seeks a building permit prior to final map being recorded, the applicant must submit proof, to the satisfaction of the [</w:t>
            </w:r>
            <w:r w:rsidRPr="00826634">
              <w:rPr>
                <w:highlight w:val="yellow"/>
              </w:rPr>
              <w:t>city attorney/county counsel</w:t>
            </w:r>
            <w:r w:rsidRPr="00826634">
              <w:t>], of a recorded covenant and agreement enforceable by the [</w:t>
            </w:r>
            <w:r w:rsidRPr="00826634">
              <w:rPr>
                <w:highlight w:val="yellow"/>
              </w:rPr>
              <w:t>city/county</w:t>
            </w:r>
            <w:r w:rsidRPr="00826634">
              <w:t>] that the applicant agrees the building permit is issued on condition that a certificate of occupancy or equivalent final approval for the building will not be issued unless the final map has been recorded.</w:t>
            </w:r>
          </w:p>
        </w:tc>
        <w:tc>
          <w:tcPr>
            <w:tcW w:w="2700" w:type="dxa"/>
            <w:vAlign w:val="center"/>
          </w:tcPr>
          <w:p w14:paraId="19D4E63E" w14:textId="77777777" w:rsidR="00CF7013" w:rsidRDefault="005F2DEA" w:rsidP="00CF7013">
            <w:pPr>
              <w:pStyle w:val="Tabletext-nospacing"/>
              <w:jc w:val="center"/>
              <w:rPr>
                <w:rFonts w:cs="Times New Roman"/>
                <w:b/>
                <w:bCs w:val="0"/>
              </w:rPr>
            </w:pPr>
            <w:r w:rsidRPr="00A14E6E">
              <w:rPr>
                <w:rFonts w:cs="Times New Roman"/>
                <w:b/>
                <w:bCs w:val="0"/>
              </w:rPr>
              <w:t>Provided</w:t>
            </w:r>
          </w:p>
          <w:p w14:paraId="1720A7C3" w14:textId="77777777" w:rsidR="00CF7013" w:rsidRPr="00A14E6E" w:rsidRDefault="00CF7013" w:rsidP="00CF7013">
            <w:pPr>
              <w:pStyle w:val="Tabletext-nospacing"/>
              <w:jc w:val="center"/>
              <w:rPr>
                <w:rFonts w:cs="Times New Roman"/>
                <w:b/>
                <w:bCs w:val="0"/>
              </w:rPr>
            </w:pPr>
          </w:p>
          <w:p w14:paraId="1791AADF" w14:textId="77777777" w:rsidR="00CF7013" w:rsidRDefault="005F2DEA" w:rsidP="00CF7013">
            <w:pPr>
              <w:pStyle w:val="Tabletext-nospacing"/>
              <w:jc w:val="center"/>
              <w:rPr>
                <w:rFonts w:cs="Times New Roman"/>
                <w:b/>
                <w:bCs w:val="0"/>
              </w:rPr>
            </w:pPr>
            <w:r w:rsidRPr="00A14E6E">
              <w:rPr>
                <w:rFonts w:cs="Times New Roman"/>
                <w:b/>
                <w:bCs w:val="0"/>
              </w:rPr>
              <w:t>Not Provided</w:t>
            </w:r>
          </w:p>
          <w:p w14:paraId="001529F1" w14:textId="77777777" w:rsidR="00CF7013" w:rsidRPr="00A14E6E" w:rsidRDefault="00CF7013" w:rsidP="00CF7013">
            <w:pPr>
              <w:pStyle w:val="Tabletext-nospacing"/>
              <w:jc w:val="center"/>
              <w:rPr>
                <w:rFonts w:cs="Times New Roman"/>
                <w:b/>
                <w:bCs w:val="0"/>
              </w:rPr>
            </w:pPr>
          </w:p>
          <w:p w14:paraId="73833911" w14:textId="79290246" w:rsidR="00CF7013" w:rsidRPr="00D671DB" w:rsidRDefault="005F2DEA" w:rsidP="00CF7013">
            <w:pPr>
              <w:pStyle w:val="Tabletext-nospacing"/>
              <w:jc w:val="center"/>
              <w:rPr>
                <w:rFonts w:cs="Times New Roman"/>
              </w:rPr>
            </w:pPr>
            <w:r w:rsidRPr="00A14E6E">
              <w:rPr>
                <w:rFonts w:cs="Times New Roman"/>
                <w:b/>
                <w:bCs w:val="0"/>
              </w:rPr>
              <w:t>Not Needed</w:t>
            </w:r>
          </w:p>
        </w:tc>
      </w:tr>
    </w:tbl>
    <w:p w14:paraId="4A8359FB" w14:textId="77777777" w:rsidR="0031073E" w:rsidRDefault="005F2DEA">
      <w:pPr>
        <w:spacing w:after="0" w:line="240" w:lineRule="auto"/>
        <w:rPr>
          <w:rFonts w:cs="Calibri"/>
          <w:b/>
          <w:bCs/>
          <w:sz w:val="28"/>
          <w:szCs w:val="34"/>
        </w:rPr>
      </w:pPr>
      <w:r>
        <w:br w:type="page"/>
      </w:r>
    </w:p>
    <w:p w14:paraId="5DD5D9F9" w14:textId="03395BCC" w:rsidR="001D7162" w:rsidRPr="0084110F" w:rsidRDefault="005F2DEA" w:rsidP="0084110F">
      <w:pPr>
        <w:pStyle w:val="Heading2"/>
        <w:rPr>
          <w:rFonts w:ascii="inherit" w:eastAsia="Times New Roman" w:hAnsi="inherit"/>
          <w:color w:val="333333"/>
        </w:rPr>
      </w:pPr>
      <w:r>
        <w:t>Disapproval of Subdivision Maps</w:t>
      </w:r>
    </w:p>
    <w:p w14:paraId="53F1722E" w14:textId="20BA3A69" w:rsidR="00FA4980" w:rsidRDefault="005F2DEA" w:rsidP="00FA4980">
      <w:pPr>
        <w:rPr>
          <w:rFonts w:cs="Times New Roman"/>
        </w:rPr>
      </w:pPr>
      <w:r>
        <w:rPr>
          <w:rFonts w:cs="Times New Roman"/>
        </w:rPr>
        <w:t xml:space="preserve">Instructions: </w:t>
      </w:r>
      <w:r w:rsidR="00826634">
        <w:rPr>
          <w:rFonts w:cs="Times New Roman"/>
        </w:rPr>
        <w:t>Use this section to confirm if the proposed subdivision and housing development meets all criteria and requirements and should be approved. If it does, [</w:t>
      </w:r>
      <w:r w:rsidR="00826634" w:rsidRPr="006B2B7C">
        <w:rPr>
          <w:rFonts w:cs="Times New Roman"/>
          <w:highlight w:val="yellow"/>
        </w:rPr>
        <w:t>city/county</w:t>
      </w:r>
      <w:r w:rsidR="00826634">
        <w:rPr>
          <w:rFonts w:cs="Times New Roman"/>
        </w:rPr>
        <w:t xml:space="preserve">] may disapprove with findings. </w:t>
      </w:r>
    </w:p>
    <w:tbl>
      <w:tblPr>
        <w:tblStyle w:val="TableGridLight"/>
        <w:tblW w:w="9535" w:type="dxa"/>
        <w:tblLook w:val="0420" w:firstRow="1" w:lastRow="0" w:firstColumn="0" w:lastColumn="0" w:noHBand="0" w:noVBand="1"/>
      </w:tblPr>
      <w:tblGrid>
        <w:gridCol w:w="6835"/>
        <w:gridCol w:w="2700"/>
      </w:tblGrid>
      <w:tr w:rsidR="00A67448" w14:paraId="308703CB" w14:textId="77777777" w:rsidTr="00A14E6E">
        <w:trPr>
          <w:cantSplit/>
          <w:trHeight w:val="317"/>
          <w:tblHeader/>
        </w:trPr>
        <w:tc>
          <w:tcPr>
            <w:tcW w:w="6835" w:type="dxa"/>
          </w:tcPr>
          <w:p w14:paraId="54CAEE80" w14:textId="77454C31" w:rsidR="00826634" w:rsidRPr="00566600" w:rsidRDefault="005F2DEA" w:rsidP="00A14E6E">
            <w:pPr>
              <w:pStyle w:val="Tabletext"/>
              <w:rPr>
                <w:rFonts w:cs="Times New Roman"/>
                <w:b/>
                <w:bCs/>
              </w:rPr>
            </w:pPr>
            <w:r>
              <w:rPr>
                <w:b/>
                <w:bCs/>
              </w:rPr>
              <w:t>Requirements to Disapprove Subdivision Maps</w:t>
            </w:r>
          </w:p>
        </w:tc>
        <w:tc>
          <w:tcPr>
            <w:tcW w:w="2700" w:type="dxa"/>
          </w:tcPr>
          <w:p w14:paraId="082C8F6D" w14:textId="44E21893" w:rsidR="00826634" w:rsidRPr="000751B2" w:rsidRDefault="005F2DEA" w:rsidP="00A14E6E">
            <w:pPr>
              <w:pStyle w:val="Tabletext-nospacing"/>
              <w:jc w:val="center"/>
              <w:rPr>
                <w:rFonts w:cs="Times New Roman"/>
                <w:b/>
                <w:bCs w:val="0"/>
                <w:szCs w:val="28"/>
              </w:rPr>
            </w:pPr>
            <w:r>
              <w:rPr>
                <w:rFonts w:cs="Times New Roman"/>
                <w:b/>
                <w:bCs w:val="0"/>
                <w:szCs w:val="28"/>
              </w:rPr>
              <w:t>Staff Comments</w:t>
            </w:r>
          </w:p>
        </w:tc>
      </w:tr>
      <w:tr w:rsidR="00A67448" w14:paraId="0C8A6638" w14:textId="77777777" w:rsidTr="0084110F">
        <w:trPr>
          <w:cantSplit/>
          <w:trHeight w:val="2051"/>
        </w:trPr>
        <w:tc>
          <w:tcPr>
            <w:tcW w:w="6835" w:type="dxa"/>
          </w:tcPr>
          <w:p w14:paraId="3658ED76" w14:textId="5F2B5AFD" w:rsidR="0031073E" w:rsidRDefault="005F2DEA" w:rsidP="00A14E6E">
            <w:pPr>
              <w:pStyle w:val="Tabletext"/>
            </w:pPr>
            <w:r w:rsidRPr="0084110F">
              <w:t>Does the</w:t>
            </w:r>
            <w:r>
              <w:t xml:space="preserve"> proposed subdivision and housing development project meet all the criteria and requirements in Table</w:t>
            </w:r>
            <w:r w:rsidR="001D1611">
              <w:t>s</w:t>
            </w:r>
            <w:r>
              <w:t xml:space="preserve"> 1-4 above?</w:t>
            </w:r>
          </w:p>
          <w:p w14:paraId="64D165D8" w14:textId="77777777" w:rsidR="0031073E" w:rsidRDefault="0031073E" w:rsidP="00A14E6E">
            <w:pPr>
              <w:pStyle w:val="Tabletext"/>
            </w:pPr>
          </w:p>
          <w:p w14:paraId="676C1987" w14:textId="30CAF5A5" w:rsidR="0031073E" w:rsidRPr="00D466B5" w:rsidRDefault="005F2DEA" w:rsidP="00A14E6E">
            <w:pPr>
              <w:pStyle w:val="Tabletext"/>
              <w:rPr>
                <w:b/>
                <w:bCs/>
              </w:rPr>
            </w:pPr>
            <w:r w:rsidRPr="00D466B5">
              <w:rPr>
                <w:b/>
                <w:bCs/>
              </w:rPr>
              <w:t>If no, [</w:t>
            </w:r>
            <w:r w:rsidRPr="00D466B5">
              <w:rPr>
                <w:b/>
                <w:bCs/>
                <w:highlight w:val="yellow"/>
              </w:rPr>
              <w:t>city/county</w:t>
            </w:r>
            <w:r w:rsidRPr="00D466B5">
              <w:rPr>
                <w:b/>
                <w:bCs/>
              </w:rPr>
              <w:t xml:space="preserve">] shall disapprove the proposal. </w:t>
            </w:r>
          </w:p>
        </w:tc>
        <w:tc>
          <w:tcPr>
            <w:tcW w:w="2700" w:type="dxa"/>
            <w:vAlign w:val="center"/>
          </w:tcPr>
          <w:p w14:paraId="391C44DB" w14:textId="16A7B203" w:rsidR="00826634" w:rsidRPr="00D671DB" w:rsidRDefault="00826634" w:rsidP="0084110F">
            <w:pPr>
              <w:pStyle w:val="Tabletext-nospacing"/>
              <w:rPr>
                <w:rFonts w:cs="Times New Roman"/>
              </w:rPr>
            </w:pPr>
          </w:p>
        </w:tc>
      </w:tr>
      <w:tr w:rsidR="00A67448" w14:paraId="149AC98E" w14:textId="77777777" w:rsidTr="00A14E6E">
        <w:trPr>
          <w:trHeight w:val="317"/>
        </w:trPr>
        <w:tc>
          <w:tcPr>
            <w:tcW w:w="6835" w:type="dxa"/>
          </w:tcPr>
          <w:p w14:paraId="270BC4EE" w14:textId="4253739D" w:rsidR="00826634" w:rsidRDefault="005F2DEA" w:rsidP="00A14E6E">
            <w:pPr>
              <w:pStyle w:val="Tabletext"/>
              <w:rPr>
                <w:b/>
                <w:bCs/>
              </w:rPr>
            </w:pPr>
            <w:r>
              <w:rPr>
                <w:b/>
                <w:bCs/>
              </w:rPr>
              <w:t xml:space="preserve">If yes, the proposed </w:t>
            </w:r>
            <w:r w:rsidRPr="0084110F">
              <w:rPr>
                <w:b/>
                <w:bCs/>
              </w:rPr>
              <w:t>subdivision and housing development project</w:t>
            </w:r>
            <w:r w:rsidR="0031073E">
              <w:rPr>
                <w:b/>
                <w:bCs/>
              </w:rPr>
              <w:t xml:space="preserve"> may be disapproved with written findings</w:t>
            </w:r>
            <w:r>
              <w:rPr>
                <w:b/>
                <w:bCs/>
              </w:rPr>
              <w:t>.</w:t>
            </w:r>
            <w:r>
              <w:t xml:space="preserve"> </w:t>
            </w:r>
          </w:p>
          <w:p w14:paraId="6B905AD5" w14:textId="46ACD12F" w:rsidR="00903F76" w:rsidRDefault="005F2DEA" w:rsidP="0084110F">
            <w:r>
              <w:t>A</w:t>
            </w:r>
            <w:r w:rsidRPr="006E182B">
              <w:t xml:space="preserve"> local agency may disapprove </w:t>
            </w:r>
            <w:r>
              <w:t xml:space="preserve">the issuance of a parcel map, tentative map, or a final map </w:t>
            </w:r>
            <w:r w:rsidR="0094411B">
              <w:t>f</w:t>
            </w:r>
            <w:r>
              <w:t xml:space="preserve">or a </w:t>
            </w:r>
            <w:r w:rsidRPr="006E182B">
              <w:t xml:space="preserve">housing development project that meets the requirements of </w:t>
            </w:r>
            <w:r w:rsidRPr="00BA6C43">
              <w:t>Government Code Section</w:t>
            </w:r>
            <w:r>
              <w:t>s</w:t>
            </w:r>
            <w:r w:rsidRPr="00BA6C43">
              <w:t xml:space="preserve"> 65852.28</w:t>
            </w:r>
            <w:r>
              <w:t xml:space="preserve"> and 66499.41</w:t>
            </w:r>
            <w:r w:rsidRPr="006E182B">
              <w:t xml:space="preserve"> </w:t>
            </w:r>
            <w:r w:rsidRPr="006B2B7C">
              <w:rPr>
                <w:i/>
                <w:iCs/>
              </w:rPr>
              <w:t>if</w:t>
            </w:r>
            <w:r w:rsidRPr="006E182B">
              <w:t xml:space="preserve"> </w:t>
            </w:r>
            <w:r w:rsidR="0094411B">
              <w:t>the local agency</w:t>
            </w:r>
            <w:r w:rsidRPr="006E182B">
              <w:t xml:space="preserve"> makes a written finding</w:t>
            </w:r>
            <w:r w:rsidR="0094411B">
              <w:t xml:space="preserve">, </w:t>
            </w:r>
            <w:r w:rsidRPr="006E182B">
              <w:t>based upon a preponderance of the evidence, that</w:t>
            </w:r>
            <w:r w:rsidR="00903F76">
              <w:t xml:space="preserve"> the following conditions are met: </w:t>
            </w:r>
          </w:p>
          <w:p w14:paraId="6737BB77" w14:textId="2E5E094A" w:rsidR="00903F76" w:rsidRDefault="00903F76" w:rsidP="00903F76">
            <w:pPr>
              <w:pStyle w:val="ListParagraph"/>
            </w:pPr>
            <w:r>
              <w:t>T</w:t>
            </w:r>
            <w:r w:rsidR="005F2DEA" w:rsidRPr="006E182B">
              <w:t>he proposed housing development project would have a specific, adverse impact</w:t>
            </w:r>
            <w:r w:rsidR="0094411B">
              <w:t xml:space="preserve"> </w:t>
            </w:r>
            <w:r w:rsidR="005F2DEA" w:rsidRPr="006E182B">
              <w:t>upon public health and safety</w:t>
            </w:r>
            <w:r>
              <w:t>;</w:t>
            </w:r>
            <w:r w:rsidR="005F2DEA" w:rsidRPr="006E182B">
              <w:t xml:space="preserve"> </w:t>
            </w:r>
            <w:r w:rsidR="005F2DEA" w:rsidRPr="006B2B7C">
              <w:rPr>
                <w:i/>
                <w:iCs/>
              </w:rPr>
              <w:t>and</w:t>
            </w:r>
          </w:p>
          <w:p w14:paraId="26943AC0" w14:textId="0C032B3C" w:rsidR="00903F76" w:rsidRDefault="00903F76" w:rsidP="00903F76">
            <w:pPr>
              <w:pStyle w:val="ListParagraph"/>
            </w:pPr>
            <w:r>
              <w:t xml:space="preserve">There </w:t>
            </w:r>
            <w:r w:rsidR="005F2DEA" w:rsidRPr="006E182B">
              <w:t>is no feasible method to satisfactorily mitigate or avoid the specific, adverse impact.</w:t>
            </w:r>
            <w:r w:rsidR="0094411B">
              <w:t xml:space="preserve"> </w:t>
            </w:r>
          </w:p>
          <w:p w14:paraId="35096603" w14:textId="6613F99B" w:rsidR="0094411B" w:rsidRPr="00903F76" w:rsidRDefault="00903F76" w:rsidP="00903F76">
            <w:r>
              <w:t>The definition of a “specific, adverse impact” is provided in</w:t>
            </w:r>
            <w:r w:rsidR="0094411B">
              <w:t xml:space="preserve"> Section </w:t>
            </w:r>
            <w:r w:rsidR="0094411B" w:rsidRPr="006E182B">
              <w:t>65589.5</w:t>
            </w:r>
            <w:r w:rsidR="0094411B">
              <w:t>(d)(2)</w:t>
            </w:r>
            <w:r>
              <w:t xml:space="preserve">. According to that section, a </w:t>
            </w:r>
            <w:r w:rsidRPr="00903F76">
              <w:t>“specific, adverse impact” means a significant, quantifiable, direct, and unavoidable impact, based on objective, identified written public health or safety standards, policies, or conditions as they existed on the date the application was deemed complete.</w:t>
            </w:r>
          </w:p>
        </w:tc>
        <w:tc>
          <w:tcPr>
            <w:tcW w:w="2700" w:type="dxa"/>
            <w:vAlign w:val="center"/>
          </w:tcPr>
          <w:p w14:paraId="449B4B0B" w14:textId="32C55C33" w:rsidR="00826634" w:rsidRPr="00D671DB" w:rsidRDefault="00826634" w:rsidP="00A14E6E">
            <w:pPr>
              <w:pStyle w:val="Tabletext-nospacing"/>
              <w:jc w:val="center"/>
              <w:rPr>
                <w:rFonts w:cs="Times New Roman"/>
              </w:rPr>
            </w:pPr>
          </w:p>
        </w:tc>
      </w:tr>
    </w:tbl>
    <w:p w14:paraId="2EF49BDA" w14:textId="34E5FFEA" w:rsidR="001D7162" w:rsidRPr="001D7162" w:rsidRDefault="001D7162" w:rsidP="00826634"/>
    <w:p w14:paraId="29E7D7B5" w14:textId="3957EE71" w:rsidR="008F4ABC" w:rsidRDefault="005F2DEA">
      <w:pPr>
        <w:spacing w:after="0" w:line="240" w:lineRule="auto"/>
      </w:pPr>
      <w:r>
        <w:br w:type="page"/>
      </w:r>
    </w:p>
    <w:p w14:paraId="54A95581" w14:textId="709E6194" w:rsidR="009A4DEE" w:rsidRDefault="005F2DEA" w:rsidP="008F4ABC">
      <w:pPr>
        <w:pStyle w:val="Heading2"/>
      </w:pPr>
      <w:r>
        <w:t xml:space="preserve">Appendix A: (City/County) </w:t>
      </w:r>
      <w:r w:rsidR="00CB0A78">
        <w:t>Single-Family</w:t>
      </w:r>
      <w:r w:rsidR="00874BFE">
        <w:t xml:space="preserve"> Zones</w:t>
      </w:r>
      <w:r w:rsidR="00CB0A78">
        <w:t xml:space="preserve"> and </w:t>
      </w:r>
      <w:r w:rsidR="00874BFE">
        <w:t xml:space="preserve">Zones that Allow </w:t>
      </w:r>
      <w:r>
        <w:t xml:space="preserve">Multi-family Residential </w:t>
      </w:r>
      <w:r w:rsidR="00BC6E0C">
        <w:t>Development</w:t>
      </w:r>
    </w:p>
    <w:p w14:paraId="09F67BDC" w14:textId="6728CEA7" w:rsidR="00AB3497" w:rsidRPr="00D671DB" w:rsidRDefault="005F2DEA" w:rsidP="00AB3497">
      <w:r>
        <w:t>[</w:t>
      </w:r>
      <w:r w:rsidRPr="00AB3497">
        <w:rPr>
          <w:highlight w:val="yellow"/>
        </w:rPr>
        <w:t xml:space="preserve">Note: List </w:t>
      </w:r>
      <w:r w:rsidR="00CB0A78">
        <w:rPr>
          <w:highlight w:val="yellow"/>
        </w:rPr>
        <w:t xml:space="preserve">single-family </w:t>
      </w:r>
      <w:r w:rsidR="00874BFE">
        <w:rPr>
          <w:highlight w:val="yellow"/>
        </w:rPr>
        <w:t xml:space="preserve">zones </w:t>
      </w:r>
      <w:r w:rsidR="00CB0A78">
        <w:rPr>
          <w:highlight w:val="yellow"/>
        </w:rPr>
        <w:t>and</w:t>
      </w:r>
      <w:r w:rsidR="00874BFE">
        <w:rPr>
          <w:highlight w:val="yellow"/>
        </w:rPr>
        <w:t xml:space="preserve"> zones that allow</w:t>
      </w:r>
      <w:r w:rsidR="00CB0A78">
        <w:rPr>
          <w:highlight w:val="yellow"/>
        </w:rPr>
        <w:t xml:space="preserve"> m</w:t>
      </w:r>
      <w:r w:rsidRPr="00AB3497">
        <w:rPr>
          <w:highlight w:val="yellow"/>
        </w:rPr>
        <w:t xml:space="preserve">ulti-family residential </w:t>
      </w:r>
      <w:r w:rsidR="00874BFE">
        <w:rPr>
          <w:highlight w:val="yellow"/>
        </w:rPr>
        <w:t>development</w:t>
      </w:r>
      <w:r w:rsidR="00874BFE" w:rsidRPr="00AB3497">
        <w:rPr>
          <w:highlight w:val="yellow"/>
        </w:rPr>
        <w:t xml:space="preserve"> </w:t>
      </w:r>
      <w:r w:rsidRPr="00AB3497">
        <w:rPr>
          <w:highlight w:val="yellow"/>
        </w:rPr>
        <w:t>in your jurisdiction.]</w:t>
      </w:r>
    </w:p>
    <w:sectPr w:rsidR="00AB3497" w:rsidRPr="00D671DB" w:rsidSect="00E20CFF">
      <w:footerReference w:type="even" r:id="rId11"/>
      <w:footerReference w:type="default" r:id="rId12"/>
      <w:footerReference w:type="first" r:id="rId13"/>
      <w:pgSz w:w="12240" w:h="15840"/>
      <w:pgMar w:top="1440" w:right="1440" w:bottom="1440" w:left="1440" w:header="864" w:footer="720" w:gutter="0"/>
      <w:paperSrc w:first="257" w:other="25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C737" w14:textId="77777777" w:rsidR="004A2315" w:rsidRDefault="004A2315" w:rsidP="00BB417C">
      <w:r>
        <w:separator/>
      </w:r>
    </w:p>
    <w:p w14:paraId="3EBE4C91" w14:textId="77777777" w:rsidR="004A2315" w:rsidRDefault="004A2315" w:rsidP="00BB417C"/>
    <w:p w14:paraId="258C2A5F" w14:textId="77777777" w:rsidR="004A2315" w:rsidRDefault="004A2315" w:rsidP="00BB417C"/>
  </w:endnote>
  <w:endnote w:type="continuationSeparator" w:id="0">
    <w:p w14:paraId="44A62D7B" w14:textId="77777777" w:rsidR="004A2315" w:rsidRDefault="004A2315" w:rsidP="00BB417C">
      <w:r>
        <w:continuationSeparator/>
      </w:r>
    </w:p>
    <w:p w14:paraId="362B9D8D" w14:textId="77777777" w:rsidR="004A2315" w:rsidRDefault="004A2315" w:rsidP="00BB417C"/>
    <w:p w14:paraId="42480A35" w14:textId="77777777" w:rsidR="004A2315" w:rsidRDefault="004A2315" w:rsidP="00BB417C"/>
  </w:endnote>
  <w:endnote w:type="continuationNotice" w:id="1">
    <w:p w14:paraId="35DD7879" w14:textId="77777777" w:rsidR="004A2315" w:rsidRDefault="004A2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9533" w14:textId="77777777" w:rsidR="003444D7" w:rsidRDefault="003444D7" w:rsidP="00BB417C">
    <w:pPr>
      <w:pStyle w:val="Footer"/>
    </w:pPr>
  </w:p>
  <w:p w14:paraId="4B3D0920" w14:textId="6FA4AAC1" w:rsidR="003444D7" w:rsidRDefault="005F2DEA" w:rsidP="00BB417C">
    <w:pPr>
      <w:pStyle w:val="DocID"/>
    </w:pPr>
    <w:r>
      <w:t>990052\01\3407083.1</w:t>
    </w:r>
  </w:p>
  <w:p w14:paraId="0838F40E" w14:textId="77777777" w:rsidR="004B4873" w:rsidRDefault="004B4873" w:rsidP="00BB417C"/>
  <w:p w14:paraId="1A112EAA" w14:textId="77777777" w:rsidR="004B4873" w:rsidRDefault="004B4873" w:rsidP="00BB41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908411"/>
      <w:docPartObj>
        <w:docPartGallery w:val="Page Numbers (Bottom of Page)"/>
        <w:docPartUnique/>
      </w:docPartObj>
    </w:sdtPr>
    <w:sdtEndPr>
      <w:rPr>
        <w:noProof/>
      </w:rPr>
    </w:sdtEndPr>
    <w:sdtContent>
      <w:sdt>
        <w:sdtPr>
          <w:id w:val="-671020340"/>
          <w:docPartObj>
            <w:docPartGallery w:val="Page Numbers (Bottom of Page)"/>
            <w:docPartUnique/>
          </w:docPartObj>
        </w:sdtPr>
        <w:sdtEndPr>
          <w:rPr>
            <w:noProof/>
          </w:rPr>
        </w:sdtEndPr>
        <w:sdtContent>
          <w:p w14:paraId="56647659" w14:textId="2C04C5F8" w:rsidR="004B4873" w:rsidRDefault="00C8593C" w:rsidP="00BB417C">
            <w:pPr>
              <w:pStyle w:val="Footer"/>
              <w:spacing w:before="120" w:after="0"/>
              <w:jc w:val="right"/>
            </w:pPr>
            <w:r>
              <w:t>6</w:t>
            </w:r>
            <w:r w:rsidR="005F2DEA">
              <w:t>/</w:t>
            </w:r>
            <w:r>
              <w:t>24</w:t>
            </w:r>
            <w:r w:rsidR="005F2DEA">
              <w:t>/202</w:t>
            </w:r>
            <w:r w:rsidR="00697FEB">
              <w:t>5</w:t>
            </w:r>
            <w:r w:rsidR="005F2DEA">
              <w:tab/>
            </w:r>
            <w:r w:rsidR="005F2DEA">
              <w:tab/>
            </w:r>
            <w:r w:rsidR="005F2DEA">
              <w:fldChar w:fldCharType="begin"/>
            </w:r>
            <w:r w:rsidR="005F2DEA">
              <w:instrText xml:space="preserve"> PAGE   \* MERGEFORMAT </w:instrText>
            </w:r>
            <w:r w:rsidR="005F2DEA">
              <w:fldChar w:fldCharType="separate"/>
            </w:r>
            <w:r w:rsidR="005F2DEA">
              <w:t>2</w:t>
            </w:r>
            <w:r w:rsidR="005F2DEA">
              <w:rPr>
                <w:noProof/>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212E" w14:textId="19FFBE25" w:rsidR="003444D7" w:rsidRPr="005D3E5F" w:rsidRDefault="00C8593C" w:rsidP="00BB417C">
    <w:pPr>
      <w:pStyle w:val="Footer"/>
      <w:tabs>
        <w:tab w:val="clear" w:pos="4680"/>
        <w:tab w:val="clear" w:pos="9360"/>
        <w:tab w:val="right" w:pos="10800"/>
      </w:tabs>
      <w:spacing w:before="120" w:after="0"/>
      <w:rPr>
        <w:noProof/>
      </w:rPr>
    </w:pPr>
    <w:r>
      <w:t>6</w:t>
    </w:r>
    <w:r w:rsidR="005F2DEA">
      <w:t>/</w:t>
    </w:r>
    <w:r>
      <w:t>24</w:t>
    </w:r>
    <w:r w:rsidR="005F2DEA">
      <w:t>/202</w:t>
    </w:r>
    <w:r w:rsidR="00697FEB">
      <w:t>5</w:t>
    </w:r>
    <w:r w:rsidR="005F2DEA">
      <w:tab/>
    </w:r>
    <w:sdt>
      <w:sdtPr>
        <w:id w:val="-178583713"/>
        <w:docPartObj>
          <w:docPartGallery w:val="Page Numbers (Bottom of Page)"/>
          <w:docPartUnique/>
        </w:docPartObj>
      </w:sdtPr>
      <w:sdtEndPr>
        <w:rPr>
          <w:noProof/>
        </w:rPr>
      </w:sdtEndPr>
      <w:sdtContent>
        <w:r w:rsidR="005F2DEA">
          <w:fldChar w:fldCharType="begin"/>
        </w:r>
        <w:r w:rsidR="005F2DEA">
          <w:instrText xml:space="preserve"> PAGE   \* MERGEFORMAT </w:instrText>
        </w:r>
        <w:r w:rsidR="005F2DEA">
          <w:fldChar w:fldCharType="separate"/>
        </w:r>
        <w:r w:rsidR="005F2DEA">
          <w:t>2</w:t>
        </w:r>
        <w:r w:rsidR="005F2DE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CE52" w14:textId="77777777" w:rsidR="004A2315" w:rsidRDefault="004A2315" w:rsidP="00BB417C">
      <w:r>
        <w:separator/>
      </w:r>
    </w:p>
  </w:footnote>
  <w:footnote w:type="continuationSeparator" w:id="0">
    <w:p w14:paraId="6742D3D9" w14:textId="77777777" w:rsidR="004A2315" w:rsidRDefault="004A2315" w:rsidP="00BB417C">
      <w:r>
        <w:continuationSeparator/>
      </w:r>
    </w:p>
    <w:p w14:paraId="09C62020" w14:textId="77777777" w:rsidR="004A2315" w:rsidRDefault="004A2315" w:rsidP="00BB417C"/>
    <w:p w14:paraId="10CB1B82" w14:textId="77777777" w:rsidR="004A2315" w:rsidRDefault="004A2315" w:rsidP="00BB417C"/>
  </w:footnote>
  <w:footnote w:type="continuationNotice" w:id="1">
    <w:p w14:paraId="04784F8A" w14:textId="77777777" w:rsidR="004A2315" w:rsidRDefault="004A2315">
      <w:pPr>
        <w:spacing w:after="0" w:line="240" w:lineRule="auto"/>
      </w:pPr>
    </w:p>
  </w:footnote>
  <w:footnote w:id="2">
    <w:p w14:paraId="392F5B47" w14:textId="77777777" w:rsidR="00FA4980" w:rsidRPr="006B2B7C" w:rsidRDefault="005F2DEA" w:rsidP="009009C2">
      <w:pPr>
        <w:pStyle w:val="FootnoteText"/>
        <w:rPr>
          <w:rStyle w:val="FootnoteReference"/>
        </w:rPr>
      </w:pPr>
      <w:r w:rsidRPr="00A90932">
        <w:rPr>
          <w:rStyle w:val="FootnoteReference"/>
        </w:rPr>
        <w:footnoteRef/>
      </w:r>
      <w:r w:rsidRPr="006B2B7C">
        <w:rPr>
          <w:rStyle w:val="FootnoteReference"/>
        </w:rPr>
        <w:t xml:space="preserve"> </w:t>
      </w:r>
      <w:r w:rsidRPr="006B2B7C">
        <w:t>An urbanized area or urban cluster as designated by the United States Census Bureau, as published in the Federal Register, Volume 77, Number 59, on March 27, 2012.</w:t>
      </w:r>
    </w:p>
  </w:footnote>
  <w:footnote w:id="3">
    <w:p w14:paraId="56A8A4DA" w14:textId="77777777" w:rsidR="008D00C0" w:rsidRDefault="005F2DEA" w:rsidP="009009C2">
      <w:pPr>
        <w:pStyle w:val="FootnoteText"/>
      </w:pPr>
      <w:r>
        <w:rPr>
          <w:rStyle w:val="FootnoteReference"/>
        </w:rPr>
        <w:footnoteRef/>
      </w:r>
      <w:r>
        <w:t xml:space="preserve"> See Appendix A for a list of multi-family residential zones. </w:t>
      </w:r>
    </w:p>
  </w:footnote>
  <w:footnote w:id="4">
    <w:p w14:paraId="1FDCC919" w14:textId="75ABF809" w:rsidR="002F3216" w:rsidRDefault="005F2DEA" w:rsidP="009009C2">
      <w:pPr>
        <w:pStyle w:val="FootnoteText"/>
      </w:pPr>
      <w:r>
        <w:rPr>
          <w:rStyle w:val="FootnoteReference"/>
        </w:rPr>
        <w:footnoteRef/>
      </w:r>
      <w:r>
        <w:t xml:space="preserve"> </w:t>
      </w:r>
      <w:r w:rsidRPr="00CE72F5">
        <w:rPr>
          <w:highlight w:val="yellow"/>
        </w:rPr>
        <w:t>Local agencies may wish to change their use provisions in addition to, or as an alternative to, listing the zoning districts in the text. Counties may also wish to designate the specific areas that are designated as urbanized areas or urban clusters, in addition to designating the applicable zoning districts.</w:t>
      </w:r>
    </w:p>
  </w:footnote>
  <w:footnote w:id="5">
    <w:p w14:paraId="6CCCC4AC" w14:textId="6B29818D" w:rsidR="00530A42" w:rsidRDefault="005F2DEA" w:rsidP="009009C2">
      <w:pPr>
        <w:pStyle w:val="FootnoteText"/>
      </w:pPr>
      <w:r>
        <w:rPr>
          <w:rStyle w:val="FootnoteReference"/>
        </w:rPr>
        <w:footnoteRef/>
      </w:r>
      <w:r>
        <w:t xml:space="preserve"> “Vacant” is defined as “</w:t>
      </w:r>
      <w:r w:rsidRPr="00530A42">
        <w:t>having no permanent structure, unless the permanent structure is abandoned and uninhabitable.</w:t>
      </w:r>
      <w:r>
        <w:t xml:space="preserve">” In addition, the following types of housing </w:t>
      </w:r>
      <w:r w:rsidR="00DC5F50">
        <w:t xml:space="preserve">do </w:t>
      </w:r>
      <w:r w:rsidR="00DC5F50" w:rsidRPr="006B2B7C">
        <w:rPr>
          <w:i/>
          <w:iCs/>
        </w:rPr>
        <w:t>not</w:t>
      </w:r>
      <w:r w:rsidR="00DC5F50">
        <w:t xml:space="preserve"> qualify</w:t>
      </w:r>
      <w:r>
        <w:t xml:space="preserve"> </w:t>
      </w:r>
      <w:r w:rsidR="00DC5F50">
        <w:t>as</w:t>
      </w:r>
      <w:r>
        <w:t xml:space="preserve"> vacant:</w:t>
      </w:r>
    </w:p>
    <w:p w14:paraId="37B1A92F" w14:textId="46DB409E" w:rsidR="005B4518" w:rsidRDefault="005F2DEA" w:rsidP="009009C2">
      <w:pPr>
        <w:pStyle w:val="FootnoteText"/>
        <w:numPr>
          <w:ilvl w:val="0"/>
          <w:numId w:val="15"/>
        </w:numPr>
      </w:pPr>
      <w:r w:rsidRPr="00530A42">
        <w:t>Housing that is subject to a recorded covenant, ordinance, or law that restricts rent or sales price to levels affordable to persons and families of low, very low, or extremely low income.</w:t>
      </w:r>
    </w:p>
    <w:p w14:paraId="3DD92955" w14:textId="4A26B789" w:rsidR="00530A42" w:rsidRDefault="005F2DEA" w:rsidP="009009C2">
      <w:pPr>
        <w:pStyle w:val="FootnoteText"/>
        <w:numPr>
          <w:ilvl w:val="0"/>
          <w:numId w:val="15"/>
        </w:numPr>
      </w:pPr>
      <w:r w:rsidRPr="00530A42">
        <w:t>Housing that is subject to any form of rent or sales price control through a local public entity’s valid exercise of its police power</w:t>
      </w:r>
      <w:r>
        <w:t>.</w:t>
      </w:r>
    </w:p>
    <w:p w14:paraId="19D73776" w14:textId="6493293C" w:rsidR="00530A42" w:rsidRDefault="005F2DEA" w:rsidP="009009C2">
      <w:pPr>
        <w:pStyle w:val="FootnoteText"/>
        <w:numPr>
          <w:ilvl w:val="0"/>
          <w:numId w:val="15"/>
        </w:numPr>
      </w:pPr>
      <w:r w:rsidRPr="00530A42">
        <w:t>Housing occupied by tenants within the five years preceding the date of the application, including housing that has been demolished or that tenants have vacated prior to the submission of the application for a development permit.</w:t>
      </w:r>
    </w:p>
  </w:footnote>
  <w:footnote w:id="6">
    <w:p w14:paraId="389FC112" w14:textId="082D6C6A" w:rsidR="00FF4496" w:rsidRDefault="005F2DEA" w:rsidP="009009C2">
      <w:pPr>
        <w:pStyle w:val="FootnoteText"/>
      </w:pPr>
      <w:r>
        <w:rPr>
          <w:rStyle w:val="FootnoteReference"/>
        </w:rPr>
        <w:footnoteRef/>
      </w:r>
      <w:r>
        <w:t xml:space="preserve"> </w:t>
      </w:r>
      <w:r w:rsidR="00896CAB">
        <w:t>“</w:t>
      </w:r>
      <w:r>
        <w:t>Substantially surrounded” is defined in Public Resources Code Section 21159.25(a)(2) and means at least 75% of the perimeter of the project site adjoins or is separated only by an improved public right-of-way from parcels that are developed with qualified urban uses. The remainder of the perimeter of the site adjoins or is separated only by an improved public right-of-way from parcels that have been designated for qualified urban uses in a zoning, community plan, or general plan for which an EIR was certified</w:t>
      </w:r>
      <w:r w:rsidR="00A43EFD">
        <w:t xml:space="preserve">. </w:t>
      </w:r>
      <w:r>
        <w:t>“Qualified urban use” is defined in Public Resources Code Section 21072 and means any residential, commercial, public institutional, transit or transportation passenger facility, or retail use, or any combination of those uses.</w:t>
      </w:r>
    </w:p>
  </w:footnote>
  <w:footnote w:id="7">
    <w:p w14:paraId="055188C6" w14:textId="1063CBAC" w:rsidR="00BE75D7" w:rsidRDefault="005F2DEA" w:rsidP="009009C2">
      <w:pPr>
        <w:pStyle w:val="FootnoteText"/>
      </w:pPr>
      <w:r>
        <w:rPr>
          <w:rStyle w:val="FootnoteReference"/>
        </w:rPr>
        <w:footnoteRef/>
      </w:r>
      <w:r>
        <w:t xml:space="preserve"> Note this section only applies if the parcel </w:t>
      </w:r>
      <w:proofErr w:type="gramStart"/>
      <w:r>
        <w:t>is located in</w:t>
      </w:r>
      <w:proofErr w:type="gramEnd"/>
      <w:r>
        <w:t xml:space="preserve"> an incorporated city, the boundaries of which include some portion of an urbanized area, or an urbanized area/urban cluster in a county with a population greater than 600,000 based on the most recent US Census Bureau data. See </w:t>
      </w:r>
      <w:r w:rsidR="00896CAB">
        <w:t xml:space="preserve">Government Code Section </w:t>
      </w:r>
      <w:r>
        <w:t>66499.41 for definition of Urbanized Area and Urban Cluster</w:t>
      </w:r>
      <w:r w:rsidR="004F1130">
        <w:t>.</w:t>
      </w:r>
    </w:p>
  </w:footnote>
  <w:footnote w:id="8">
    <w:p w14:paraId="276D94F1" w14:textId="0FA26EA0" w:rsidR="00AB3497" w:rsidRDefault="005F2DEA" w:rsidP="009009C2">
      <w:pPr>
        <w:pStyle w:val="FootnoteText"/>
      </w:pPr>
      <w:r>
        <w:rPr>
          <w:rStyle w:val="FootnoteReference"/>
        </w:rPr>
        <w:footnoteRef/>
      </w:r>
      <w:r>
        <w:t xml:space="preserve"> </w:t>
      </w:r>
      <w:r w:rsidRPr="00CE72F5">
        <w:rPr>
          <w:highlight w:val="yellow"/>
        </w:rPr>
        <w:t xml:space="preserve">Local agencies may </w:t>
      </w:r>
      <w:r w:rsidR="00125744" w:rsidRPr="00CE72F5">
        <w:rPr>
          <w:highlight w:val="yellow"/>
        </w:rPr>
        <w:t xml:space="preserve">adopt an ordinance that allows a </w:t>
      </w:r>
      <w:r w:rsidRPr="00CE72F5">
        <w:rPr>
          <w:highlight w:val="yellow"/>
        </w:rPr>
        <w:t>minimum parcel size</w:t>
      </w:r>
      <w:r w:rsidR="00125744" w:rsidRPr="00CE72F5">
        <w:rPr>
          <w:highlight w:val="yellow"/>
        </w:rPr>
        <w:t xml:space="preserve"> less than 600 square</w:t>
      </w:r>
      <w:r w:rsidRPr="00CE72F5">
        <w:rPr>
          <w:highlight w:val="yellow"/>
        </w:rPr>
        <w:t xml:space="preserve"> </w:t>
      </w:r>
      <w:r w:rsidR="00125744" w:rsidRPr="00CE72F5">
        <w:rPr>
          <w:highlight w:val="yellow"/>
        </w:rPr>
        <w:t>feet</w:t>
      </w:r>
      <w:r w:rsidR="00495E95" w:rsidRPr="00CE72F5">
        <w:rPr>
          <w:highlight w:val="yellow"/>
        </w:rPr>
        <w:t xml:space="preserve"> for </w:t>
      </w:r>
      <w:r w:rsidR="001D17F0" w:rsidRPr="00CE72F5">
        <w:rPr>
          <w:highlight w:val="yellow"/>
        </w:rPr>
        <w:t xml:space="preserve">parcels </w:t>
      </w:r>
      <w:r w:rsidR="00EE05C9">
        <w:rPr>
          <w:highlight w:val="yellow"/>
        </w:rPr>
        <w:t>that allow</w:t>
      </w:r>
      <w:r w:rsidR="001D17F0" w:rsidRPr="00CE72F5">
        <w:rPr>
          <w:highlight w:val="yellow"/>
        </w:rPr>
        <w:t xml:space="preserve"> for multi-family residential development and less than 1,200 square feet for parcels zoned for single-family residential development</w:t>
      </w:r>
      <w:r w:rsidRPr="00CE72F5">
        <w:rPr>
          <w:highlight w:val="yellow"/>
        </w:rPr>
        <w:t>.</w:t>
      </w:r>
      <w:r w:rsidR="00F23383">
        <w:t xml:space="preserve"> Note that </w:t>
      </w:r>
      <w:r w:rsidR="00057A0E">
        <w:t xml:space="preserve">parcels are not required to comply with minimum requirements on size, width, depth, </w:t>
      </w:r>
      <w:r w:rsidR="00FD6117">
        <w:t xml:space="preserve">frontage, </w:t>
      </w:r>
      <w:r w:rsidR="00057A0E">
        <w:t xml:space="preserve">or dimensions, other than the minimum parcel size (Government Code </w:t>
      </w:r>
      <w:r w:rsidR="00896CAB">
        <w:t xml:space="preserve">Section </w:t>
      </w:r>
      <w:r w:rsidR="00057A0E">
        <w:t>66499.41(b)(1)).</w:t>
      </w:r>
    </w:p>
  </w:footnote>
  <w:footnote w:id="9">
    <w:p w14:paraId="1FA3D572" w14:textId="6747325F" w:rsidR="00AB3497" w:rsidRDefault="005F2DEA" w:rsidP="009009C2">
      <w:pPr>
        <w:pStyle w:val="FootnoteText"/>
      </w:pPr>
      <w:r>
        <w:rPr>
          <w:rStyle w:val="FootnoteReference"/>
        </w:rPr>
        <w:footnoteRef/>
      </w:r>
      <w:r>
        <w:t xml:space="preserve"> </w:t>
      </w:r>
      <w:r w:rsidRPr="004F1130">
        <w:t xml:space="preserve">Note that the statute requires the </w:t>
      </w:r>
      <w:r w:rsidR="0052424D" w:rsidRPr="004F1130">
        <w:t>H</w:t>
      </w:r>
      <w:r w:rsidRPr="004F1130">
        <w:t xml:space="preserve">ousing </w:t>
      </w:r>
      <w:r w:rsidR="0052424D" w:rsidRPr="004F1130">
        <w:t>E</w:t>
      </w:r>
      <w:r w:rsidRPr="004F1130">
        <w:t>lement to be in substantial compliance with Housing Element law.</w:t>
      </w:r>
      <w:r>
        <w:rPr>
          <w:rStyle w:val="eop"/>
          <w:color w:val="000000"/>
          <w:shd w:val="clear" w:color="auto" w:fill="FFFFFF"/>
        </w:rPr>
        <w:t> </w:t>
      </w:r>
    </w:p>
  </w:footnote>
  <w:footnote w:id="10">
    <w:p w14:paraId="7F648F22" w14:textId="77777777" w:rsidR="001A32CE" w:rsidRDefault="005F2DEA" w:rsidP="009009C2">
      <w:pPr>
        <w:pStyle w:val="FootnoteText"/>
      </w:pPr>
      <w:r>
        <w:rPr>
          <w:rStyle w:val="FootnoteReference"/>
        </w:rPr>
        <w:footnoteRef/>
      </w:r>
      <w:r>
        <w:t xml:space="preserve"> </w:t>
      </w:r>
      <w:r w:rsidRPr="007D1C7F">
        <w:rPr>
          <w:highlight w:val="yellow"/>
        </w:rPr>
        <w:t>Local agencies may wish to change their use provisions in addition to, or as an alternative to, listing the zoning districts in the text. Counties may also wish to designate the specific areas that are designated as urbanized areas or urban clusters, in addition to designating the applicable zoning districts.</w:t>
      </w:r>
    </w:p>
  </w:footnote>
  <w:footnote w:id="11">
    <w:p w14:paraId="1755CED3" w14:textId="48C3CC06" w:rsidR="005B4518" w:rsidRDefault="005F2DEA" w:rsidP="009009C2">
      <w:pPr>
        <w:pStyle w:val="FootnoteText"/>
      </w:pPr>
      <w:r>
        <w:rPr>
          <w:rStyle w:val="FootnoteReference"/>
        </w:rPr>
        <w:footnoteRef/>
      </w:r>
      <w:r>
        <w:t xml:space="preserve"> </w:t>
      </w:r>
      <w:r w:rsidRPr="00CE72F5">
        <w:rPr>
          <w:highlight w:val="yellow"/>
        </w:rPr>
        <w:t>Remove language regarding ADUs/JADUs if your city/county decides not to allow them as a part of the housing development.</w:t>
      </w:r>
      <w:r w:rsidR="00004845" w:rsidRPr="00CE72F5">
        <w:rPr>
          <w:highlight w:val="yellow"/>
        </w:rPr>
        <w:t xml:space="preserve"> Notwithstanding Section 65852.2 or 65852.22, a local agency is not required to permit an ADU or JADU on these parcels.</w:t>
      </w:r>
    </w:p>
  </w:footnote>
  <w:footnote w:id="12">
    <w:p w14:paraId="1715BBAD" w14:textId="1C6321C1" w:rsidR="00096B21" w:rsidRDefault="005F2DEA" w:rsidP="009009C2">
      <w:pPr>
        <w:pStyle w:val="FootnoteText"/>
      </w:pPr>
      <w:r>
        <w:rPr>
          <w:rStyle w:val="FootnoteReference"/>
        </w:rPr>
        <w:footnoteRef/>
      </w:r>
      <w:r>
        <w:t xml:space="preserve"> </w:t>
      </w:r>
      <w:r w:rsidRPr="00096B21">
        <w:t>“</w:t>
      </w:r>
      <w:r>
        <w:t>N</w:t>
      </w:r>
      <w:r w:rsidRPr="00096B21">
        <w:t>et habitable square feet” means the finished and heated floor area fully enclosed by the inside surface of walls, windows, doors, and partitions, and having a headroom of at least six and one-half feet, including working, living, eating, cooking, sleeping, stair, hall, service, and storage areas, but excluding garages, carports, parking spaces, cellars, half-stories, and unfinished attics and basements.</w:t>
      </w:r>
    </w:p>
  </w:footnote>
  <w:footnote w:id="13">
    <w:p w14:paraId="7F25AF43" w14:textId="192150C2" w:rsidR="00325BA8" w:rsidRDefault="005F2DEA" w:rsidP="009009C2">
      <w:pPr>
        <w:pStyle w:val="FootnoteText"/>
      </w:pPr>
      <w:r>
        <w:rPr>
          <w:rStyle w:val="FootnoteReference"/>
        </w:rPr>
        <w:footnoteRef/>
      </w:r>
      <w:r>
        <w:t xml:space="preserve"> </w:t>
      </w:r>
      <w:r w:rsidRPr="00CE72F5">
        <w:rPr>
          <w:highlight w:val="yellow"/>
        </w:rPr>
        <w:t>Remove if your city/county decides to allow ADUs/JADUs as part of the housing development. Notwithstanding Section 65852.2 or 65852.22, a local agency is not required to permit an ADU or JADU on these parcels.</w:t>
      </w:r>
      <w:r>
        <w:t xml:space="preserve"> </w:t>
      </w:r>
    </w:p>
  </w:footnote>
  <w:footnote w:id="14">
    <w:p w14:paraId="023A83D8" w14:textId="6073C5FC" w:rsidR="00CF7013" w:rsidRDefault="005F2DEA" w:rsidP="009009C2">
      <w:pPr>
        <w:pStyle w:val="FootnoteText"/>
      </w:pPr>
      <w:r>
        <w:rPr>
          <w:rStyle w:val="FootnoteReference"/>
        </w:rPr>
        <w:footnoteRef/>
      </w:r>
      <w:r>
        <w:t xml:space="preserve"> </w:t>
      </w:r>
      <w:r w:rsidRPr="00CE72F5">
        <w:rPr>
          <w:highlight w:val="yellow"/>
        </w:rPr>
        <w:t>Jurisdictions may want to have supplementary materials for reviewing the development and objective standards.</w:t>
      </w:r>
      <w:r>
        <w:t xml:space="preserve"> </w:t>
      </w:r>
    </w:p>
  </w:footnote>
  <w:footnote w:id="15">
    <w:p w14:paraId="30830D76" w14:textId="4E9314ED" w:rsidR="000D2830" w:rsidRDefault="005F2DEA" w:rsidP="009009C2">
      <w:pPr>
        <w:pStyle w:val="FootnoteText"/>
      </w:pPr>
      <w:r>
        <w:rPr>
          <w:rStyle w:val="FootnoteReference"/>
        </w:rPr>
        <w:footnoteRef/>
      </w:r>
      <w:r>
        <w:t xml:space="preserve"> </w:t>
      </w:r>
      <w:r w:rsidRPr="00CE72F5">
        <w:rPr>
          <w:highlight w:val="yellow"/>
        </w:rPr>
        <w:t>Local agencies may wish to specify which ordinance(s) or code section(s) designate these objective standards.</w:t>
      </w:r>
    </w:p>
  </w:footnote>
  <w:footnote w:id="16">
    <w:p w14:paraId="7A7F1CDE" w14:textId="4A2B23D9" w:rsidR="00912DF4" w:rsidRPr="004F1130" w:rsidRDefault="005F2DEA" w:rsidP="009009C2">
      <w:pPr>
        <w:pStyle w:val="FootnoteText"/>
      </w:pPr>
      <w:r w:rsidRPr="004F1130">
        <w:rPr>
          <w:rStyle w:val="FootnoteReference"/>
        </w:rPr>
        <w:footnoteRef/>
      </w:r>
      <w:r w:rsidRPr="004F1130">
        <w:t xml:space="preserve"> </w:t>
      </w:r>
      <w:r w:rsidRPr="00BA6C43">
        <w:t xml:space="preserve">Unless it would have the effect of physically precluding the construction of the development project at </w:t>
      </w:r>
      <w:r>
        <w:t>densities provided for in Government Code Section 65583.2(c)(3)(B)</w:t>
      </w:r>
      <w:r w:rsidR="009061F5">
        <w:t xml:space="preserve"> or a greater density adopted by a l</w:t>
      </w:r>
      <w:r w:rsidRPr="00BA6C43">
        <w:t xml:space="preserve">ocal agency. </w:t>
      </w:r>
      <w:r w:rsidR="008F031D">
        <w:t>Note that for vacant lots zoned for single-family residential development, a local agency may only impose a height limit that is greater than or equal to what is allowed pursuant to the lot’s existing zoning designation.</w:t>
      </w:r>
    </w:p>
  </w:footnote>
  <w:footnote w:id="17">
    <w:p w14:paraId="778CD40C" w14:textId="01D3D3AA" w:rsidR="00566600" w:rsidRPr="00353CE2" w:rsidRDefault="005F2DEA" w:rsidP="009009C2">
      <w:pPr>
        <w:pStyle w:val="FootnoteText"/>
        <w:rPr>
          <w:sz w:val="16"/>
          <w:szCs w:val="16"/>
        </w:rPr>
      </w:pPr>
      <w:r w:rsidRPr="004F1130">
        <w:rPr>
          <w:rStyle w:val="FootnoteReference"/>
        </w:rPr>
        <w:footnoteRef/>
      </w:r>
      <w:r w:rsidRPr="004F1130">
        <w:t xml:space="preserve"> </w:t>
      </w:r>
      <w:r>
        <w:t>P</w:t>
      </w:r>
      <w:r w:rsidRPr="008A5F0F">
        <w:t>aragraph (1) of subdivision (c) of Section 65852.21.</w:t>
      </w:r>
      <w:r>
        <w:rPr>
          <w:rFonts w:ascii="Verdana" w:hAnsi="Verdana"/>
          <w:color w:val="333333"/>
          <w:sz w:val="22"/>
          <w:szCs w:val="22"/>
          <w:shd w:val="clear" w:color="auto" w:fill="FFFFFF"/>
        </w:rPr>
        <w:t xml:space="preserve"> </w:t>
      </w:r>
      <w:r w:rsidRPr="004F1130">
        <w:t>Agencies may reduce parking standards if desired.</w:t>
      </w:r>
    </w:p>
  </w:footnote>
  <w:footnote w:id="18">
    <w:p w14:paraId="2CA1B2CD" w14:textId="158A9075" w:rsidR="00566600" w:rsidRPr="004F1130" w:rsidRDefault="005F2DEA" w:rsidP="009009C2">
      <w:pPr>
        <w:pStyle w:val="FootnoteText"/>
      </w:pPr>
      <w:r w:rsidRPr="004F1130">
        <w:rPr>
          <w:rStyle w:val="FootnoteReference"/>
        </w:rPr>
        <w:footnoteRef/>
      </w:r>
      <w:r w:rsidRPr="004F1130">
        <w:t xml:space="preserve"> </w:t>
      </w:r>
      <w:r w:rsidRPr="00EE05C9">
        <w:rPr>
          <w:highlight w:val="yellow"/>
        </w:rPr>
        <w:t>These FARs are minimums. Local agency may provide greater FARs if desired.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2F4F"/>
    <w:multiLevelType w:val="hybridMultilevel"/>
    <w:tmpl w:val="2C90E6B8"/>
    <w:lvl w:ilvl="0" w:tplc="79E832F4">
      <w:start w:val="1"/>
      <w:numFmt w:val="bullet"/>
      <w:lvlText w:val=""/>
      <w:lvlJc w:val="left"/>
      <w:pPr>
        <w:ind w:left="720" w:hanging="360"/>
      </w:pPr>
      <w:rPr>
        <w:rFonts w:ascii="Symbol" w:hAnsi="Symbol" w:hint="default"/>
      </w:rPr>
    </w:lvl>
    <w:lvl w:ilvl="1" w:tplc="257ECF46" w:tentative="1">
      <w:start w:val="1"/>
      <w:numFmt w:val="bullet"/>
      <w:lvlText w:val="o"/>
      <w:lvlJc w:val="left"/>
      <w:pPr>
        <w:ind w:left="1440" w:hanging="360"/>
      </w:pPr>
      <w:rPr>
        <w:rFonts w:ascii="Courier New" w:hAnsi="Courier New" w:cs="Courier New" w:hint="default"/>
      </w:rPr>
    </w:lvl>
    <w:lvl w:ilvl="2" w:tplc="286ACBB8" w:tentative="1">
      <w:start w:val="1"/>
      <w:numFmt w:val="bullet"/>
      <w:lvlText w:val=""/>
      <w:lvlJc w:val="left"/>
      <w:pPr>
        <w:ind w:left="2160" w:hanging="360"/>
      </w:pPr>
      <w:rPr>
        <w:rFonts w:ascii="Wingdings" w:hAnsi="Wingdings" w:hint="default"/>
      </w:rPr>
    </w:lvl>
    <w:lvl w:ilvl="3" w:tplc="C73260E8" w:tentative="1">
      <w:start w:val="1"/>
      <w:numFmt w:val="bullet"/>
      <w:lvlText w:val=""/>
      <w:lvlJc w:val="left"/>
      <w:pPr>
        <w:ind w:left="2880" w:hanging="360"/>
      </w:pPr>
      <w:rPr>
        <w:rFonts w:ascii="Symbol" w:hAnsi="Symbol" w:hint="default"/>
      </w:rPr>
    </w:lvl>
    <w:lvl w:ilvl="4" w:tplc="27BCA136" w:tentative="1">
      <w:start w:val="1"/>
      <w:numFmt w:val="bullet"/>
      <w:lvlText w:val="o"/>
      <w:lvlJc w:val="left"/>
      <w:pPr>
        <w:ind w:left="3600" w:hanging="360"/>
      </w:pPr>
      <w:rPr>
        <w:rFonts w:ascii="Courier New" w:hAnsi="Courier New" w:cs="Courier New" w:hint="default"/>
      </w:rPr>
    </w:lvl>
    <w:lvl w:ilvl="5" w:tplc="1E26E014" w:tentative="1">
      <w:start w:val="1"/>
      <w:numFmt w:val="bullet"/>
      <w:lvlText w:val=""/>
      <w:lvlJc w:val="left"/>
      <w:pPr>
        <w:ind w:left="4320" w:hanging="360"/>
      </w:pPr>
      <w:rPr>
        <w:rFonts w:ascii="Wingdings" w:hAnsi="Wingdings" w:hint="default"/>
      </w:rPr>
    </w:lvl>
    <w:lvl w:ilvl="6" w:tplc="E5EAEC00" w:tentative="1">
      <w:start w:val="1"/>
      <w:numFmt w:val="bullet"/>
      <w:lvlText w:val=""/>
      <w:lvlJc w:val="left"/>
      <w:pPr>
        <w:ind w:left="5040" w:hanging="360"/>
      </w:pPr>
      <w:rPr>
        <w:rFonts w:ascii="Symbol" w:hAnsi="Symbol" w:hint="default"/>
      </w:rPr>
    </w:lvl>
    <w:lvl w:ilvl="7" w:tplc="64BE32AA" w:tentative="1">
      <w:start w:val="1"/>
      <w:numFmt w:val="bullet"/>
      <w:lvlText w:val="o"/>
      <w:lvlJc w:val="left"/>
      <w:pPr>
        <w:ind w:left="5760" w:hanging="360"/>
      </w:pPr>
      <w:rPr>
        <w:rFonts w:ascii="Courier New" w:hAnsi="Courier New" w:cs="Courier New" w:hint="default"/>
      </w:rPr>
    </w:lvl>
    <w:lvl w:ilvl="8" w:tplc="16588FDA" w:tentative="1">
      <w:start w:val="1"/>
      <w:numFmt w:val="bullet"/>
      <w:lvlText w:val=""/>
      <w:lvlJc w:val="left"/>
      <w:pPr>
        <w:ind w:left="6480" w:hanging="360"/>
      </w:pPr>
      <w:rPr>
        <w:rFonts w:ascii="Wingdings" w:hAnsi="Wingdings" w:hint="default"/>
      </w:rPr>
    </w:lvl>
  </w:abstractNum>
  <w:abstractNum w:abstractNumId="1" w15:restartNumberingAfterBreak="0">
    <w:nsid w:val="19B74337"/>
    <w:multiLevelType w:val="hybridMultilevel"/>
    <w:tmpl w:val="C7408C2E"/>
    <w:lvl w:ilvl="0" w:tplc="79345ABE">
      <w:start w:val="1"/>
      <w:numFmt w:val="bullet"/>
      <w:lvlText w:val=""/>
      <w:lvlJc w:val="left"/>
      <w:pPr>
        <w:ind w:left="720" w:hanging="360"/>
      </w:pPr>
      <w:rPr>
        <w:rFonts w:ascii="Symbol" w:hAnsi="Symbol" w:hint="default"/>
      </w:rPr>
    </w:lvl>
    <w:lvl w:ilvl="1" w:tplc="8F86A7E8" w:tentative="1">
      <w:start w:val="1"/>
      <w:numFmt w:val="bullet"/>
      <w:lvlText w:val="o"/>
      <w:lvlJc w:val="left"/>
      <w:pPr>
        <w:ind w:left="1440" w:hanging="360"/>
      </w:pPr>
      <w:rPr>
        <w:rFonts w:ascii="Courier New" w:hAnsi="Courier New" w:cs="Courier New" w:hint="default"/>
      </w:rPr>
    </w:lvl>
    <w:lvl w:ilvl="2" w:tplc="11E25482" w:tentative="1">
      <w:start w:val="1"/>
      <w:numFmt w:val="bullet"/>
      <w:lvlText w:val=""/>
      <w:lvlJc w:val="left"/>
      <w:pPr>
        <w:ind w:left="2160" w:hanging="360"/>
      </w:pPr>
      <w:rPr>
        <w:rFonts w:ascii="Wingdings" w:hAnsi="Wingdings" w:hint="default"/>
      </w:rPr>
    </w:lvl>
    <w:lvl w:ilvl="3" w:tplc="8FE4BEA6" w:tentative="1">
      <w:start w:val="1"/>
      <w:numFmt w:val="bullet"/>
      <w:lvlText w:val=""/>
      <w:lvlJc w:val="left"/>
      <w:pPr>
        <w:ind w:left="2880" w:hanging="360"/>
      </w:pPr>
      <w:rPr>
        <w:rFonts w:ascii="Symbol" w:hAnsi="Symbol" w:hint="default"/>
      </w:rPr>
    </w:lvl>
    <w:lvl w:ilvl="4" w:tplc="5D920A68" w:tentative="1">
      <w:start w:val="1"/>
      <w:numFmt w:val="bullet"/>
      <w:lvlText w:val="o"/>
      <w:lvlJc w:val="left"/>
      <w:pPr>
        <w:ind w:left="3600" w:hanging="360"/>
      </w:pPr>
      <w:rPr>
        <w:rFonts w:ascii="Courier New" w:hAnsi="Courier New" w:cs="Courier New" w:hint="default"/>
      </w:rPr>
    </w:lvl>
    <w:lvl w:ilvl="5" w:tplc="81D660A0" w:tentative="1">
      <w:start w:val="1"/>
      <w:numFmt w:val="bullet"/>
      <w:lvlText w:val=""/>
      <w:lvlJc w:val="left"/>
      <w:pPr>
        <w:ind w:left="4320" w:hanging="360"/>
      </w:pPr>
      <w:rPr>
        <w:rFonts w:ascii="Wingdings" w:hAnsi="Wingdings" w:hint="default"/>
      </w:rPr>
    </w:lvl>
    <w:lvl w:ilvl="6" w:tplc="592EA21A" w:tentative="1">
      <w:start w:val="1"/>
      <w:numFmt w:val="bullet"/>
      <w:lvlText w:val=""/>
      <w:lvlJc w:val="left"/>
      <w:pPr>
        <w:ind w:left="5040" w:hanging="360"/>
      </w:pPr>
      <w:rPr>
        <w:rFonts w:ascii="Symbol" w:hAnsi="Symbol" w:hint="default"/>
      </w:rPr>
    </w:lvl>
    <w:lvl w:ilvl="7" w:tplc="3006CAD6" w:tentative="1">
      <w:start w:val="1"/>
      <w:numFmt w:val="bullet"/>
      <w:lvlText w:val="o"/>
      <w:lvlJc w:val="left"/>
      <w:pPr>
        <w:ind w:left="5760" w:hanging="360"/>
      </w:pPr>
      <w:rPr>
        <w:rFonts w:ascii="Courier New" w:hAnsi="Courier New" w:cs="Courier New" w:hint="default"/>
      </w:rPr>
    </w:lvl>
    <w:lvl w:ilvl="8" w:tplc="1D5A5FD8" w:tentative="1">
      <w:start w:val="1"/>
      <w:numFmt w:val="bullet"/>
      <w:lvlText w:val=""/>
      <w:lvlJc w:val="left"/>
      <w:pPr>
        <w:ind w:left="6480" w:hanging="360"/>
      </w:pPr>
      <w:rPr>
        <w:rFonts w:ascii="Wingdings" w:hAnsi="Wingdings" w:hint="default"/>
      </w:rPr>
    </w:lvl>
  </w:abstractNum>
  <w:abstractNum w:abstractNumId="2" w15:restartNumberingAfterBreak="0">
    <w:nsid w:val="239D64BD"/>
    <w:multiLevelType w:val="hybridMultilevel"/>
    <w:tmpl w:val="31DE7474"/>
    <w:lvl w:ilvl="0" w:tplc="E4F0486A">
      <w:start w:val="1"/>
      <w:numFmt w:val="upperLetter"/>
      <w:lvlText w:val="(%1)"/>
      <w:lvlJc w:val="left"/>
      <w:pPr>
        <w:ind w:left="720" w:hanging="360"/>
      </w:pPr>
      <w:rPr>
        <w:rFonts w:asciiTheme="minorHAnsi" w:eastAsiaTheme="minorHAnsi" w:hAnsiTheme="minorHAnsi" w:cstheme="minorHAnsi" w:hint="default"/>
        <w:b w:val="0"/>
        <w:bCs w:val="0"/>
      </w:rPr>
    </w:lvl>
    <w:lvl w:ilvl="1" w:tplc="830621BC" w:tentative="1">
      <w:start w:val="1"/>
      <w:numFmt w:val="lowerLetter"/>
      <w:lvlText w:val="%2."/>
      <w:lvlJc w:val="left"/>
      <w:pPr>
        <w:ind w:left="1440" w:hanging="360"/>
      </w:pPr>
    </w:lvl>
    <w:lvl w:ilvl="2" w:tplc="9D928720" w:tentative="1">
      <w:start w:val="1"/>
      <w:numFmt w:val="lowerRoman"/>
      <w:lvlText w:val="%3."/>
      <w:lvlJc w:val="right"/>
      <w:pPr>
        <w:ind w:left="2160" w:hanging="180"/>
      </w:pPr>
    </w:lvl>
    <w:lvl w:ilvl="3" w:tplc="4276F892" w:tentative="1">
      <w:start w:val="1"/>
      <w:numFmt w:val="decimal"/>
      <w:lvlText w:val="%4."/>
      <w:lvlJc w:val="left"/>
      <w:pPr>
        <w:ind w:left="2880" w:hanging="360"/>
      </w:pPr>
    </w:lvl>
    <w:lvl w:ilvl="4" w:tplc="90440A86" w:tentative="1">
      <w:start w:val="1"/>
      <w:numFmt w:val="lowerLetter"/>
      <w:lvlText w:val="%5."/>
      <w:lvlJc w:val="left"/>
      <w:pPr>
        <w:ind w:left="3600" w:hanging="360"/>
      </w:pPr>
    </w:lvl>
    <w:lvl w:ilvl="5" w:tplc="158026AA" w:tentative="1">
      <w:start w:val="1"/>
      <w:numFmt w:val="lowerRoman"/>
      <w:lvlText w:val="%6."/>
      <w:lvlJc w:val="right"/>
      <w:pPr>
        <w:ind w:left="4320" w:hanging="180"/>
      </w:pPr>
    </w:lvl>
    <w:lvl w:ilvl="6" w:tplc="D2BC22A4" w:tentative="1">
      <w:start w:val="1"/>
      <w:numFmt w:val="decimal"/>
      <w:lvlText w:val="%7."/>
      <w:lvlJc w:val="left"/>
      <w:pPr>
        <w:ind w:left="5040" w:hanging="360"/>
      </w:pPr>
    </w:lvl>
    <w:lvl w:ilvl="7" w:tplc="52D88D92" w:tentative="1">
      <w:start w:val="1"/>
      <w:numFmt w:val="lowerLetter"/>
      <w:lvlText w:val="%8."/>
      <w:lvlJc w:val="left"/>
      <w:pPr>
        <w:ind w:left="5760" w:hanging="360"/>
      </w:pPr>
    </w:lvl>
    <w:lvl w:ilvl="8" w:tplc="B774828C" w:tentative="1">
      <w:start w:val="1"/>
      <w:numFmt w:val="lowerRoman"/>
      <w:lvlText w:val="%9."/>
      <w:lvlJc w:val="right"/>
      <w:pPr>
        <w:ind w:left="6480" w:hanging="180"/>
      </w:pPr>
    </w:lvl>
  </w:abstractNum>
  <w:abstractNum w:abstractNumId="3" w15:restartNumberingAfterBreak="0">
    <w:nsid w:val="30CD6630"/>
    <w:multiLevelType w:val="multilevel"/>
    <w:tmpl w:val="E54E90C2"/>
    <w:styleLink w:val="CurrentList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3E6ECC"/>
    <w:multiLevelType w:val="hybridMultilevel"/>
    <w:tmpl w:val="A9D27EFA"/>
    <w:lvl w:ilvl="0" w:tplc="147E9EAA">
      <w:start w:val="1"/>
      <w:numFmt w:val="decimal"/>
      <w:lvlText w:val="%1."/>
      <w:lvlJc w:val="left"/>
      <w:pPr>
        <w:ind w:left="720" w:hanging="360"/>
      </w:pPr>
      <w:rPr>
        <w:b/>
        <w:bCs/>
      </w:rPr>
    </w:lvl>
    <w:lvl w:ilvl="1" w:tplc="72686598" w:tentative="1">
      <w:start w:val="1"/>
      <w:numFmt w:val="lowerLetter"/>
      <w:lvlText w:val="%2."/>
      <w:lvlJc w:val="left"/>
      <w:pPr>
        <w:ind w:left="1440" w:hanging="360"/>
      </w:pPr>
    </w:lvl>
    <w:lvl w:ilvl="2" w:tplc="06787AA8" w:tentative="1">
      <w:start w:val="1"/>
      <w:numFmt w:val="lowerRoman"/>
      <w:lvlText w:val="%3."/>
      <w:lvlJc w:val="right"/>
      <w:pPr>
        <w:ind w:left="2160" w:hanging="180"/>
      </w:pPr>
    </w:lvl>
    <w:lvl w:ilvl="3" w:tplc="099CFC94" w:tentative="1">
      <w:start w:val="1"/>
      <w:numFmt w:val="decimal"/>
      <w:lvlText w:val="%4."/>
      <w:lvlJc w:val="left"/>
      <w:pPr>
        <w:ind w:left="2880" w:hanging="360"/>
      </w:pPr>
    </w:lvl>
    <w:lvl w:ilvl="4" w:tplc="3EAE1340" w:tentative="1">
      <w:start w:val="1"/>
      <w:numFmt w:val="lowerLetter"/>
      <w:lvlText w:val="%5."/>
      <w:lvlJc w:val="left"/>
      <w:pPr>
        <w:ind w:left="3600" w:hanging="360"/>
      </w:pPr>
    </w:lvl>
    <w:lvl w:ilvl="5" w:tplc="D0AE5D48" w:tentative="1">
      <w:start w:val="1"/>
      <w:numFmt w:val="lowerRoman"/>
      <w:lvlText w:val="%6."/>
      <w:lvlJc w:val="right"/>
      <w:pPr>
        <w:ind w:left="4320" w:hanging="180"/>
      </w:pPr>
    </w:lvl>
    <w:lvl w:ilvl="6" w:tplc="0768798C" w:tentative="1">
      <w:start w:val="1"/>
      <w:numFmt w:val="decimal"/>
      <w:lvlText w:val="%7."/>
      <w:lvlJc w:val="left"/>
      <w:pPr>
        <w:ind w:left="5040" w:hanging="360"/>
      </w:pPr>
    </w:lvl>
    <w:lvl w:ilvl="7" w:tplc="6C2C6D36" w:tentative="1">
      <w:start w:val="1"/>
      <w:numFmt w:val="lowerLetter"/>
      <w:lvlText w:val="%8."/>
      <w:lvlJc w:val="left"/>
      <w:pPr>
        <w:ind w:left="5760" w:hanging="360"/>
      </w:pPr>
    </w:lvl>
    <w:lvl w:ilvl="8" w:tplc="32845FFE" w:tentative="1">
      <w:start w:val="1"/>
      <w:numFmt w:val="lowerRoman"/>
      <w:lvlText w:val="%9."/>
      <w:lvlJc w:val="right"/>
      <w:pPr>
        <w:ind w:left="6480" w:hanging="180"/>
      </w:pPr>
    </w:lvl>
  </w:abstractNum>
  <w:abstractNum w:abstractNumId="5" w15:restartNumberingAfterBreak="0">
    <w:nsid w:val="424C1B70"/>
    <w:multiLevelType w:val="hybridMultilevel"/>
    <w:tmpl w:val="D6AE7F1C"/>
    <w:lvl w:ilvl="0" w:tplc="B88ED6BE">
      <w:start w:val="1"/>
      <w:numFmt w:val="bullet"/>
      <w:pStyle w:val="ListParagraph"/>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6" w15:restartNumberingAfterBreak="0">
    <w:nsid w:val="43956318"/>
    <w:multiLevelType w:val="multilevel"/>
    <w:tmpl w:val="71F8BF22"/>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502831"/>
    <w:multiLevelType w:val="multilevel"/>
    <w:tmpl w:val="1BBC4E1E"/>
    <w:styleLink w:val="CurrentList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8B1CF2"/>
    <w:multiLevelType w:val="hybridMultilevel"/>
    <w:tmpl w:val="9E627FD0"/>
    <w:lvl w:ilvl="0" w:tplc="EB944BB8">
      <w:start w:val="1"/>
      <w:numFmt w:val="bullet"/>
      <w:pStyle w:val="Bulletstext"/>
      <w:lvlText w:val=""/>
      <w:lvlJc w:val="left"/>
      <w:pPr>
        <w:ind w:left="720" w:hanging="360"/>
      </w:pPr>
      <w:rPr>
        <w:rFonts w:ascii="Symbol" w:hAnsi="Symbol" w:hint="default"/>
        <w:sz w:val="32"/>
      </w:rPr>
    </w:lvl>
    <w:lvl w:ilvl="1" w:tplc="14183566" w:tentative="1">
      <w:start w:val="1"/>
      <w:numFmt w:val="bullet"/>
      <w:lvlText w:val="o"/>
      <w:lvlJc w:val="left"/>
      <w:pPr>
        <w:ind w:left="1440" w:hanging="360"/>
      </w:pPr>
      <w:rPr>
        <w:rFonts w:ascii="Courier New" w:hAnsi="Courier New" w:cs="Courier New" w:hint="default"/>
      </w:rPr>
    </w:lvl>
    <w:lvl w:ilvl="2" w:tplc="F29E3E74" w:tentative="1">
      <w:start w:val="1"/>
      <w:numFmt w:val="bullet"/>
      <w:lvlText w:val=""/>
      <w:lvlJc w:val="left"/>
      <w:pPr>
        <w:ind w:left="2160" w:hanging="360"/>
      </w:pPr>
      <w:rPr>
        <w:rFonts w:ascii="Wingdings" w:hAnsi="Wingdings" w:hint="default"/>
      </w:rPr>
    </w:lvl>
    <w:lvl w:ilvl="3" w:tplc="5740ACA8" w:tentative="1">
      <w:start w:val="1"/>
      <w:numFmt w:val="bullet"/>
      <w:lvlText w:val=""/>
      <w:lvlJc w:val="left"/>
      <w:pPr>
        <w:ind w:left="2880" w:hanging="360"/>
      </w:pPr>
      <w:rPr>
        <w:rFonts w:ascii="Symbol" w:hAnsi="Symbol" w:hint="default"/>
      </w:rPr>
    </w:lvl>
    <w:lvl w:ilvl="4" w:tplc="2AF687B6" w:tentative="1">
      <w:start w:val="1"/>
      <w:numFmt w:val="bullet"/>
      <w:lvlText w:val="o"/>
      <w:lvlJc w:val="left"/>
      <w:pPr>
        <w:ind w:left="3600" w:hanging="360"/>
      </w:pPr>
      <w:rPr>
        <w:rFonts w:ascii="Courier New" w:hAnsi="Courier New" w:cs="Courier New" w:hint="default"/>
      </w:rPr>
    </w:lvl>
    <w:lvl w:ilvl="5" w:tplc="E4F65AC8" w:tentative="1">
      <w:start w:val="1"/>
      <w:numFmt w:val="bullet"/>
      <w:lvlText w:val=""/>
      <w:lvlJc w:val="left"/>
      <w:pPr>
        <w:ind w:left="4320" w:hanging="360"/>
      </w:pPr>
      <w:rPr>
        <w:rFonts w:ascii="Wingdings" w:hAnsi="Wingdings" w:hint="default"/>
      </w:rPr>
    </w:lvl>
    <w:lvl w:ilvl="6" w:tplc="1E364062" w:tentative="1">
      <w:start w:val="1"/>
      <w:numFmt w:val="bullet"/>
      <w:lvlText w:val=""/>
      <w:lvlJc w:val="left"/>
      <w:pPr>
        <w:ind w:left="5040" w:hanging="360"/>
      </w:pPr>
      <w:rPr>
        <w:rFonts w:ascii="Symbol" w:hAnsi="Symbol" w:hint="default"/>
      </w:rPr>
    </w:lvl>
    <w:lvl w:ilvl="7" w:tplc="7DD4AA76" w:tentative="1">
      <w:start w:val="1"/>
      <w:numFmt w:val="bullet"/>
      <w:lvlText w:val="o"/>
      <w:lvlJc w:val="left"/>
      <w:pPr>
        <w:ind w:left="5760" w:hanging="360"/>
      </w:pPr>
      <w:rPr>
        <w:rFonts w:ascii="Courier New" w:hAnsi="Courier New" w:cs="Courier New" w:hint="default"/>
      </w:rPr>
    </w:lvl>
    <w:lvl w:ilvl="8" w:tplc="F7C28E52" w:tentative="1">
      <w:start w:val="1"/>
      <w:numFmt w:val="bullet"/>
      <w:lvlText w:val=""/>
      <w:lvlJc w:val="left"/>
      <w:pPr>
        <w:ind w:left="6480" w:hanging="360"/>
      </w:pPr>
      <w:rPr>
        <w:rFonts w:ascii="Wingdings" w:hAnsi="Wingdings" w:hint="default"/>
      </w:rPr>
    </w:lvl>
  </w:abstractNum>
  <w:abstractNum w:abstractNumId="9" w15:restartNumberingAfterBreak="0">
    <w:nsid w:val="64CC42ED"/>
    <w:multiLevelType w:val="hybridMultilevel"/>
    <w:tmpl w:val="3946AB4A"/>
    <w:lvl w:ilvl="0" w:tplc="FF30883A">
      <w:start w:val="1"/>
      <w:numFmt w:val="upperLetter"/>
      <w:lvlText w:val="(%1)"/>
      <w:lvlJc w:val="left"/>
      <w:pPr>
        <w:ind w:left="720" w:hanging="360"/>
      </w:pPr>
      <w:rPr>
        <w:rFonts w:hint="default"/>
      </w:rPr>
    </w:lvl>
    <w:lvl w:ilvl="1" w:tplc="BFB4DDF8" w:tentative="1">
      <w:start w:val="1"/>
      <w:numFmt w:val="lowerLetter"/>
      <w:lvlText w:val="%2."/>
      <w:lvlJc w:val="left"/>
      <w:pPr>
        <w:ind w:left="1440" w:hanging="360"/>
      </w:pPr>
    </w:lvl>
    <w:lvl w:ilvl="2" w:tplc="F06A98C6" w:tentative="1">
      <w:start w:val="1"/>
      <w:numFmt w:val="lowerRoman"/>
      <w:lvlText w:val="%3."/>
      <w:lvlJc w:val="right"/>
      <w:pPr>
        <w:ind w:left="2160" w:hanging="180"/>
      </w:pPr>
    </w:lvl>
    <w:lvl w:ilvl="3" w:tplc="4ADC3C44" w:tentative="1">
      <w:start w:val="1"/>
      <w:numFmt w:val="decimal"/>
      <w:lvlText w:val="%4."/>
      <w:lvlJc w:val="left"/>
      <w:pPr>
        <w:ind w:left="2880" w:hanging="360"/>
      </w:pPr>
    </w:lvl>
    <w:lvl w:ilvl="4" w:tplc="8AC8996C" w:tentative="1">
      <w:start w:val="1"/>
      <w:numFmt w:val="lowerLetter"/>
      <w:lvlText w:val="%5."/>
      <w:lvlJc w:val="left"/>
      <w:pPr>
        <w:ind w:left="3600" w:hanging="360"/>
      </w:pPr>
    </w:lvl>
    <w:lvl w:ilvl="5" w:tplc="5DAC2712" w:tentative="1">
      <w:start w:val="1"/>
      <w:numFmt w:val="lowerRoman"/>
      <w:lvlText w:val="%6."/>
      <w:lvlJc w:val="right"/>
      <w:pPr>
        <w:ind w:left="4320" w:hanging="180"/>
      </w:pPr>
    </w:lvl>
    <w:lvl w:ilvl="6" w:tplc="57DE7460" w:tentative="1">
      <w:start w:val="1"/>
      <w:numFmt w:val="decimal"/>
      <w:lvlText w:val="%7."/>
      <w:lvlJc w:val="left"/>
      <w:pPr>
        <w:ind w:left="5040" w:hanging="360"/>
      </w:pPr>
    </w:lvl>
    <w:lvl w:ilvl="7" w:tplc="EC5048BE" w:tentative="1">
      <w:start w:val="1"/>
      <w:numFmt w:val="lowerLetter"/>
      <w:lvlText w:val="%8."/>
      <w:lvlJc w:val="left"/>
      <w:pPr>
        <w:ind w:left="5760" w:hanging="360"/>
      </w:pPr>
    </w:lvl>
    <w:lvl w:ilvl="8" w:tplc="13E476A8" w:tentative="1">
      <w:start w:val="1"/>
      <w:numFmt w:val="lowerRoman"/>
      <w:lvlText w:val="%9."/>
      <w:lvlJc w:val="right"/>
      <w:pPr>
        <w:ind w:left="6480" w:hanging="180"/>
      </w:pPr>
    </w:lvl>
  </w:abstractNum>
  <w:abstractNum w:abstractNumId="10" w15:restartNumberingAfterBreak="0">
    <w:nsid w:val="6FAE2342"/>
    <w:multiLevelType w:val="hybridMultilevel"/>
    <w:tmpl w:val="EABAAAA2"/>
    <w:lvl w:ilvl="0" w:tplc="B058ABD4">
      <w:numFmt w:val="bullet"/>
      <w:lvlText w:val="-"/>
      <w:lvlJc w:val="left"/>
      <w:pPr>
        <w:ind w:left="720" w:hanging="360"/>
      </w:pPr>
      <w:rPr>
        <w:rFonts w:ascii="Times New Roman" w:eastAsiaTheme="minorHAnsi" w:hAnsi="Times New Roman" w:cs="Times New Roman" w:hint="default"/>
      </w:rPr>
    </w:lvl>
    <w:lvl w:ilvl="1" w:tplc="85385150" w:tentative="1">
      <w:start w:val="1"/>
      <w:numFmt w:val="bullet"/>
      <w:lvlText w:val="o"/>
      <w:lvlJc w:val="left"/>
      <w:pPr>
        <w:ind w:left="1440" w:hanging="360"/>
      </w:pPr>
      <w:rPr>
        <w:rFonts w:ascii="Courier New" w:hAnsi="Courier New" w:cs="Courier New" w:hint="default"/>
      </w:rPr>
    </w:lvl>
    <w:lvl w:ilvl="2" w:tplc="F87EA2C8" w:tentative="1">
      <w:start w:val="1"/>
      <w:numFmt w:val="bullet"/>
      <w:lvlText w:val=""/>
      <w:lvlJc w:val="left"/>
      <w:pPr>
        <w:ind w:left="2160" w:hanging="360"/>
      </w:pPr>
      <w:rPr>
        <w:rFonts w:ascii="Wingdings" w:hAnsi="Wingdings" w:hint="default"/>
      </w:rPr>
    </w:lvl>
    <w:lvl w:ilvl="3" w:tplc="62E422E8" w:tentative="1">
      <w:start w:val="1"/>
      <w:numFmt w:val="bullet"/>
      <w:lvlText w:val=""/>
      <w:lvlJc w:val="left"/>
      <w:pPr>
        <w:ind w:left="2880" w:hanging="360"/>
      </w:pPr>
      <w:rPr>
        <w:rFonts w:ascii="Symbol" w:hAnsi="Symbol" w:hint="default"/>
      </w:rPr>
    </w:lvl>
    <w:lvl w:ilvl="4" w:tplc="99DAB05E" w:tentative="1">
      <w:start w:val="1"/>
      <w:numFmt w:val="bullet"/>
      <w:lvlText w:val="o"/>
      <w:lvlJc w:val="left"/>
      <w:pPr>
        <w:ind w:left="3600" w:hanging="360"/>
      </w:pPr>
      <w:rPr>
        <w:rFonts w:ascii="Courier New" w:hAnsi="Courier New" w:cs="Courier New" w:hint="default"/>
      </w:rPr>
    </w:lvl>
    <w:lvl w:ilvl="5" w:tplc="AFCA603A" w:tentative="1">
      <w:start w:val="1"/>
      <w:numFmt w:val="bullet"/>
      <w:lvlText w:val=""/>
      <w:lvlJc w:val="left"/>
      <w:pPr>
        <w:ind w:left="4320" w:hanging="360"/>
      </w:pPr>
      <w:rPr>
        <w:rFonts w:ascii="Wingdings" w:hAnsi="Wingdings" w:hint="default"/>
      </w:rPr>
    </w:lvl>
    <w:lvl w:ilvl="6" w:tplc="EFC4ED72" w:tentative="1">
      <w:start w:val="1"/>
      <w:numFmt w:val="bullet"/>
      <w:lvlText w:val=""/>
      <w:lvlJc w:val="left"/>
      <w:pPr>
        <w:ind w:left="5040" w:hanging="360"/>
      </w:pPr>
      <w:rPr>
        <w:rFonts w:ascii="Symbol" w:hAnsi="Symbol" w:hint="default"/>
      </w:rPr>
    </w:lvl>
    <w:lvl w:ilvl="7" w:tplc="DEF4D21A" w:tentative="1">
      <w:start w:val="1"/>
      <w:numFmt w:val="bullet"/>
      <w:lvlText w:val="o"/>
      <w:lvlJc w:val="left"/>
      <w:pPr>
        <w:ind w:left="5760" w:hanging="360"/>
      </w:pPr>
      <w:rPr>
        <w:rFonts w:ascii="Courier New" w:hAnsi="Courier New" w:cs="Courier New" w:hint="default"/>
      </w:rPr>
    </w:lvl>
    <w:lvl w:ilvl="8" w:tplc="DB40C7E8" w:tentative="1">
      <w:start w:val="1"/>
      <w:numFmt w:val="bullet"/>
      <w:lvlText w:val=""/>
      <w:lvlJc w:val="left"/>
      <w:pPr>
        <w:ind w:left="6480" w:hanging="360"/>
      </w:pPr>
      <w:rPr>
        <w:rFonts w:ascii="Wingdings" w:hAnsi="Wingdings" w:hint="default"/>
      </w:rPr>
    </w:lvl>
  </w:abstractNum>
  <w:abstractNum w:abstractNumId="11" w15:restartNumberingAfterBreak="0">
    <w:nsid w:val="76783C1F"/>
    <w:multiLevelType w:val="hybridMultilevel"/>
    <w:tmpl w:val="4A1A4954"/>
    <w:lvl w:ilvl="0" w:tplc="310C18CC">
      <w:start w:val="1"/>
      <w:numFmt w:val="bullet"/>
      <w:lvlText w:val=""/>
      <w:lvlJc w:val="left"/>
      <w:pPr>
        <w:ind w:left="827" w:hanging="360"/>
      </w:pPr>
      <w:rPr>
        <w:rFonts w:ascii="Symbol" w:hAnsi="Symbol" w:hint="default"/>
      </w:rPr>
    </w:lvl>
    <w:lvl w:ilvl="1" w:tplc="9C5E5344" w:tentative="1">
      <w:start w:val="1"/>
      <w:numFmt w:val="bullet"/>
      <w:lvlText w:val="o"/>
      <w:lvlJc w:val="left"/>
      <w:pPr>
        <w:ind w:left="1547" w:hanging="360"/>
      </w:pPr>
      <w:rPr>
        <w:rFonts w:ascii="Courier New" w:hAnsi="Courier New" w:cs="Courier New" w:hint="default"/>
      </w:rPr>
    </w:lvl>
    <w:lvl w:ilvl="2" w:tplc="A6FC9A30" w:tentative="1">
      <w:start w:val="1"/>
      <w:numFmt w:val="bullet"/>
      <w:lvlText w:val=""/>
      <w:lvlJc w:val="left"/>
      <w:pPr>
        <w:ind w:left="2267" w:hanging="360"/>
      </w:pPr>
      <w:rPr>
        <w:rFonts w:ascii="Wingdings" w:hAnsi="Wingdings" w:hint="default"/>
      </w:rPr>
    </w:lvl>
    <w:lvl w:ilvl="3" w:tplc="9C842414" w:tentative="1">
      <w:start w:val="1"/>
      <w:numFmt w:val="bullet"/>
      <w:lvlText w:val=""/>
      <w:lvlJc w:val="left"/>
      <w:pPr>
        <w:ind w:left="2987" w:hanging="360"/>
      </w:pPr>
      <w:rPr>
        <w:rFonts w:ascii="Symbol" w:hAnsi="Symbol" w:hint="default"/>
      </w:rPr>
    </w:lvl>
    <w:lvl w:ilvl="4" w:tplc="7C006A9A" w:tentative="1">
      <w:start w:val="1"/>
      <w:numFmt w:val="bullet"/>
      <w:lvlText w:val="o"/>
      <w:lvlJc w:val="left"/>
      <w:pPr>
        <w:ind w:left="3707" w:hanging="360"/>
      </w:pPr>
      <w:rPr>
        <w:rFonts w:ascii="Courier New" w:hAnsi="Courier New" w:cs="Courier New" w:hint="default"/>
      </w:rPr>
    </w:lvl>
    <w:lvl w:ilvl="5" w:tplc="1AC4268C" w:tentative="1">
      <w:start w:val="1"/>
      <w:numFmt w:val="bullet"/>
      <w:lvlText w:val=""/>
      <w:lvlJc w:val="left"/>
      <w:pPr>
        <w:ind w:left="4427" w:hanging="360"/>
      </w:pPr>
      <w:rPr>
        <w:rFonts w:ascii="Wingdings" w:hAnsi="Wingdings" w:hint="default"/>
      </w:rPr>
    </w:lvl>
    <w:lvl w:ilvl="6" w:tplc="4E126164" w:tentative="1">
      <w:start w:val="1"/>
      <w:numFmt w:val="bullet"/>
      <w:lvlText w:val=""/>
      <w:lvlJc w:val="left"/>
      <w:pPr>
        <w:ind w:left="5147" w:hanging="360"/>
      </w:pPr>
      <w:rPr>
        <w:rFonts w:ascii="Symbol" w:hAnsi="Symbol" w:hint="default"/>
      </w:rPr>
    </w:lvl>
    <w:lvl w:ilvl="7" w:tplc="8E4EE166" w:tentative="1">
      <w:start w:val="1"/>
      <w:numFmt w:val="bullet"/>
      <w:lvlText w:val="o"/>
      <w:lvlJc w:val="left"/>
      <w:pPr>
        <w:ind w:left="5867" w:hanging="360"/>
      </w:pPr>
      <w:rPr>
        <w:rFonts w:ascii="Courier New" w:hAnsi="Courier New" w:cs="Courier New" w:hint="default"/>
      </w:rPr>
    </w:lvl>
    <w:lvl w:ilvl="8" w:tplc="85A817A0" w:tentative="1">
      <w:start w:val="1"/>
      <w:numFmt w:val="bullet"/>
      <w:lvlText w:val=""/>
      <w:lvlJc w:val="left"/>
      <w:pPr>
        <w:ind w:left="6587" w:hanging="360"/>
      </w:pPr>
      <w:rPr>
        <w:rFonts w:ascii="Wingdings" w:hAnsi="Wingdings" w:hint="default"/>
      </w:rPr>
    </w:lvl>
  </w:abstractNum>
  <w:abstractNum w:abstractNumId="12" w15:restartNumberingAfterBreak="0">
    <w:nsid w:val="79561C24"/>
    <w:multiLevelType w:val="multilevel"/>
    <w:tmpl w:val="88362080"/>
    <w:styleLink w:val="CurrentList4"/>
    <w:lvl w:ilvl="0">
      <w:start w:val="1"/>
      <w:numFmt w:val="decimal"/>
      <w:lvlText w:val="%1."/>
      <w:lvlJc w:val="left"/>
      <w:pPr>
        <w:tabs>
          <w:tab w:val="num" w:pos="720"/>
        </w:tabs>
        <w:ind w:left="0" w:firstLine="720"/>
      </w:pPr>
      <w:rPr>
        <w:rFonts w:ascii="Times New Roman" w:hAnsi="Times New Roman" w:hint="default"/>
        <w:b w:val="0"/>
        <w:i w:val="0"/>
        <w:sz w:val="24"/>
        <w:szCs w:val="24"/>
      </w:rPr>
    </w:lvl>
    <w:lvl w:ilvl="1">
      <w:start w:val="1"/>
      <w:numFmt w:val="lowerLetter"/>
      <w:lvlText w:val="%2."/>
      <w:lvlJc w:val="left"/>
      <w:pPr>
        <w:tabs>
          <w:tab w:val="num" w:pos="1440"/>
        </w:tabs>
        <w:ind w:left="0" w:firstLine="1440"/>
      </w:pPr>
      <w:rPr>
        <w:rFonts w:ascii="Times New Roman" w:hAnsi="Times New Roman" w:hint="default"/>
        <w:b w:val="0"/>
        <w:i w:val="0"/>
        <w:sz w:val="24"/>
        <w:szCs w:val="24"/>
      </w:rPr>
    </w:lvl>
    <w:lvl w:ilvl="2">
      <w:start w:val="1"/>
      <w:numFmt w:val="lowerRoman"/>
      <w:lvlText w:val="%3."/>
      <w:lvlJc w:val="left"/>
      <w:pPr>
        <w:tabs>
          <w:tab w:val="num" w:pos="2160"/>
        </w:tabs>
        <w:ind w:left="0" w:firstLine="2160"/>
      </w:pPr>
      <w:rPr>
        <w:rFonts w:ascii="Times New Roman" w:hAnsi="Times New Roman" w:hint="default"/>
        <w:b w:val="0"/>
        <w:i w:val="0"/>
        <w:sz w:val="24"/>
        <w:szCs w:val="24"/>
      </w:rPr>
    </w:lvl>
    <w:lvl w:ilvl="3">
      <w:start w:val="1"/>
      <w:numFmt w:val="decimal"/>
      <w:lvlText w:val="(%4)"/>
      <w:lvlJc w:val="left"/>
      <w:pPr>
        <w:tabs>
          <w:tab w:val="num" w:pos="2880"/>
        </w:tabs>
        <w:ind w:left="0" w:firstLine="2880"/>
      </w:pPr>
      <w:rPr>
        <w:rFonts w:ascii="Times New Roman" w:hAnsi="Times New Roman" w:hint="default"/>
        <w:b w:val="0"/>
        <w:i w:val="0"/>
        <w:sz w:val="24"/>
        <w:szCs w:val="24"/>
      </w:rPr>
    </w:lvl>
    <w:lvl w:ilvl="4">
      <w:start w:val="1"/>
      <w:numFmt w:val="lowerLetter"/>
      <w:lvlText w:val="(%5)"/>
      <w:lvlJc w:val="left"/>
      <w:pPr>
        <w:tabs>
          <w:tab w:val="num" w:pos="3600"/>
        </w:tabs>
        <w:ind w:left="0" w:firstLine="3600"/>
      </w:pPr>
      <w:rPr>
        <w:rFonts w:ascii="Times New Roman" w:hAnsi="Times New Roman" w:hint="default"/>
        <w:b w:val="0"/>
        <w:i w:val="0"/>
        <w:sz w:val="24"/>
        <w:szCs w:val="24"/>
      </w:rPr>
    </w:lvl>
    <w:lvl w:ilvl="5">
      <w:start w:val="1"/>
      <w:numFmt w:val="lowerRoman"/>
      <w:lvlText w:val="(%6)"/>
      <w:lvlJc w:val="left"/>
      <w:pPr>
        <w:tabs>
          <w:tab w:val="num" w:pos="2520"/>
        </w:tabs>
        <w:ind w:left="0" w:firstLine="4320"/>
      </w:pPr>
      <w:rPr>
        <w:rFonts w:ascii="Times New Roman" w:hAnsi="Times New Roman"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850759">
    <w:abstractNumId w:val="3"/>
  </w:num>
  <w:num w:numId="2" w16cid:durableId="1609849575">
    <w:abstractNumId w:val="6"/>
  </w:num>
  <w:num w:numId="3" w16cid:durableId="496001460">
    <w:abstractNumId w:val="7"/>
  </w:num>
  <w:num w:numId="4" w16cid:durableId="1344432678">
    <w:abstractNumId w:val="12"/>
  </w:num>
  <w:num w:numId="5" w16cid:durableId="450974168">
    <w:abstractNumId w:val="0"/>
  </w:num>
  <w:num w:numId="6" w16cid:durableId="1016884372">
    <w:abstractNumId w:val="4"/>
  </w:num>
  <w:num w:numId="7" w16cid:durableId="2022658898">
    <w:abstractNumId w:val="9"/>
  </w:num>
  <w:num w:numId="8" w16cid:durableId="416634813">
    <w:abstractNumId w:val="2"/>
  </w:num>
  <w:num w:numId="9" w16cid:durableId="1222402453">
    <w:abstractNumId w:val="2"/>
    <w:lvlOverride w:ilvl="0">
      <w:startOverride w:val="1"/>
    </w:lvlOverride>
  </w:num>
  <w:num w:numId="10" w16cid:durableId="1724601966">
    <w:abstractNumId w:val="2"/>
    <w:lvlOverride w:ilvl="0">
      <w:startOverride w:val="1"/>
    </w:lvlOverride>
  </w:num>
  <w:num w:numId="11" w16cid:durableId="530648448">
    <w:abstractNumId w:val="1"/>
  </w:num>
  <w:num w:numId="12" w16cid:durableId="1323578719">
    <w:abstractNumId w:val="2"/>
    <w:lvlOverride w:ilvl="0">
      <w:startOverride w:val="1"/>
    </w:lvlOverride>
  </w:num>
  <w:num w:numId="13" w16cid:durableId="1224605824">
    <w:abstractNumId w:val="8"/>
  </w:num>
  <w:num w:numId="14" w16cid:durableId="1892573520">
    <w:abstractNumId w:val="10"/>
  </w:num>
  <w:num w:numId="15" w16cid:durableId="1056778505">
    <w:abstractNumId w:val="11"/>
  </w:num>
  <w:num w:numId="16" w16cid:durableId="407310308">
    <w:abstractNumId w:val="2"/>
    <w:lvlOverride w:ilvl="0">
      <w:startOverride w:val="1"/>
    </w:lvlOverride>
  </w:num>
  <w:num w:numId="17" w16cid:durableId="96812714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A1"/>
    <w:rsid w:val="00004845"/>
    <w:rsid w:val="0001053D"/>
    <w:rsid w:val="00020253"/>
    <w:rsid w:val="000207A1"/>
    <w:rsid w:val="00021DD8"/>
    <w:rsid w:val="000357CB"/>
    <w:rsid w:val="000365D2"/>
    <w:rsid w:val="00042571"/>
    <w:rsid w:val="00044C0B"/>
    <w:rsid w:val="00044C8A"/>
    <w:rsid w:val="0004516E"/>
    <w:rsid w:val="000510F9"/>
    <w:rsid w:val="000526DF"/>
    <w:rsid w:val="00057A0E"/>
    <w:rsid w:val="00064FC2"/>
    <w:rsid w:val="000658C1"/>
    <w:rsid w:val="000751B2"/>
    <w:rsid w:val="00075DEF"/>
    <w:rsid w:val="000768ED"/>
    <w:rsid w:val="00076BD8"/>
    <w:rsid w:val="00083096"/>
    <w:rsid w:val="00083A1D"/>
    <w:rsid w:val="00083AFC"/>
    <w:rsid w:val="00084889"/>
    <w:rsid w:val="00084BFC"/>
    <w:rsid w:val="0008706E"/>
    <w:rsid w:val="00092688"/>
    <w:rsid w:val="00092CC2"/>
    <w:rsid w:val="00095364"/>
    <w:rsid w:val="00096B21"/>
    <w:rsid w:val="000977AE"/>
    <w:rsid w:val="000A1293"/>
    <w:rsid w:val="000A1772"/>
    <w:rsid w:val="000A73A5"/>
    <w:rsid w:val="000B00EF"/>
    <w:rsid w:val="000B5B13"/>
    <w:rsid w:val="000B5D28"/>
    <w:rsid w:val="000D02BC"/>
    <w:rsid w:val="000D2830"/>
    <w:rsid w:val="000D5C98"/>
    <w:rsid w:val="000D7550"/>
    <w:rsid w:val="000E163D"/>
    <w:rsid w:val="000E3EF8"/>
    <w:rsid w:val="000F3184"/>
    <w:rsid w:val="000F6C07"/>
    <w:rsid w:val="0010489E"/>
    <w:rsid w:val="00112FBD"/>
    <w:rsid w:val="001139D7"/>
    <w:rsid w:val="00114665"/>
    <w:rsid w:val="00116DFC"/>
    <w:rsid w:val="001208EA"/>
    <w:rsid w:val="0012230F"/>
    <w:rsid w:val="00125744"/>
    <w:rsid w:val="00135329"/>
    <w:rsid w:val="0013594B"/>
    <w:rsid w:val="001473EB"/>
    <w:rsid w:val="00156909"/>
    <w:rsid w:val="00171F82"/>
    <w:rsid w:val="00177D40"/>
    <w:rsid w:val="001815E1"/>
    <w:rsid w:val="0019530A"/>
    <w:rsid w:val="00196680"/>
    <w:rsid w:val="00197918"/>
    <w:rsid w:val="001A0955"/>
    <w:rsid w:val="001A32CE"/>
    <w:rsid w:val="001A3316"/>
    <w:rsid w:val="001B1DAC"/>
    <w:rsid w:val="001B63CC"/>
    <w:rsid w:val="001B796C"/>
    <w:rsid w:val="001C399C"/>
    <w:rsid w:val="001C6A0D"/>
    <w:rsid w:val="001D1611"/>
    <w:rsid w:val="001D17F0"/>
    <w:rsid w:val="001D7162"/>
    <w:rsid w:val="001D7DBD"/>
    <w:rsid w:val="001E0056"/>
    <w:rsid w:val="001E00BB"/>
    <w:rsid w:val="001E18B4"/>
    <w:rsid w:val="001F1098"/>
    <w:rsid w:val="001F14C5"/>
    <w:rsid w:val="001F1F0A"/>
    <w:rsid w:val="001F21B8"/>
    <w:rsid w:val="001F3743"/>
    <w:rsid w:val="001F591B"/>
    <w:rsid w:val="001F7031"/>
    <w:rsid w:val="00200CFB"/>
    <w:rsid w:val="00207613"/>
    <w:rsid w:val="0021064C"/>
    <w:rsid w:val="0021190A"/>
    <w:rsid w:val="002126E1"/>
    <w:rsid w:val="0023000E"/>
    <w:rsid w:val="00241164"/>
    <w:rsid w:val="00250238"/>
    <w:rsid w:val="00251677"/>
    <w:rsid w:val="002532F1"/>
    <w:rsid w:val="0025530A"/>
    <w:rsid w:val="00255355"/>
    <w:rsid w:val="00261F49"/>
    <w:rsid w:val="00271CDD"/>
    <w:rsid w:val="00272F73"/>
    <w:rsid w:val="00275519"/>
    <w:rsid w:val="002770AF"/>
    <w:rsid w:val="002827F2"/>
    <w:rsid w:val="00286728"/>
    <w:rsid w:val="00294D08"/>
    <w:rsid w:val="002A3DC7"/>
    <w:rsid w:val="002A6A9B"/>
    <w:rsid w:val="002B19A5"/>
    <w:rsid w:val="002B67FF"/>
    <w:rsid w:val="002C00B0"/>
    <w:rsid w:val="002C12F8"/>
    <w:rsid w:val="002C146D"/>
    <w:rsid w:val="002D634C"/>
    <w:rsid w:val="002E3116"/>
    <w:rsid w:val="002E5571"/>
    <w:rsid w:val="002E7783"/>
    <w:rsid w:val="002F1388"/>
    <w:rsid w:val="002F3216"/>
    <w:rsid w:val="002F5324"/>
    <w:rsid w:val="00300405"/>
    <w:rsid w:val="00300E3E"/>
    <w:rsid w:val="00306504"/>
    <w:rsid w:val="0031073E"/>
    <w:rsid w:val="00314527"/>
    <w:rsid w:val="00316406"/>
    <w:rsid w:val="003228C3"/>
    <w:rsid w:val="00325BA8"/>
    <w:rsid w:val="003337A6"/>
    <w:rsid w:val="00334D7C"/>
    <w:rsid w:val="00341181"/>
    <w:rsid w:val="003444D7"/>
    <w:rsid w:val="0035140C"/>
    <w:rsid w:val="00351454"/>
    <w:rsid w:val="00353CE2"/>
    <w:rsid w:val="00360D59"/>
    <w:rsid w:val="00371FF2"/>
    <w:rsid w:val="00374DCD"/>
    <w:rsid w:val="003771DC"/>
    <w:rsid w:val="00377A1B"/>
    <w:rsid w:val="00377D10"/>
    <w:rsid w:val="00377EB1"/>
    <w:rsid w:val="00384EF6"/>
    <w:rsid w:val="00387E60"/>
    <w:rsid w:val="00397778"/>
    <w:rsid w:val="003A1187"/>
    <w:rsid w:val="003A3C2B"/>
    <w:rsid w:val="003B0363"/>
    <w:rsid w:val="003B10FD"/>
    <w:rsid w:val="003C0D35"/>
    <w:rsid w:val="003C163B"/>
    <w:rsid w:val="003C31E7"/>
    <w:rsid w:val="003C4F97"/>
    <w:rsid w:val="003E283B"/>
    <w:rsid w:val="003E3C96"/>
    <w:rsid w:val="003E721E"/>
    <w:rsid w:val="003F1D16"/>
    <w:rsid w:val="003F274C"/>
    <w:rsid w:val="003F6D48"/>
    <w:rsid w:val="00405FD1"/>
    <w:rsid w:val="00412B69"/>
    <w:rsid w:val="004308BB"/>
    <w:rsid w:val="00432108"/>
    <w:rsid w:val="00437FA0"/>
    <w:rsid w:val="004405E1"/>
    <w:rsid w:val="00444048"/>
    <w:rsid w:val="00464F9E"/>
    <w:rsid w:val="00465745"/>
    <w:rsid w:val="00472A51"/>
    <w:rsid w:val="0048123B"/>
    <w:rsid w:val="00484104"/>
    <w:rsid w:val="00486244"/>
    <w:rsid w:val="004941FC"/>
    <w:rsid w:val="00495E95"/>
    <w:rsid w:val="004977CE"/>
    <w:rsid w:val="004A04D6"/>
    <w:rsid w:val="004A2315"/>
    <w:rsid w:val="004A2798"/>
    <w:rsid w:val="004A3368"/>
    <w:rsid w:val="004A609F"/>
    <w:rsid w:val="004A73A5"/>
    <w:rsid w:val="004B2FE0"/>
    <w:rsid w:val="004B3A0D"/>
    <w:rsid w:val="004B4873"/>
    <w:rsid w:val="004C014B"/>
    <w:rsid w:val="004D197A"/>
    <w:rsid w:val="004D44F2"/>
    <w:rsid w:val="004E0B9A"/>
    <w:rsid w:val="004F1130"/>
    <w:rsid w:val="004F2883"/>
    <w:rsid w:val="00501E92"/>
    <w:rsid w:val="00507F5C"/>
    <w:rsid w:val="0051029C"/>
    <w:rsid w:val="005224A5"/>
    <w:rsid w:val="0052424D"/>
    <w:rsid w:val="00530A42"/>
    <w:rsid w:val="00536045"/>
    <w:rsid w:val="00540267"/>
    <w:rsid w:val="00563C7C"/>
    <w:rsid w:val="00566600"/>
    <w:rsid w:val="005666FB"/>
    <w:rsid w:val="00567638"/>
    <w:rsid w:val="00573171"/>
    <w:rsid w:val="00575AAA"/>
    <w:rsid w:val="00593FC2"/>
    <w:rsid w:val="005A3817"/>
    <w:rsid w:val="005A44D0"/>
    <w:rsid w:val="005A6C2C"/>
    <w:rsid w:val="005B3D4C"/>
    <w:rsid w:val="005B4518"/>
    <w:rsid w:val="005B70B6"/>
    <w:rsid w:val="005C076C"/>
    <w:rsid w:val="005C12B8"/>
    <w:rsid w:val="005C5613"/>
    <w:rsid w:val="005C62CC"/>
    <w:rsid w:val="005D3E5F"/>
    <w:rsid w:val="005E6ADB"/>
    <w:rsid w:val="005F2DEA"/>
    <w:rsid w:val="005F5DEE"/>
    <w:rsid w:val="00600E07"/>
    <w:rsid w:val="006053AF"/>
    <w:rsid w:val="00607620"/>
    <w:rsid w:val="00622403"/>
    <w:rsid w:val="00624D1E"/>
    <w:rsid w:val="00627F71"/>
    <w:rsid w:val="00635CD0"/>
    <w:rsid w:val="00636356"/>
    <w:rsid w:val="006403CA"/>
    <w:rsid w:val="00640796"/>
    <w:rsid w:val="00641F38"/>
    <w:rsid w:val="006427B5"/>
    <w:rsid w:val="00646FC7"/>
    <w:rsid w:val="00653CA2"/>
    <w:rsid w:val="00666952"/>
    <w:rsid w:val="00675E64"/>
    <w:rsid w:val="00684B37"/>
    <w:rsid w:val="006869FB"/>
    <w:rsid w:val="00687D06"/>
    <w:rsid w:val="00693AB6"/>
    <w:rsid w:val="006975C9"/>
    <w:rsid w:val="00697FEB"/>
    <w:rsid w:val="006A0433"/>
    <w:rsid w:val="006A4609"/>
    <w:rsid w:val="006A68FF"/>
    <w:rsid w:val="006A7C02"/>
    <w:rsid w:val="006B1D47"/>
    <w:rsid w:val="006B2B7C"/>
    <w:rsid w:val="006B6D85"/>
    <w:rsid w:val="006C4A62"/>
    <w:rsid w:val="006C570A"/>
    <w:rsid w:val="006D258C"/>
    <w:rsid w:val="006E182B"/>
    <w:rsid w:val="006E581C"/>
    <w:rsid w:val="006E5CD7"/>
    <w:rsid w:val="006E7BA9"/>
    <w:rsid w:val="006F0F5A"/>
    <w:rsid w:val="006F2C67"/>
    <w:rsid w:val="006F5332"/>
    <w:rsid w:val="006F61B6"/>
    <w:rsid w:val="006F794D"/>
    <w:rsid w:val="0070089F"/>
    <w:rsid w:val="00701C62"/>
    <w:rsid w:val="00702F44"/>
    <w:rsid w:val="00707492"/>
    <w:rsid w:val="007075A0"/>
    <w:rsid w:val="00710CE6"/>
    <w:rsid w:val="0071258E"/>
    <w:rsid w:val="00715DD3"/>
    <w:rsid w:val="00734015"/>
    <w:rsid w:val="0073795D"/>
    <w:rsid w:val="007407D9"/>
    <w:rsid w:val="007440A5"/>
    <w:rsid w:val="00760CEF"/>
    <w:rsid w:val="00767790"/>
    <w:rsid w:val="007727ED"/>
    <w:rsid w:val="00776E5C"/>
    <w:rsid w:val="0077710C"/>
    <w:rsid w:val="00781019"/>
    <w:rsid w:val="00783EBB"/>
    <w:rsid w:val="0078530B"/>
    <w:rsid w:val="007910D2"/>
    <w:rsid w:val="00791D1B"/>
    <w:rsid w:val="00796552"/>
    <w:rsid w:val="007B29E4"/>
    <w:rsid w:val="007B7CE5"/>
    <w:rsid w:val="007C38D5"/>
    <w:rsid w:val="007C65CF"/>
    <w:rsid w:val="007D0053"/>
    <w:rsid w:val="007D1C7F"/>
    <w:rsid w:val="007D5445"/>
    <w:rsid w:val="007D76CE"/>
    <w:rsid w:val="007F224A"/>
    <w:rsid w:val="0080355A"/>
    <w:rsid w:val="0080379B"/>
    <w:rsid w:val="00811E34"/>
    <w:rsid w:val="0081282B"/>
    <w:rsid w:val="008158A6"/>
    <w:rsid w:val="00816EDF"/>
    <w:rsid w:val="00826634"/>
    <w:rsid w:val="008276C7"/>
    <w:rsid w:val="008337FC"/>
    <w:rsid w:val="00835073"/>
    <w:rsid w:val="00835764"/>
    <w:rsid w:val="0084110F"/>
    <w:rsid w:val="008447E2"/>
    <w:rsid w:val="0085135F"/>
    <w:rsid w:val="0085491E"/>
    <w:rsid w:val="00855A1D"/>
    <w:rsid w:val="00861B9C"/>
    <w:rsid w:val="008646F1"/>
    <w:rsid w:val="00874BFE"/>
    <w:rsid w:val="00877B01"/>
    <w:rsid w:val="00890102"/>
    <w:rsid w:val="00896CAB"/>
    <w:rsid w:val="008A09E4"/>
    <w:rsid w:val="008A5F0F"/>
    <w:rsid w:val="008B005F"/>
    <w:rsid w:val="008B4561"/>
    <w:rsid w:val="008C1FE9"/>
    <w:rsid w:val="008D00C0"/>
    <w:rsid w:val="008D2104"/>
    <w:rsid w:val="008E17F6"/>
    <w:rsid w:val="008E46F5"/>
    <w:rsid w:val="008F031D"/>
    <w:rsid w:val="008F2D08"/>
    <w:rsid w:val="008F4ABC"/>
    <w:rsid w:val="008F746C"/>
    <w:rsid w:val="00900094"/>
    <w:rsid w:val="009009C2"/>
    <w:rsid w:val="00901BCE"/>
    <w:rsid w:val="00903F76"/>
    <w:rsid w:val="009061F5"/>
    <w:rsid w:val="00906F39"/>
    <w:rsid w:val="00907B09"/>
    <w:rsid w:val="00907CD1"/>
    <w:rsid w:val="0091026E"/>
    <w:rsid w:val="00912DF4"/>
    <w:rsid w:val="00916987"/>
    <w:rsid w:val="00921972"/>
    <w:rsid w:val="00925E5A"/>
    <w:rsid w:val="00930E29"/>
    <w:rsid w:val="00931A2B"/>
    <w:rsid w:val="00932DE7"/>
    <w:rsid w:val="00943F65"/>
    <w:rsid w:val="0094411B"/>
    <w:rsid w:val="009446D7"/>
    <w:rsid w:val="0096142F"/>
    <w:rsid w:val="00962F32"/>
    <w:rsid w:val="00974609"/>
    <w:rsid w:val="00974988"/>
    <w:rsid w:val="009806C9"/>
    <w:rsid w:val="00987E78"/>
    <w:rsid w:val="009A4DEE"/>
    <w:rsid w:val="009A5C10"/>
    <w:rsid w:val="009B14D5"/>
    <w:rsid w:val="009B22D9"/>
    <w:rsid w:val="009B6E2F"/>
    <w:rsid w:val="009B79D1"/>
    <w:rsid w:val="009C0E6D"/>
    <w:rsid w:val="009D18D1"/>
    <w:rsid w:val="009D2947"/>
    <w:rsid w:val="009E0214"/>
    <w:rsid w:val="009E0285"/>
    <w:rsid w:val="009E052A"/>
    <w:rsid w:val="009F104F"/>
    <w:rsid w:val="009F14D5"/>
    <w:rsid w:val="009F5E74"/>
    <w:rsid w:val="00A0049B"/>
    <w:rsid w:val="00A0393B"/>
    <w:rsid w:val="00A04682"/>
    <w:rsid w:val="00A04B7A"/>
    <w:rsid w:val="00A07BF7"/>
    <w:rsid w:val="00A13923"/>
    <w:rsid w:val="00A13A8D"/>
    <w:rsid w:val="00A14E6E"/>
    <w:rsid w:val="00A30923"/>
    <w:rsid w:val="00A352CB"/>
    <w:rsid w:val="00A42719"/>
    <w:rsid w:val="00A437E5"/>
    <w:rsid w:val="00A43EFD"/>
    <w:rsid w:val="00A454E4"/>
    <w:rsid w:val="00A45AF3"/>
    <w:rsid w:val="00A532E2"/>
    <w:rsid w:val="00A567DE"/>
    <w:rsid w:val="00A60FD4"/>
    <w:rsid w:val="00A614BA"/>
    <w:rsid w:val="00A66AD4"/>
    <w:rsid w:val="00A67448"/>
    <w:rsid w:val="00A6745F"/>
    <w:rsid w:val="00A7072E"/>
    <w:rsid w:val="00A75264"/>
    <w:rsid w:val="00A769AE"/>
    <w:rsid w:val="00A771FC"/>
    <w:rsid w:val="00A8151F"/>
    <w:rsid w:val="00A86936"/>
    <w:rsid w:val="00A90932"/>
    <w:rsid w:val="00A913E9"/>
    <w:rsid w:val="00A95AEF"/>
    <w:rsid w:val="00A96118"/>
    <w:rsid w:val="00AA3B44"/>
    <w:rsid w:val="00AB1550"/>
    <w:rsid w:val="00AB3497"/>
    <w:rsid w:val="00AC0849"/>
    <w:rsid w:val="00AC1330"/>
    <w:rsid w:val="00AC2460"/>
    <w:rsid w:val="00AC347E"/>
    <w:rsid w:val="00AD1DC0"/>
    <w:rsid w:val="00AD2373"/>
    <w:rsid w:val="00AD7FA0"/>
    <w:rsid w:val="00AF29DC"/>
    <w:rsid w:val="00B0514F"/>
    <w:rsid w:val="00B0704D"/>
    <w:rsid w:val="00B07589"/>
    <w:rsid w:val="00B11182"/>
    <w:rsid w:val="00B1370A"/>
    <w:rsid w:val="00B1541A"/>
    <w:rsid w:val="00B168C7"/>
    <w:rsid w:val="00B2043F"/>
    <w:rsid w:val="00B24B1F"/>
    <w:rsid w:val="00B24B29"/>
    <w:rsid w:val="00B25174"/>
    <w:rsid w:val="00B33DF9"/>
    <w:rsid w:val="00B43AD6"/>
    <w:rsid w:val="00B442DB"/>
    <w:rsid w:val="00B44399"/>
    <w:rsid w:val="00B45890"/>
    <w:rsid w:val="00B4720D"/>
    <w:rsid w:val="00B50AED"/>
    <w:rsid w:val="00B5228B"/>
    <w:rsid w:val="00B5261F"/>
    <w:rsid w:val="00B53604"/>
    <w:rsid w:val="00B61907"/>
    <w:rsid w:val="00B62E0B"/>
    <w:rsid w:val="00B67489"/>
    <w:rsid w:val="00B67545"/>
    <w:rsid w:val="00B77630"/>
    <w:rsid w:val="00B86F80"/>
    <w:rsid w:val="00B9334D"/>
    <w:rsid w:val="00BA5940"/>
    <w:rsid w:val="00BA6C43"/>
    <w:rsid w:val="00BB2A88"/>
    <w:rsid w:val="00BB417C"/>
    <w:rsid w:val="00BC2B04"/>
    <w:rsid w:val="00BC6E0C"/>
    <w:rsid w:val="00BD3B1D"/>
    <w:rsid w:val="00BE0214"/>
    <w:rsid w:val="00BE1625"/>
    <w:rsid w:val="00BE1932"/>
    <w:rsid w:val="00BE75D7"/>
    <w:rsid w:val="00BF3D98"/>
    <w:rsid w:val="00BF4898"/>
    <w:rsid w:val="00C01FA2"/>
    <w:rsid w:val="00C04E07"/>
    <w:rsid w:val="00C04E24"/>
    <w:rsid w:val="00C14D24"/>
    <w:rsid w:val="00C2015A"/>
    <w:rsid w:val="00C213A1"/>
    <w:rsid w:val="00C21814"/>
    <w:rsid w:val="00C24C8C"/>
    <w:rsid w:val="00C41742"/>
    <w:rsid w:val="00C45886"/>
    <w:rsid w:val="00C52147"/>
    <w:rsid w:val="00C61EE4"/>
    <w:rsid w:val="00C8593C"/>
    <w:rsid w:val="00C86739"/>
    <w:rsid w:val="00C922B8"/>
    <w:rsid w:val="00C92604"/>
    <w:rsid w:val="00CA188C"/>
    <w:rsid w:val="00CA6563"/>
    <w:rsid w:val="00CB0A78"/>
    <w:rsid w:val="00CB49C6"/>
    <w:rsid w:val="00CC5F96"/>
    <w:rsid w:val="00CC6977"/>
    <w:rsid w:val="00CE12BC"/>
    <w:rsid w:val="00CE4C16"/>
    <w:rsid w:val="00CE4EA0"/>
    <w:rsid w:val="00CE72F5"/>
    <w:rsid w:val="00CF11D9"/>
    <w:rsid w:val="00CF7013"/>
    <w:rsid w:val="00D0102B"/>
    <w:rsid w:val="00D01C16"/>
    <w:rsid w:val="00D052FF"/>
    <w:rsid w:val="00D17036"/>
    <w:rsid w:val="00D20BB9"/>
    <w:rsid w:val="00D235E7"/>
    <w:rsid w:val="00D25B88"/>
    <w:rsid w:val="00D33346"/>
    <w:rsid w:val="00D36F4B"/>
    <w:rsid w:val="00D41CD5"/>
    <w:rsid w:val="00D423B4"/>
    <w:rsid w:val="00D425F3"/>
    <w:rsid w:val="00D466B5"/>
    <w:rsid w:val="00D508F0"/>
    <w:rsid w:val="00D51C45"/>
    <w:rsid w:val="00D57E15"/>
    <w:rsid w:val="00D63440"/>
    <w:rsid w:val="00D666E6"/>
    <w:rsid w:val="00D671DB"/>
    <w:rsid w:val="00D85F8F"/>
    <w:rsid w:val="00D87FE0"/>
    <w:rsid w:val="00DA0D6E"/>
    <w:rsid w:val="00DA171A"/>
    <w:rsid w:val="00DA6298"/>
    <w:rsid w:val="00DA6A57"/>
    <w:rsid w:val="00DB5C6E"/>
    <w:rsid w:val="00DC406B"/>
    <w:rsid w:val="00DC4166"/>
    <w:rsid w:val="00DC5F50"/>
    <w:rsid w:val="00DD132D"/>
    <w:rsid w:val="00DE5BDD"/>
    <w:rsid w:val="00DF1618"/>
    <w:rsid w:val="00DF165C"/>
    <w:rsid w:val="00DF2F4D"/>
    <w:rsid w:val="00DF6649"/>
    <w:rsid w:val="00E033B7"/>
    <w:rsid w:val="00E17380"/>
    <w:rsid w:val="00E20CFF"/>
    <w:rsid w:val="00E22402"/>
    <w:rsid w:val="00E2342B"/>
    <w:rsid w:val="00E34113"/>
    <w:rsid w:val="00E352E3"/>
    <w:rsid w:val="00E41133"/>
    <w:rsid w:val="00E469CF"/>
    <w:rsid w:val="00E4723B"/>
    <w:rsid w:val="00E472C6"/>
    <w:rsid w:val="00E51141"/>
    <w:rsid w:val="00E511EF"/>
    <w:rsid w:val="00E53207"/>
    <w:rsid w:val="00E63B03"/>
    <w:rsid w:val="00E6437B"/>
    <w:rsid w:val="00E66716"/>
    <w:rsid w:val="00E735D2"/>
    <w:rsid w:val="00E73DE5"/>
    <w:rsid w:val="00E7422A"/>
    <w:rsid w:val="00E75142"/>
    <w:rsid w:val="00E7679A"/>
    <w:rsid w:val="00E77533"/>
    <w:rsid w:val="00E775FF"/>
    <w:rsid w:val="00E84A3B"/>
    <w:rsid w:val="00E853EF"/>
    <w:rsid w:val="00EA1B0D"/>
    <w:rsid w:val="00EA4730"/>
    <w:rsid w:val="00EB12C6"/>
    <w:rsid w:val="00EB26F2"/>
    <w:rsid w:val="00EC077D"/>
    <w:rsid w:val="00ED2E05"/>
    <w:rsid w:val="00ED4627"/>
    <w:rsid w:val="00ED5E38"/>
    <w:rsid w:val="00EE05C9"/>
    <w:rsid w:val="00EE220B"/>
    <w:rsid w:val="00EF0979"/>
    <w:rsid w:val="00EF0BFE"/>
    <w:rsid w:val="00EF625F"/>
    <w:rsid w:val="00F013FB"/>
    <w:rsid w:val="00F01585"/>
    <w:rsid w:val="00F05304"/>
    <w:rsid w:val="00F060B7"/>
    <w:rsid w:val="00F13214"/>
    <w:rsid w:val="00F141CF"/>
    <w:rsid w:val="00F14A23"/>
    <w:rsid w:val="00F15506"/>
    <w:rsid w:val="00F179BA"/>
    <w:rsid w:val="00F21BBE"/>
    <w:rsid w:val="00F221DF"/>
    <w:rsid w:val="00F23383"/>
    <w:rsid w:val="00F26FBE"/>
    <w:rsid w:val="00F32EB2"/>
    <w:rsid w:val="00F37B76"/>
    <w:rsid w:val="00F41CC7"/>
    <w:rsid w:val="00F4500A"/>
    <w:rsid w:val="00F47278"/>
    <w:rsid w:val="00F473EA"/>
    <w:rsid w:val="00F4746C"/>
    <w:rsid w:val="00F50535"/>
    <w:rsid w:val="00F72EAC"/>
    <w:rsid w:val="00F76F2A"/>
    <w:rsid w:val="00F7728A"/>
    <w:rsid w:val="00F84EF4"/>
    <w:rsid w:val="00F86A5C"/>
    <w:rsid w:val="00F900DE"/>
    <w:rsid w:val="00F9390B"/>
    <w:rsid w:val="00FA4980"/>
    <w:rsid w:val="00FA5507"/>
    <w:rsid w:val="00FA5D8E"/>
    <w:rsid w:val="00FB0350"/>
    <w:rsid w:val="00FB0BA5"/>
    <w:rsid w:val="00FB403B"/>
    <w:rsid w:val="00FC0A2C"/>
    <w:rsid w:val="00FD2F79"/>
    <w:rsid w:val="00FD3BEA"/>
    <w:rsid w:val="00FD481F"/>
    <w:rsid w:val="00FD5B31"/>
    <w:rsid w:val="00FD6117"/>
    <w:rsid w:val="00FE23CD"/>
    <w:rsid w:val="00FE4E72"/>
    <w:rsid w:val="00FE70F8"/>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5881"/>
  <w15:docId w15:val="{BC944E75-9B92-4D91-9BD1-7672F77F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932"/>
    <w:pPr>
      <w:spacing w:after="160" w:line="276" w:lineRule="auto"/>
    </w:pPr>
    <w:rPr>
      <w:rFonts w:ascii="Calibri" w:eastAsiaTheme="minorHAnsi" w:hAnsi="Calibri" w:cstheme="minorBidi"/>
      <w:sz w:val="24"/>
      <w:szCs w:val="22"/>
    </w:rPr>
  </w:style>
  <w:style w:type="paragraph" w:styleId="Heading1">
    <w:name w:val="heading 1"/>
    <w:basedOn w:val="Heading5"/>
    <w:link w:val="Heading1Char"/>
    <w:qFormat/>
    <w:rsid w:val="005C12B8"/>
    <w:pPr>
      <w:numPr>
        <w:numId w:val="0"/>
      </w:numPr>
      <w:spacing w:after="240"/>
      <w:jc w:val="center"/>
      <w:outlineLvl w:val="0"/>
    </w:pPr>
    <w:rPr>
      <w:rFonts w:cs="Times New Roman"/>
      <w:sz w:val="32"/>
    </w:rPr>
  </w:style>
  <w:style w:type="paragraph" w:styleId="Heading2">
    <w:name w:val="heading 2"/>
    <w:basedOn w:val="Normal"/>
    <w:link w:val="Heading2Char"/>
    <w:uiPriority w:val="9"/>
    <w:qFormat/>
    <w:rsid w:val="00AD7FA0"/>
    <w:pPr>
      <w:keepNext/>
      <w:keepLines/>
      <w:spacing w:before="120" w:after="240"/>
      <w:outlineLvl w:val="1"/>
    </w:pPr>
    <w:rPr>
      <w:rFonts w:cs="Calibri"/>
      <w:b/>
      <w:bCs/>
      <w:sz w:val="28"/>
      <w:szCs w:val="34"/>
    </w:rPr>
  </w:style>
  <w:style w:type="paragraph" w:styleId="Heading3">
    <w:name w:val="heading 3"/>
    <w:basedOn w:val="Heading2"/>
    <w:link w:val="Heading3Char"/>
    <w:qFormat/>
    <w:rsid w:val="009A4DEE"/>
    <w:pPr>
      <w:spacing w:after="120"/>
      <w:outlineLvl w:val="2"/>
    </w:pPr>
    <w:rPr>
      <w:sz w:val="24"/>
      <w:szCs w:val="28"/>
    </w:rPr>
  </w:style>
  <w:style w:type="paragraph" w:styleId="Heading4">
    <w:name w:val="heading 4"/>
    <w:aliases w:val="Table Header"/>
    <w:basedOn w:val="BodyText"/>
    <w:link w:val="Heading4Char"/>
    <w:rsid w:val="00FD481F"/>
    <w:pPr>
      <w:spacing w:after="240" w:line="280" w:lineRule="exact"/>
      <w:jc w:val="both"/>
      <w:outlineLvl w:val="3"/>
    </w:pPr>
    <w:rPr>
      <w:b/>
      <w:bCs/>
    </w:rPr>
  </w:style>
  <w:style w:type="paragraph" w:styleId="Heading5">
    <w:name w:val="heading 5"/>
    <w:basedOn w:val="ListParagraph"/>
    <w:link w:val="Heading5Char"/>
    <w:qFormat/>
    <w:rsid w:val="005E6ADB"/>
    <w:pPr>
      <w:outlineLvl w:val="4"/>
    </w:pPr>
    <w:rPr>
      <w:b/>
      <w:sz w:val="28"/>
    </w:rPr>
  </w:style>
  <w:style w:type="paragraph" w:styleId="Heading6">
    <w:name w:val="heading 6"/>
    <w:basedOn w:val="Normal"/>
    <w:next w:val="Normal"/>
    <w:link w:val="Heading6Char"/>
    <w:unhideWhenUsed/>
    <w:rsid w:val="00FD481F"/>
    <w:pPr>
      <w:keepNext/>
      <w:keepLines/>
      <w:spacing w:before="40" w:after="0"/>
      <w:outlineLvl w:val="5"/>
    </w:pPr>
    <w:rPr>
      <w:rFonts w:asciiTheme="majorHAnsi" w:eastAsiaTheme="majorEastAsia" w:hAnsiTheme="majorHAnsi" w:cstheme="majorBidi"/>
      <w:color w:val="0048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417C"/>
  </w:style>
  <w:style w:type="character" w:customStyle="1" w:styleId="BodyTextChar">
    <w:name w:val="Body Text Char"/>
    <w:basedOn w:val="DefaultParagraphFont"/>
    <w:link w:val="BodyText"/>
    <w:rsid w:val="00BB417C"/>
    <w:rPr>
      <w:rFonts w:asciiTheme="minorHAnsi" w:eastAsiaTheme="minorHAnsi" w:hAnsiTheme="minorHAnsi" w:cstheme="minorBidi"/>
      <w:sz w:val="22"/>
      <w:szCs w:val="22"/>
    </w:rPr>
  </w:style>
  <w:style w:type="paragraph" w:styleId="Footer">
    <w:name w:val="footer"/>
    <w:basedOn w:val="Normal"/>
    <w:link w:val="FooterChar"/>
    <w:autoRedefine/>
    <w:uiPriority w:val="99"/>
    <w:qFormat/>
    <w:rsid w:val="009009C2"/>
    <w:pPr>
      <w:tabs>
        <w:tab w:val="center" w:pos="4680"/>
        <w:tab w:val="right" w:pos="9360"/>
      </w:tabs>
      <w:spacing w:after="120"/>
      <w:jc w:val="both"/>
    </w:pPr>
  </w:style>
  <w:style w:type="character" w:customStyle="1" w:styleId="FooterChar">
    <w:name w:val="Footer Char"/>
    <w:basedOn w:val="DefaultParagraphFont"/>
    <w:link w:val="Footer"/>
    <w:uiPriority w:val="99"/>
    <w:rsid w:val="009009C2"/>
    <w:rPr>
      <w:rFonts w:ascii="Calibri" w:eastAsiaTheme="minorHAnsi" w:hAnsi="Calibri" w:cstheme="minorBidi"/>
      <w:sz w:val="24"/>
      <w:szCs w:val="22"/>
    </w:rPr>
  </w:style>
  <w:style w:type="paragraph" w:styleId="Header">
    <w:name w:val="header"/>
    <w:basedOn w:val="Normal"/>
    <w:link w:val="HeaderChar"/>
    <w:uiPriority w:val="99"/>
    <w:rsid w:val="0080379B"/>
    <w:pPr>
      <w:tabs>
        <w:tab w:val="center" w:pos="4680"/>
        <w:tab w:val="right" w:pos="9360"/>
      </w:tabs>
      <w:jc w:val="both"/>
    </w:pPr>
  </w:style>
  <w:style w:type="character" w:customStyle="1" w:styleId="HeaderChar">
    <w:name w:val="Header Char"/>
    <w:basedOn w:val="DefaultParagraphFont"/>
    <w:link w:val="Header"/>
    <w:uiPriority w:val="99"/>
    <w:rsid w:val="0080379B"/>
    <w:rPr>
      <w:sz w:val="24"/>
      <w:szCs w:val="24"/>
    </w:rPr>
  </w:style>
  <w:style w:type="character" w:customStyle="1" w:styleId="Heading1Char">
    <w:name w:val="Heading 1 Char"/>
    <w:basedOn w:val="DefaultParagraphFont"/>
    <w:link w:val="Heading1"/>
    <w:rsid w:val="005C12B8"/>
    <w:rPr>
      <w:rFonts w:eastAsiaTheme="minorHAnsi"/>
      <w:b/>
      <w:sz w:val="32"/>
      <w:szCs w:val="22"/>
    </w:rPr>
  </w:style>
  <w:style w:type="character" w:customStyle="1" w:styleId="Heading2Char">
    <w:name w:val="Heading 2 Char"/>
    <w:basedOn w:val="DefaultParagraphFont"/>
    <w:link w:val="Heading2"/>
    <w:uiPriority w:val="9"/>
    <w:rsid w:val="00AD7FA0"/>
    <w:rPr>
      <w:rFonts w:eastAsiaTheme="minorHAnsi" w:cs="Calibri"/>
      <w:b/>
      <w:bCs/>
      <w:sz w:val="28"/>
      <w:szCs w:val="34"/>
    </w:rPr>
  </w:style>
  <w:style w:type="character" w:customStyle="1" w:styleId="Heading3Char">
    <w:name w:val="Heading 3 Char"/>
    <w:basedOn w:val="DefaultParagraphFont"/>
    <w:link w:val="Heading3"/>
    <w:rsid w:val="009A4DEE"/>
    <w:rPr>
      <w:rFonts w:eastAsiaTheme="minorHAnsi" w:cs="Calibri"/>
      <w:b/>
      <w:bCs/>
      <w:sz w:val="24"/>
      <w:szCs w:val="28"/>
    </w:rPr>
  </w:style>
  <w:style w:type="character" w:customStyle="1" w:styleId="Heading4Char">
    <w:name w:val="Heading 4 Char"/>
    <w:aliases w:val="Table Header Char"/>
    <w:basedOn w:val="DefaultParagraphFont"/>
    <w:link w:val="Heading4"/>
    <w:rsid w:val="00536045"/>
    <w:rPr>
      <w:rFonts w:asciiTheme="minorHAnsi" w:eastAsiaTheme="minorHAnsi" w:hAnsiTheme="minorHAnsi" w:cstheme="minorBidi"/>
      <w:b/>
      <w:bCs/>
      <w:sz w:val="22"/>
      <w:szCs w:val="22"/>
    </w:rPr>
  </w:style>
  <w:style w:type="character" w:customStyle="1" w:styleId="Heading5Char">
    <w:name w:val="Heading 5 Char"/>
    <w:basedOn w:val="DefaultParagraphFont"/>
    <w:link w:val="Heading5"/>
    <w:rsid w:val="005E6ADB"/>
    <w:rPr>
      <w:rFonts w:eastAsiaTheme="minorHAnsi" w:cstheme="minorBidi"/>
      <w:b/>
      <w:sz w:val="28"/>
      <w:szCs w:val="22"/>
    </w:rPr>
  </w:style>
  <w:style w:type="paragraph" w:styleId="Title">
    <w:name w:val="Title"/>
    <w:basedOn w:val="Normal"/>
    <w:next w:val="BodyText"/>
    <w:link w:val="TitleChar"/>
    <w:qFormat/>
    <w:rsid w:val="00D671DB"/>
    <w:pPr>
      <w:spacing w:after="240"/>
      <w:contextualSpacing/>
      <w:jc w:val="center"/>
    </w:pPr>
    <w:rPr>
      <w:rFonts w:ascii="Times New Roman Bold" w:eastAsiaTheme="majorEastAsia" w:hAnsi="Times New Roman Bold" w:cstheme="majorBidi"/>
      <w:b/>
      <w:caps/>
      <w:spacing w:val="5"/>
      <w:kern w:val="28"/>
      <w:szCs w:val="52"/>
    </w:rPr>
  </w:style>
  <w:style w:type="character" w:customStyle="1" w:styleId="TitleChar">
    <w:name w:val="Title Char"/>
    <w:basedOn w:val="DefaultParagraphFont"/>
    <w:link w:val="Title"/>
    <w:rsid w:val="00D671DB"/>
    <w:rPr>
      <w:rFonts w:ascii="Times New Roman Bold" w:eastAsiaTheme="majorEastAsia" w:hAnsi="Times New Roman Bold" w:cstheme="majorBidi"/>
      <w:b/>
      <w:caps/>
      <w:spacing w:val="5"/>
      <w:kern w:val="28"/>
      <w:sz w:val="22"/>
      <w:szCs w:val="52"/>
    </w:rPr>
  </w:style>
  <w:style w:type="table" w:styleId="TableGrid">
    <w:name w:val="Table Grid"/>
    <w:basedOn w:val="TableNormal"/>
    <w:rsid w:val="00FC0A2C"/>
    <w:tblPr>
      <w:tblStyleRowBandSize w:val="1"/>
      <w:tblBorders>
        <w:top w:val="single" w:sz="4" w:space="0" w:color="D2E7E7"/>
        <w:left w:val="single" w:sz="4" w:space="0" w:color="D2E7E7"/>
        <w:bottom w:val="single" w:sz="4" w:space="0" w:color="D2E7E7"/>
        <w:right w:val="single" w:sz="4" w:space="0" w:color="D2E7E7"/>
        <w:insideH w:val="single" w:sz="4" w:space="0" w:color="D2E7E7"/>
        <w:insideV w:val="single" w:sz="4" w:space="0" w:color="D2E7E7"/>
      </w:tblBorders>
      <w:tblCellMar>
        <w:top w:w="58" w:type="dxa"/>
        <w:bottom w:w="58" w:type="dxa"/>
      </w:tblCellMar>
    </w:tblPr>
    <w:trPr>
      <w:cantSplit/>
    </w:trPr>
    <w:tcPr>
      <w:shd w:val="clear" w:color="auto" w:fill="auto"/>
    </w:tcPr>
    <w:tblStylePr w:type="firstRow">
      <w:pPr>
        <w:jc w:val="center"/>
      </w:pPr>
      <w:rPr>
        <w:color w:val="FFFFFF"/>
      </w:rPr>
      <w:tblPr/>
      <w:tcPr>
        <w:tcBorders>
          <w:top w:val="single" w:sz="4" w:space="0" w:color="1174A9"/>
          <w:left w:val="single" w:sz="4" w:space="0" w:color="1174A9"/>
          <w:bottom w:val="single" w:sz="4" w:space="0" w:color="1174A9"/>
          <w:right w:val="single" w:sz="4" w:space="0" w:color="1174A9"/>
          <w:insideH w:val="single" w:sz="4" w:space="0" w:color="1174A9"/>
          <w:insideV w:val="single" w:sz="4" w:space="0" w:color="1174A9"/>
        </w:tcBorders>
        <w:shd w:val="clear" w:color="auto" w:fill="1174A9"/>
      </w:tcPr>
    </w:tblStylePr>
    <w:tblStylePr w:type="band1Horz">
      <w:tblPr/>
      <w:tcPr>
        <w:shd w:val="clear" w:color="auto" w:fill="F5F8F8"/>
      </w:tcPr>
    </w:tblStylePr>
  </w:style>
  <w:style w:type="character" w:styleId="CommentReference">
    <w:name w:val="annotation reference"/>
    <w:basedOn w:val="DefaultParagraphFont"/>
    <w:semiHidden/>
    <w:unhideWhenUsed/>
    <w:rsid w:val="00C41742"/>
    <w:rPr>
      <w:sz w:val="16"/>
      <w:szCs w:val="16"/>
    </w:rPr>
  </w:style>
  <w:style w:type="paragraph" w:styleId="CommentText">
    <w:name w:val="annotation text"/>
    <w:basedOn w:val="Normal"/>
    <w:link w:val="CommentTextChar"/>
    <w:unhideWhenUsed/>
    <w:rsid w:val="00C41742"/>
    <w:rPr>
      <w:sz w:val="20"/>
      <w:szCs w:val="20"/>
    </w:rPr>
  </w:style>
  <w:style w:type="character" w:customStyle="1" w:styleId="CommentTextChar">
    <w:name w:val="Comment Text Char"/>
    <w:basedOn w:val="DefaultParagraphFont"/>
    <w:link w:val="CommentText"/>
    <w:rsid w:val="00C41742"/>
  </w:style>
  <w:style w:type="paragraph" w:styleId="CommentSubject">
    <w:name w:val="annotation subject"/>
    <w:basedOn w:val="CommentText"/>
    <w:next w:val="CommentText"/>
    <w:link w:val="CommentSubjectChar"/>
    <w:uiPriority w:val="99"/>
    <w:semiHidden/>
    <w:unhideWhenUsed/>
    <w:rsid w:val="00C41742"/>
    <w:rPr>
      <w:b/>
      <w:bCs/>
    </w:rPr>
  </w:style>
  <w:style w:type="character" w:customStyle="1" w:styleId="CommentSubjectChar">
    <w:name w:val="Comment Subject Char"/>
    <w:basedOn w:val="CommentTextChar"/>
    <w:link w:val="CommentSubject"/>
    <w:uiPriority w:val="99"/>
    <w:semiHidden/>
    <w:rsid w:val="00C41742"/>
    <w:rPr>
      <w:b/>
      <w:bCs/>
    </w:rPr>
  </w:style>
  <w:style w:type="paragraph" w:customStyle="1" w:styleId="DocID">
    <w:name w:val="Doc ID"/>
    <w:basedOn w:val="Normal"/>
    <w:link w:val="DocIDChar"/>
    <w:rsid w:val="003444D7"/>
    <w:pPr>
      <w:tabs>
        <w:tab w:val="right" w:pos="9360"/>
      </w:tabs>
      <w:spacing w:line="200" w:lineRule="exact"/>
    </w:pPr>
    <w:rPr>
      <w:bCs/>
      <w:sz w:val="16"/>
    </w:rPr>
  </w:style>
  <w:style w:type="character" w:customStyle="1" w:styleId="DocIDChar">
    <w:name w:val="Doc ID Char"/>
    <w:basedOn w:val="DefaultParagraphFont"/>
    <w:link w:val="DocID"/>
    <w:rsid w:val="003444D7"/>
    <w:rPr>
      <w:bCs/>
      <w:sz w:val="16"/>
      <w:szCs w:val="24"/>
    </w:rPr>
  </w:style>
  <w:style w:type="paragraph" w:styleId="FootnoteText">
    <w:name w:val="footnote text"/>
    <w:aliases w:val="Car"/>
    <w:basedOn w:val="Normal"/>
    <w:link w:val="FootnoteTextChar"/>
    <w:autoRedefine/>
    <w:uiPriority w:val="99"/>
    <w:unhideWhenUsed/>
    <w:qFormat/>
    <w:rsid w:val="009009C2"/>
    <w:pPr>
      <w:spacing w:after="120"/>
    </w:pPr>
    <w:rPr>
      <w:rFonts w:eastAsia="Calibri"/>
      <w:szCs w:val="20"/>
    </w:rPr>
  </w:style>
  <w:style w:type="character" w:customStyle="1" w:styleId="FootnoteTextChar">
    <w:name w:val="Footnote Text Char"/>
    <w:aliases w:val="Car Char"/>
    <w:basedOn w:val="DefaultParagraphFont"/>
    <w:link w:val="FootnoteText"/>
    <w:uiPriority w:val="99"/>
    <w:rsid w:val="009009C2"/>
    <w:rPr>
      <w:rFonts w:ascii="Calibri" w:eastAsia="Calibri" w:hAnsi="Calibri" w:cstheme="minorBidi"/>
      <w:sz w:val="24"/>
    </w:rPr>
  </w:style>
  <w:style w:type="character" w:styleId="FootnoteReference">
    <w:name w:val="footnote reference"/>
    <w:basedOn w:val="DefaultParagraphFont"/>
    <w:uiPriority w:val="99"/>
    <w:unhideWhenUsed/>
    <w:rsid w:val="00A90932"/>
    <w:rPr>
      <w:rFonts w:asciiTheme="minorHAnsi" w:hAnsiTheme="minorHAnsi"/>
      <w:sz w:val="24"/>
      <w:vertAlign w:val="superscript"/>
    </w:rPr>
  </w:style>
  <w:style w:type="paragraph" w:styleId="ListParagraph">
    <w:name w:val="List Paragraph"/>
    <w:basedOn w:val="Normal"/>
    <w:link w:val="ListParagraphChar"/>
    <w:autoRedefine/>
    <w:uiPriority w:val="34"/>
    <w:qFormat/>
    <w:rsid w:val="00903F76"/>
    <w:pPr>
      <w:numPr>
        <w:numId w:val="17"/>
      </w:numPr>
      <w:spacing w:after="120"/>
      <w:ind w:left="778"/>
      <w:contextualSpacing/>
    </w:pPr>
  </w:style>
  <w:style w:type="paragraph" w:customStyle="1" w:styleId="Tabletext">
    <w:name w:val="Table text"/>
    <w:basedOn w:val="Normal"/>
    <w:qFormat/>
    <w:rsid w:val="0085491E"/>
    <w:pPr>
      <w:spacing w:after="0"/>
    </w:pPr>
  </w:style>
  <w:style w:type="paragraph" w:customStyle="1" w:styleId="Level1">
    <w:name w:val="Level 1"/>
    <w:basedOn w:val="Tabletext"/>
    <w:rsid w:val="00B5228B"/>
    <w:pPr>
      <w:ind w:left="163"/>
    </w:pPr>
  </w:style>
  <w:style w:type="paragraph" w:customStyle="1" w:styleId="Level2">
    <w:name w:val="Level 2"/>
    <w:basedOn w:val="Tabletext"/>
    <w:rsid w:val="00B5228B"/>
    <w:pPr>
      <w:ind w:left="343"/>
    </w:pPr>
  </w:style>
  <w:style w:type="paragraph" w:customStyle="1" w:styleId="Level4">
    <w:name w:val="Level 4"/>
    <w:basedOn w:val="Normal"/>
    <w:rsid w:val="0096142F"/>
    <w:pPr>
      <w:spacing w:after="0"/>
      <w:ind w:left="703"/>
    </w:pPr>
  </w:style>
  <w:style w:type="paragraph" w:styleId="Revision">
    <w:name w:val="Revision"/>
    <w:hidden/>
    <w:uiPriority w:val="99"/>
    <w:semiHidden/>
    <w:rsid w:val="00B5228B"/>
    <w:rPr>
      <w:rFonts w:ascii="Calibri" w:hAnsi="Calibri"/>
      <w:sz w:val="22"/>
      <w:szCs w:val="24"/>
    </w:rPr>
  </w:style>
  <w:style w:type="paragraph" w:customStyle="1" w:styleId="In-tableheading">
    <w:name w:val="In-table heading"/>
    <w:basedOn w:val="Tabletext"/>
    <w:rsid w:val="004308BB"/>
    <w:rPr>
      <w:b/>
      <w:bCs/>
      <w:color w:val="1174A9"/>
    </w:rPr>
  </w:style>
  <w:style w:type="paragraph" w:customStyle="1" w:styleId="TableColumnHeading">
    <w:name w:val="Table Column Heading"/>
    <w:basedOn w:val="Normal"/>
    <w:qFormat/>
    <w:rsid w:val="00AB3497"/>
    <w:pPr>
      <w:spacing w:after="0"/>
    </w:pPr>
    <w:rPr>
      <w:b/>
      <w:bCs/>
      <w:color w:val="FFFFFF"/>
    </w:rPr>
  </w:style>
  <w:style w:type="paragraph" w:customStyle="1" w:styleId="Boxedtext">
    <w:name w:val="Boxed text"/>
    <w:basedOn w:val="Normal"/>
    <w:qFormat/>
    <w:rsid w:val="00D671DB"/>
    <w:pPr>
      <w:pBdr>
        <w:top w:val="single" w:sz="4" w:space="1" w:color="auto"/>
        <w:left w:val="single" w:sz="4" w:space="4" w:color="auto"/>
        <w:bottom w:val="single" w:sz="4" w:space="1" w:color="auto"/>
        <w:right w:val="single" w:sz="4" w:space="4" w:color="auto"/>
      </w:pBdr>
    </w:pPr>
    <w:rPr>
      <w:rFonts w:cs="Calibri"/>
    </w:rPr>
  </w:style>
  <w:style w:type="character" w:styleId="PageNumber">
    <w:name w:val="page number"/>
    <w:basedOn w:val="DefaultParagraphFont"/>
    <w:uiPriority w:val="99"/>
    <w:semiHidden/>
    <w:unhideWhenUsed/>
    <w:rsid w:val="00BB417C"/>
  </w:style>
  <w:style w:type="character" w:customStyle="1" w:styleId="ListParagraphChar">
    <w:name w:val="List Paragraph Char"/>
    <w:basedOn w:val="DefaultParagraphFont"/>
    <w:link w:val="ListParagraph"/>
    <w:uiPriority w:val="34"/>
    <w:rsid w:val="00903F76"/>
    <w:rPr>
      <w:rFonts w:ascii="Calibri" w:eastAsiaTheme="minorHAnsi" w:hAnsi="Calibri" w:cstheme="minorBidi"/>
      <w:sz w:val="24"/>
      <w:szCs w:val="22"/>
    </w:rPr>
  </w:style>
  <w:style w:type="paragraph" w:styleId="BodyTextFirstIndent">
    <w:name w:val="Body Text First Indent"/>
    <w:basedOn w:val="BodyText"/>
    <w:link w:val="BodyTextFirstIndentChar"/>
    <w:rsid w:val="001F14C5"/>
    <w:pPr>
      <w:ind w:firstLine="360"/>
    </w:pPr>
  </w:style>
  <w:style w:type="character" w:customStyle="1" w:styleId="BodyTextFirstIndentChar">
    <w:name w:val="Body Text First Indent Char"/>
    <w:basedOn w:val="BodyTextChar"/>
    <w:link w:val="BodyTextFirstIndent"/>
    <w:rsid w:val="001F14C5"/>
    <w:rPr>
      <w:rFonts w:asciiTheme="minorHAnsi" w:eastAsiaTheme="minorHAnsi" w:hAnsiTheme="minorHAnsi" w:cstheme="minorBidi"/>
      <w:sz w:val="22"/>
      <w:szCs w:val="22"/>
    </w:rPr>
  </w:style>
  <w:style w:type="numbering" w:customStyle="1" w:styleId="CurrentList1">
    <w:name w:val="Current List1"/>
    <w:uiPriority w:val="99"/>
    <w:rsid w:val="00E66716"/>
    <w:pPr>
      <w:numPr>
        <w:numId w:val="1"/>
      </w:numPr>
    </w:pPr>
  </w:style>
  <w:style w:type="numbering" w:customStyle="1" w:styleId="CurrentList2">
    <w:name w:val="Current List2"/>
    <w:uiPriority w:val="99"/>
    <w:rsid w:val="00E66716"/>
    <w:pPr>
      <w:numPr>
        <w:numId w:val="2"/>
      </w:numPr>
    </w:pPr>
  </w:style>
  <w:style w:type="numbering" w:customStyle="1" w:styleId="CurrentList3">
    <w:name w:val="Current List3"/>
    <w:uiPriority w:val="99"/>
    <w:rsid w:val="00E66716"/>
    <w:pPr>
      <w:numPr>
        <w:numId w:val="3"/>
      </w:numPr>
    </w:pPr>
  </w:style>
  <w:style w:type="numbering" w:customStyle="1" w:styleId="CurrentList4">
    <w:name w:val="Current List4"/>
    <w:uiPriority w:val="99"/>
    <w:rsid w:val="00FD2F79"/>
    <w:pPr>
      <w:numPr>
        <w:numId w:val="4"/>
      </w:numPr>
    </w:pPr>
  </w:style>
  <w:style w:type="paragraph" w:styleId="TOCHeading">
    <w:name w:val="TOC Heading"/>
    <w:basedOn w:val="Heading1"/>
    <w:next w:val="Normal"/>
    <w:uiPriority w:val="39"/>
    <w:unhideWhenUsed/>
    <w:rsid w:val="00D425F3"/>
    <w:pPr>
      <w:spacing w:before="240" w:after="0"/>
      <w:outlineLvl w:val="9"/>
    </w:pPr>
    <w:rPr>
      <w:rFonts w:asciiTheme="majorHAnsi" w:eastAsiaTheme="majorEastAsia" w:hAnsiTheme="majorHAnsi" w:cstheme="majorBidi"/>
      <w:b w:val="0"/>
      <w:bCs/>
      <w:color w:val="006C6D" w:themeColor="accent1" w:themeShade="BF"/>
      <w:szCs w:val="32"/>
    </w:rPr>
  </w:style>
  <w:style w:type="paragraph" w:styleId="TOC1">
    <w:name w:val="toc 1"/>
    <w:basedOn w:val="Normal"/>
    <w:next w:val="Normal"/>
    <w:autoRedefine/>
    <w:uiPriority w:val="39"/>
    <w:unhideWhenUsed/>
    <w:rsid w:val="00D423B4"/>
    <w:pPr>
      <w:tabs>
        <w:tab w:val="right" w:leader="dot" w:pos="10790"/>
      </w:tabs>
      <w:spacing w:after="100"/>
    </w:pPr>
  </w:style>
  <w:style w:type="paragraph" w:styleId="TOC2">
    <w:name w:val="toc 2"/>
    <w:basedOn w:val="Normal"/>
    <w:next w:val="Normal"/>
    <w:autoRedefine/>
    <w:uiPriority w:val="39"/>
    <w:unhideWhenUsed/>
    <w:rsid w:val="00D423B4"/>
    <w:pPr>
      <w:tabs>
        <w:tab w:val="right" w:leader="dot" w:pos="10790"/>
      </w:tabs>
      <w:spacing w:after="100"/>
      <w:ind w:left="220"/>
    </w:pPr>
  </w:style>
  <w:style w:type="paragraph" w:styleId="TOC3">
    <w:name w:val="toc 3"/>
    <w:basedOn w:val="Normal"/>
    <w:next w:val="Normal"/>
    <w:autoRedefine/>
    <w:uiPriority w:val="39"/>
    <w:unhideWhenUsed/>
    <w:rsid w:val="00D423B4"/>
    <w:pPr>
      <w:tabs>
        <w:tab w:val="left" w:pos="960"/>
        <w:tab w:val="right" w:leader="dot" w:pos="10790"/>
      </w:tabs>
      <w:spacing w:after="100"/>
      <w:ind w:left="440"/>
    </w:pPr>
  </w:style>
  <w:style w:type="character" w:styleId="Hyperlink">
    <w:name w:val="Hyperlink"/>
    <w:basedOn w:val="DefaultParagraphFont"/>
    <w:uiPriority w:val="99"/>
    <w:unhideWhenUsed/>
    <w:rsid w:val="00D425F3"/>
    <w:rPr>
      <w:color w:val="70A84D" w:themeColor="hyperlink"/>
      <w:u w:val="single"/>
    </w:rPr>
  </w:style>
  <w:style w:type="paragraph" w:customStyle="1" w:styleId="Bulletstext">
    <w:name w:val="Bullets text"/>
    <w:basedOn w:val="Normal"/>
    <w:autoRedefine/>
    <w:qFormat/>
    <w:rsid w:val="00044C8A"/>
    <w:pPr>
      <w:numPr>
        <w:numId w:val="13"/>
      </w:numPr>
    </w:pPr>
    <w:rPr>
      <w:rFonts w:asciiTheme="minorHAnsi" w:eastAsia="Times New Roman" w:hAnsiTheme="minorHAnsi"/>
      <w:color w:val="333333"/>
    </w:rPr>
  </w:style>
  <w:style w:type="character" w:customStyle="1" w:styleId="Heading6Char">
    <w:name w:val="Heading 6 Char"/>
    <w:basedOn w:val="DefaultParagraphFont"/>
    <w:link w:val="Heading6"/>
    <w:rsid w:val="00FD481F"/>
    <w:rPr>
      <w:rFonts w:asciiTheme="majorHAnsi" w:eastAsiaTheme="majorEastAsia" w:hAnsiTheme="majorHAnsi" w:cstheme="majorBidi"/>
      <w:color w:val="004848" w:themeColor="accent1" w:themeShade="7F"/>
      <w:sz w:val="22"/>
      <w:szCs w:val="22"/>
    </w:rPr>
  </w:style>
  <w:style w:type="character" w:styleId="Emphasis">
    <w:name w:val="Emphasis"/>
    <w:basedOn w:val="DefaultParagraphFont"/>
    <w:rsid w:val="00BF4898"/>
    <w:rPr>
      <w:i/>
      <w:iCs/>
    </w:rPr>
  </w:style>
  <w:style w:type="character" w:styleId="SubtleReference">
    <w:name w:val="Subtle Reference"/>
    <w:basedOn w:val="DefaultParagraphFont"/>
    <w:uiPriority w:val="31"/>
    <w:rsid w:val="00316406"/>
    <w:rPr>
      <w:smallCaps/>
      <w:color w:val="546DCB" w:themeColor="text1" w:themeTint="A5"/>
    </w:rPr>
  </w:style>
  <w:style w:type="character" w:styleId="UnresolvedMention">
    <w:name w:val="Unresolved Mention"/>
    <w:basedOn w:val="DefaultParagraphFont"/>
    <w:rsid w:val="00A913E9"/>
    <w:rPr>
      <w:color w:val="605E5C"/>
      <w:shd w:val="clear" w:color="auto" w:fill="E1DFDD"/>
    </w:rPr>
  </w:style>
  <w:style w:type="paragraph" w:customStyle="1" w:styleId="Intro">
    <w:name w:val="Intro"/>
    <w:basedOn w:val="Normal"/>
    <w:qFormat/>
    <w:rsid w:val="00E735D2"/>
  </w:style>
  <w:style w:type="paragraph" w:customStyle="1" w:styleId="Tabletext-nospacing">
    <w:name w:val="Table text - no spacing"/>
    <w:basedOn w:val="Normal"/>
    <w:qFormat/>
    <w:rsid w:val="00083AFC"/>
    <w:pPr>
      <w:spacing w:after="0"/>
    </w:pPr>
    <w:rPr>
      <w:bCs/>
      <w:szCs w:val="24"/>
    </w:rPr>
  </w:style>
  <w:style w:type="paragraph" w:customStyle="1" w:styleId="Tabletitle">
    <w:name w:val="Table title"/>
    <w:basedOn w:val="Normal"/>
    <w:qFormat/>
    <w:rsid w:val="00FE70F8"/>
    <w:pPr>
      <w:spacing w:after="60"/>
    </w:pPr>
    <w:rPr>
      <w:rFonts w:cs="Times New Roman (Body CS)"/>
      <w:b/>
      <w:bCs/>
      <w:color w:val="171717" w:themeColor="accent6" w:themeShade="1A"/>
    </w:rPr>
  </w:style>
  <w:style w:type="paragraph" w:customStyle="1" w:styleId="Tabletext-center">
    <w:name w:val="Table text - center"/>
    <w:basedOn w:val="Tabletext-nospacing"/>
    <w:qFormat/>
    <w:rsid w:val="00FE70F8"/>
    <w:pPr>
      <w:spacing w:line="240" w:lineRule="auto"/>
      <w:jc w:val="center"/>
    </w:pPr>
  </w:style>
  <w:style w:type="character" w:customStyle="1" w:styleId="normaltextrun">
    <w:name w:val="normaltextrun"/>
    <w:basedOn w:val="DefaultParagraphFont"/>
    <w:rsid w:val="00135329"/>
  </w:style>
  <w:style w:type="character" w:customStyle="1" w:styleId="eop">
    <w:name w:val="eop"/>
    <w:basedOn w:val="DefaultParagraphFont"/>
    <w:rsid w:val="00135329"/>
  </w:style>
  <w:style w:type="paragraph" w:customStyle="1" w:styleId="Tableheading">
    <w:name w:val="Table heading"/>
    <w:basedOn w:val="Normal"/>
    <w:qFormat/>
    <w:rsid w:val="00566600"/>
    <w:pPr>
      <w:spacing w:after="120"/>
    </w:pPr>
    <w:rPr>
      <w:rFonts w:cs="Times New Roman"/>
      <w:b/>
      <w:bCs/>
      <w:color w:val="171717" w:themeColor="accent6" w:themeShade="1A"/>
    </w:rPr>
  </w:style>
  <w:style w:type="paragraph" w:customStyle="1" w:styleId="paragraph">
    <w:name w:val="paragraph"/>
    <w:basedOn w:val="Normal"/>
    <w:rsid w:val="000B00EF"/>
    <w:pPr>
      <w:spacing w:before="100" w:beforeAutospacing="1" w:after="100" w:afterAutospacing="1" w:line="240" w:lineRule="auto"/>
    </w:pPr>
    <w:rPr>
      <w:rFonts w:eastAsia="Times New Roman" w:cs="Times New Roman"/>
      <w:szCs w:val="24"/>
    </w:rPr>
  </w:style>
  <w:style w:type="character" w:customStyle="1" w:styleId="wdyuqq">
    <w:name w:val="wdyuqq"/>
    <w:basedOn w:val="DefaultParagraphFont"/>
    <w:rsid w:val="00083096"/>
  </w:style>
  <w:style w:type="table" w:styleId="TableGridLight">
    <w:name w:val="Grid Table Light"/>
    <w:basedOn w:val="TableNormal"/>
    <w:uiPriority w:val="40"/>
    <w:rsid w:val="000751B2"/>
    <w:tblPr>
      <w:tblBorders>
        <w:top w:val="single" w:sz="4" w:space="0" w:color="0E567E" w:themeColor="background1" w:themeShade="BF"/>
        <w:left w:val="single" w:sz="4" w:space="0" w:color="0E567E" w:themeColor="background1" w:themeShade="BF"/>
        <w:bottom w:val="single" w:sz="4" w:space="0" w:color="0E567E" w:themeColor="background1" w:themeShade="BF"/>
        <w:right w:val="single" w:sz="4" w:space="0" w:color="0E567E" w:themeColor="background1" w:themeShade="BF"/>
        <w:insideH w:val="single" w:sz="4" w:space="0" w:color="0E567E" w:themeColor="background1" w:themeShade="BF"/>
        <w:insideV w:val="single" w:sz="4" w:space="0" w:color="0E567E" w:themeColor="background1" w:themeShade="BF"/>
      </w:tblBorders>
    </w:tblPr>
  </w:style>
  <w:style w:type="character" w:customStyle="1" w:styleId="cf01">
    <w:name w:val="cf01"/>
    <w:basedOn w:val="DefaultParagraphFont"/>
    <w:rsid w:val="00B137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AG">
      <a:dk1>
        <a:srgbClr val="273A80"/>
      </a:dk1>
      <a:lt1>
        <a:srgbClr val="1374A9"/>
      </a:lt1>
      <a:dk2>
        <a:srgbClr val="70A84D"/>
      </a:dk2>
      <a:lt2>
        <a:srgbClr val="007840"/>
      </a:lt2>
      <a:accent1>
        <a:srgbClr val="009192"/>
      </a:accent1>
      <a:accent2>
        <a:srgbClr val="68C6C7"/>
      </a:accent2>
      <a:accent3>
        <a:srgbClr val="E7EDED"/>
      </a:accent3>
      <a:accent4>
        <a:srgbClr val="F3FAFC"/>
      </a:accent4>
      <a:accent5>
        <a:srgbClr val="F9FCF8"/>
      </a:accent5>
      <a:accent6>
        <a:srgbClr val="E7E6E6"/>
      </a:accent6>
      <a:hlink>
        <a:srgbClr val="70A84D"/>
      </a:hlink>
      <a:folHlink>
        <a:srgbClr val="70A8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AED76F72E91499DA2BAE144A033D8" ma:contentTypeVersion="13" ma:contentTypeDescription="Create a new document." ma:contentTypeScope="" ma:versionID="0861d180673f87d367adaaef55cbb5c4">
  <xsd:schema xmlns:xsd="http://www.w3.org/2001/XMLSchema" xmlns:xs="http://www.w3.org/2001/XMLSchema" xmlns:p="http://schemas.microsoft.com/office/2006/metadata/properties" xmlns:ns2="110aae70-5e75-4e82-a163-f68d5251b757" xmlns:ns3="426905ed-eb60-4dee-bae3-1eb4ee598505" targetNamespace="http://schemas.microsoft.com/office/2006/metadata/properties" ma:root="true" ma:fieldsID="7820560e272577cf25722425540cc7ef" ns2:_="" ns3:_="">
    <xsd:import namespace="110aae70-5e75-4e82-a163-f68d5251b757"/>
    <xsd:import namespace="426905ed-eb60-4dee-bae3-1eb4ee5985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aae70-5e75-4e82-a163-f68d5251b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cd0cb3f-5946-44d7-9d7b-f1ee894f69b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6905ed-eb60-4dee-bae3-1eb4ee5985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14e46b-3444-4573-b909-88614f747180}" ma:internalName="TaxCatchAll" ma:showField="CatchAllData" ma:web="426905ed-eb60-4dee-bae3-1eb4ee598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0aae70-5e75-4e82-a163-f68d5251b757">
      <Terms xmlns="http://schemas.microsoft.com/office/infopath/2007/PartnerControls"/>
    </lcf76f155ced4ddcb4097134ff3c332f>
    <TaxCatchAll xmlns="426905ed-eb60-4dee-bae3-1eb4ee5985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8EA8E-764D-47B2-B428-77B386139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aae70-5e75-4e82-a163-f68d5251b757"/>
    <ds:schemaRef ds:uri="426905ed-eb60-4dee-bae3-1eb4ee59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9298E-B068-6F4F-9C02-38915D409958}">
  <ds:schemaRefs>
    <ds:schemaRef ds:uri="http://schemas.openxmlformats.org/officeDocument/2006/bibliography"/>
  </ds:schemaRefs>
</ds:datastoreItem>
</file>

<file path=customXml/itemProps3.xml><?xml version="1.0" encoding="utf-8"?>
<ds:datastoreItem xmlns:ds="http://schemas.openxmlformats.org/officeDocument/2006/customXml" ds:itemID="{BC561776-2F66-400E-95C3-BE3C30BD7FFC}">
  <ds:schemaRefs>
    <ds:schemaRef ds:uri="http://schemas.microsoft.com/office/2006/metadata/properties"/>
    <ds:schemaRef ds:uri="http://schemas.microsoft.com/office/infopath/2007/PartnerControls"/>
    <ds:schemaRef ds:uri="110aae70-5e75-4e82-a163-f68d5251b757"/>
    <ds:schemaRef ds:uri="426905ed-eb60-4dee-bae3-1eb4ee598505"/>
  </ds:schemaRefs>
</ds:datastoreItem>
</file>

<file path=customXml/itemProps4.xml><?xml version="1.0" encoding="utf-8"?>
<ds:datastoreItem xmlns:ds="http://schemas.openxmlformats.org/officeDocument/2006/customXml" ds:itemID="{66812C2C-B805-4598-85E1-C78AFCEB1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3101</Words>
  <Characters>17680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SB 684 Small Subdivision Template Application Review Checklist for Internal / Staff Use</vt:lpstr>
    </vt:vector>
  </TitlesOfParts>
  <Manager/>
  <Company/>
  <LinksUpToDate>false</LinksUpToDate>
  <CharactersWithSpaces>20740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684 Small Subdivision Template Application Review Checklist for Internal / Staff Use</dc:title>
  <dc:subject/>
  <dc:creator>ABAG / MTC RHTA</dc:creator>
  <cp:keywords/>
  <dc:description/>
  <cp:lastModifiedBy>Clair A. McDevitt</cp:lastModifiedBy>
  <cp:revision>2</cp:revision>
  <dcterms:created xsi:type="dcterms:W3CDTF">2025-06-24T21:59:00Z</dcterms:created>
  <dcterms:modified xsi:type="dcterms:W3CDTF">2025-06-24T21:59:00Z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0x0101004DDAED76F72E91499DA2BAE144A033D8</vt:lpwstr>
  </property>
  <property fmtid="{D5CDD505-2E9C-101B-9397-08002B2CF9AE}" pid="3" name="Order">
    <vt:r8>1500</vt:r8>
  </property>
  <property fmtid="{D5CDD505-2E9C-101B-9397-08002B2CF9AE}" pid="4" name="MediaServiceImageTags">
    <vt:lpwstr/>
  </property>
</Properties>
</file>