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E7BC2" w14:textId="77777777" w:rsidR="002F58A7" w:rsidRDefault="00000000" w:rsidP="00EC0000">
      <w:pPr>
        <w:pStyle w:val="Body"/>
        <w:pBdr>
          <w:top w:val="single" w:sz="8" w:space="6" w:color="000000"/>
          <w:left w:val="single" w:sz="8" w:space="6" w:color="000000"/>
          <w:bottom w:val="single" w:sz="8" w:space="6" w:color="000000"/>
          <w:right w:val="single" w:sz="8" w:space="6" w:color="000000"/>
        </w:pBdr>
        <w:shd w:val="clear" w:color="auto" w:fill="525252"/>
        <w:tabs>
          <w:tab w:val="left" w:pos="720"/>
        </w:tabs>
        <w:rPr>
          <w:rFonts w:ascii="Times New Roman" w:eastAsia="Times New Roman" w:hAnsi="Times New Roman" w:cs="Times New Roman"/>
          <w:color w:val="FFFFFF"/>
        </w:rPr>
      </w:pPr>
      <w:r>
        <w:rPr>
          <w:color w:val="FFFFFF"/>
        </w:rPr>
        <w:t>NOTE TO USER</w:t>
      </w:r>
    </w:p>
    <w:p w14:paraId="23B5BE85" w14:textId="35C9767F" w:rsidR="000F541E" w:rsidRPr="000F541E" w:rsidRDefault="000F541E" w:rsidP="00EC0000">
      <w:pPr>
        <w:pStyle w:val="Body"/>
        <w:numPr>
          <w:ilvl w:val="0"/>
          <w:numId w:val="2"/>
        </w:numPr>
        <w:pBdr>
          <w:top w:val="single" w:sz="8" w:space="6" w:color="000000"/>
          <w:left w:val="single" w:sz="8" w:space="6" w:color="000000"/>
          <w:bottom w:val="single" w:sz="8" w:space="6" w:color="000000"/>
          <w:right w:val="single" w:sz="8" w:space="6" w:color="000000"/>
        </w:pBdr>
        <w:shd w:val="clear" w:color="auto" w:fill="525252"/>
        <w:rPr>
          <w:color w:val="FFFFFF"/>
        </w:rPr>
      </w:pPr>
      <w:r w:rsidRPr="000F541E">
        <w:rPr>
          <w:color w:val="FFFFFF"/>
        </w:rPr>
        <w:t xml:space="preserve">These documents are intended to provide general information and do not constitute legal advice. Additional facts, facts specific to a particular situation, or future developments may affect the subjects discussed in these documents. Seek the advice of the city/county attorney before acting or relying upon the following information.  </w:t>
      </w:r>
    </w:p>
    <w:p w14:paraId="0D415D45" w14:textId="2CFB9353" w:rsidR="004E5707" w:rsidRDefault="004E5707" w:rsidP="00EC0000">
      <w:pPr>
        <w:pStyle w:val="Body"/>
        <w:numPr>
          <w:ilvl w:val="0"/>
          <w:numId w:val="2"/>
        </w:numPr>
        <w:pBdr>
          <w:top w:val="single" w:sz="8" w:space="6" w:color="000000"/>
          <w:left w:val="single" w:sz="8" w:space="6" w:color="000000"/>
          <w:bottom w:val="single" w:sz="8" w:space="6" w:color="000000"/>
          <w:right w:val="single" w:sz="8" w:space="6" w:color="000000"/>
        </w:pBdr>
        <w:shd w:val="clear" w:color="auto" w:fill="525252"/>
        <w:rPr>
          <w:color w:val="FFFFFF"/>
        </w:rPr>
      </w:pPr>
      <w:r>
        <w:rPr>
          <w:color w:val="FFFFFF"/>
        </w:rPr>
        <w:t xml:space="preserve">This report broadly discusses how to make zoning regulations on the whole more objective, and takes a </w:t>
      </w:r>
      <w:r w:rsidR="005834F6">
        <w:rPr>
          <w:color w:val="FFFFFF"/>
        </w:rPr>
        <w:t>deeper dive on</w:t>
      </w:r>
      <w:r>
        <w:rPr>
          <w:color w:val="FFFFFF"/>
        </w:rPr>
        <w:t xml:space="preserve"> how to develop objective design standards, specifically. </w:t>
      </w:r>
    </w:p>
    <w:p w14:paraId="3553C4ED" w14:textId="1EC29C61" w:rsidR="00296DD7" w:rsidRDefault="00296DD7" w:rsidP="00EC0000">
      <w:pPr>
        <w:pStyle w:val="Body"/>
        <w:numPr>
          <w:ilvl w:val="0"/>
          <w:numId w:val="2"/>
        </w:numPr>
        <w:pBdr>
          <w:top w:val="single" w:sz="8" w:space="6" w:color="000000"/>
          <w:left w:val="single" w:sz="8" w:space="6" w:color="000000"/>
          <w:bottom w:val="single" w:sz="8" w:space="6" w:color="000000"/>
          <w:right w:val="single" w:sz="8" w:space="6" w:color="000000"/>
        </w:pBdr>
        <w:shd w:val="clear" w:color="auto" w:fill="525252"/>
        <w:rPr>
          <w:color w:val="FFFFFF"/>
        </w:rPr>
      </w:pPr>
      <w:r>
        <w:rPr>
          <w:color w:val="FFFFFF"/>
        </w:rPr>
        <w:t xml:space="preserve">This report was published in April 2024. </w:t>
      </w:r>
    </w:p>
    <w:p w14:paraId="11DC6492" w14:textId="0DA6C888" w:rsidR="002F58A7" w:rsidRDefault="00000000" w:rsidP="00EC0000">
      <w:pPr>
        <w:pStyle w:val="Body"/>
        <w:jc w:val="center"/>
        <w:rPr>
          <w:rFonts w:ascii="Times New Roman" w:eastAsia="Times New Roman" w:hAnsi="Times New Roman" w:cs="Times New Roman"/>
          <w:b/>
          <w:bCs/>
        </w:rPr>
      </w:pPr>
      <w:r>
        <w:rPr>
          <w:rFonts w:ascii="Times New Roman" w:eastAsia="Times New Roman" w:hAnsi="Times New Roman" w:cs="Times New Roman"/>
          <w:b/>
          <w:bCs/>
        </w:rPr>
        <w:br/>
      </w:r>
      <w:r>
        <w:rPr>
          <w:rFonts w:ascii="Times New Roman" w:hAnsi="Times New Roman"/>
          <w:b/>
          <w:bCs/>
        </w:rPr>
        <w:t xml:space="preserve">OBJECTIVE DESIGN STANDARDS </w:t>
      </w:r>
      <w:r>
        <w:rPr>
          <w:rFonts w:ascii="Times New Roman" w:hAnsi="Times New Roman"/>
          <w:b/>
          <w:bCs/>
        </w:rPr>
        <w:br/>
      </w:r>
    </w:p>
    <w:p w14:paraId="4F0AED29" w14:textId="77777777" w:rsidR="002F58A7" w:rsidRDefault="00000000" w:rsidP="00EC0000">
      <w:pPr>
        <w:pStyle w:val="Body"/>
        <w:jc w:val="center"/>
        <w:rPr>
          <w:rFonts w:ascii="Times New Roman" w:eastAsia="Times New Roman" w:hAnsi="Times New Roman" w:cs="Times New Roman"/>
          <w:b/>
          <w:bCs/>
        </w:rPr>
      </w:pPr>
      <w:r>
        <w:rPr>
          <w:rFonts w:ascii="Times New Roman" w:hAnsi="Times New Roman"/>
          <w:b/>
          <w:bCs/>
        </w:rPr>
        <w:t>STAFF REPORT TEMPLATE</w:t>
      </w:r>
    </w:p>
    <w:p w14:paraId="7139199B" w14:textId="77777777" w:rsidR="002F58A7" w:rsidRDefault="002F58A7" w:rsidP="00EC0000">
      <w:pPr>
        <w:pStyle w:val="Body"/>
        <w:jc w:val="center"/>
        <w:rPr>
          <w:rFonts w:ascii="Times New Roman" w:eastAsia="Times New Roman" w:hAnsi="Times New Roman" w:cs="Times New Roman"/>
          <w:b/>
          <w:bCs/>
        </w:rPr>
      </w:pPr>
    </w:p>
    <w:p w14:paraId="369835BD" w14:textId="77777777" w:rsidR="002F58A7" w:rsidRDefault="00000000" w:rsidP="00EC0000">
      <w:pPr>
        <w:pStyle w:val="Body"/>
        <w:rPr>
          <w:rFonts w:ascii="Times New Roman" w:eastAsia="Times New Roman" w:hAnsi="Times New Roman" w:cs="Times New Roman"/>
        </w:rPr>
      </w:pPr>
      <w:r>
        <w:rPr>
          <w:rFonts w:ascii="Times New Roman" w:hAnsi="Times New Roman"/>
          <w:b/>
          <w:bCs/>
        </w:rPr>
        <w:t>DATE:</w:t>
      </w:r>
    </w:p>
    <w:p w14:paraId="085252D4" w14:textId="77777777" w:rsidR="002F58A7" w:rsidRDefault="00000000" w:rsidP="00EC0000">
      <w:pPr>
        <w:pStyle w:val="Body"/>
        <w:rPr>
          <w:rFonts w:ascii="Times New Roman" w:eastAsia="Times New Roman" w:hAnsi="Times New Roman" w:cs="Times New Roman"/>
        </w:rPr>
      </w:pPr>
      <w:r>
        <w:rPr>
          <w:rFonts w:ascii="Times New Roman" w:hAnsi="Times New Roman"/>
          <w:b/>
          <w:bCs/>
          <w:lang w:val="da-DK"/>
        </w:rPr>
        <w:t>TO:</w:t>
      </w:r>
    </w:p>
    <w:p w14:paraId="59404736" w14:textId="77777777" w:rsidR="002F58A7" w:rsidRDefault="00000000" w:rsidP="00EC0000">
      <w:pPr>
        <w:pStyle w:val="Body"/>
        <w:rPr>
          <w:rFonts w:ascii="Times New Roman" w:eastAsia="Times New Roman" w:hAnsi="Times New Roman" w:cs="Times New Roman"/>
        </w:rPr>
      </w:pPr>
      <w:r>
        <w:rPr>
          <w:rFonts w:ascii="Times New Roman" w:hAnsi="Times New Roman"/>
          <w:b/>
          <w:bCs/>
        </w:rPr>
        <w:t>FROM:</w:t>
      </w:r>
    </w:p>
    <w:p w14:paraId="11F8C54D" w14:textId="77777777" w:rsidR="002F58A7" w:rsidRDefault="00000000" w:rsidP="00EC0000">
      <w:pPr>
        <w:pStyle w:val="Body"/>
        <w:rPr>
          <w:rFonts w:ascii="Times New Roman" w:eastAsia="Times New Roman" w:hAnsi="Times New Roman" w:cs="Times New Roman"/>
        </w:rPr>
      </w:pPr>
      <w:r>
        <w:rPr>
          <w:rFonts w:ascii="Times New Roman" w:hAnsi="Times New Roman"/>
          <w:b/>
          <w:bCs/>
        </w:rPr>
        <w:t>SUBJECT:</w:t>
      </w:r>
    </w:p>
    <w:p w14:paraId="0FB5D6EB" w14:textId="77777777" w:rsidR="002F58A7" w:rsidRDefault="002F58A7" w:rsidP="00EC0000">
      <w:pPr>
        <w:pStyle w:val="Body"/>
        <w:rPr>
          <w:rFonts w:ascii="Times New Roman" w:eastAsia="Times New Roman" w:hAnsi="Times New Roman" w:cs="Times New Roman"/>
        </w:rPr>
      </w:pPr>
    </w:p>
    <w:p w14:paraId="4E02B4D6"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RECOMMENDED ACTION</w:t>
      </w:r>
    </w:p>
    <w:p w14:paraId="58E049CF" w14:textId="77777777" w:rsidR="002F58A7" w:rsidRDefault="002F58A7" w:rsidP="00EC0000">
      <w:pPr>
        <w:pStyle w:val="Body"/>
        <w:rPr>
          <w:rFonts w:ascii="Times New Roman" w:eastAsia="Times New Roman" w:hAnsi="Times New Roman" w:cs="Times New Roman"/>
          <w:b/>
          <w:bCs/>
        </w:rPr>
      </w:pPr>
    </w:p>
    <w:p w14:paraId="2F7C82C3" w14:textId="77777777" w:rsidR="002F58A7" w:rsidRDefault="00000000" w:rsidP="00EC0000">
      <w:pPr>
        <w:pStyle w:val="Body"/>
        <w:rPr>
          <w:rFonts w:ascii="Times New Roman" w:eastAsia="Times New Roman" w:hAnsi="Times New Roman" w:cs="Times New Roman"/>
        </w:rPr>
      </w:pPr>
      <w:r>
        <w:rPr>
          <w:rFonts w:ascii="Times New Roman" w:hAnsi="Times New Roman"/>
          <w:shd w:val="clear" w:color="auto" w:fill="C0C0C0"/>
        </w:rPr>
        <w:t>[insert jurisdiction-specific language here]</w:t>
      </w:r>
    </w:p>
    <w:p w14:paraId="56B13048" w14:textId="77777777" w:rsidR="002F58A7" w:rsidRDefault="002F58A7" w:rsidP="00EC0000">
      <w:pPr>
        <w:pStyle w:val="Body"/>
        <w:rPr>
          <w:rFonts w:ascii="Times New Roman" w:eastAsia="Times New Roman" w:hAnsi="Times New Roman" w:cs="Times New Roman"/>
        </w:rPr>
      </w:pPr>
    </w:p>
    <w:p w14:paraId="669611E5"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EXECUTIVE SUMMARY</w:t>
      </w:r>
    </w:p>
    <w:p w14:paraId="263972EE" w14:textId="77777777" w:rsidR="002F58A7" w:rsidRDefault="002F58A7" w:rsidP="00EC0000">
      <w:pPr>
        <w:pStyle w:val="Body"/>
        <w:rPr>
          <w:rFonts w:ascii="Times New Roman" w:eastAsia="Times New Roman" w:hAnsi="Times New Roman" w:cs="Times New Roman"/>
        </w:rPr>
      </w:pPr>
    </w:p>
    <w:p w14:paraId="04FAEE27" w14:textId="77777777" w:rsidR="002F58A7" w:rsidRDefault="00000000" w:rsidP="00EC0000">
      <w:pPr>
        <w:pStyle w:val="Body"/>
        <w:rPr>
          <w:rFonts w:ascii="Times New Roman" w:eastAsia="Times New Roman" w:hAnsi="Times New Roman" w:cs="Times New Roman"/>
        </w:rPr>
      </w:pPr>
      <w:r>
        <w:rPr>
          <w:rFonts w:ascii="Times New Roman" w:hAnsi="Times New Roman"/>
        </w:rPr>
        <w:t xml:space="preserve">The California State Legislature has made several changes to state housing laws in recent years to streamline housing approvals. These steps include limiting the subjective discretion jurisdictions have to deny or modify residential and residential mixed-use projects. Instead, in many contexts, jurisdictions must now rely solely on objective standards. The subjective design guidelines that </w:t>
      </w:r>
      <w:r>
        <w:rPr>
          <w:rFonts w:ascii="Times New Roman" w:hAnsi="Times New Roman"/>
          <w:shd w:val="clear" w:color="auto" w:fill="C0C0C0"/>
        </w:rPr>
        <w:t>[Jurisdiction Name]</w:t>
      </w:r>
      <w:r>
        <w:rPr>
          <w:rFonts w:ascii="Times New Roman" w:hAnsi="Times New Roman"/>
        </w:rPr>
        <w:t xml:space="preserve"> has relied on for project review in the past are no longer applicable to housing development proposals undergoing streamlined review. </w:t>
      </w:r>
    </w:p>
    <w:p w14:paraId="298F11E8" w14:textId="77777777" w:rsidR="002F58A7" w:rsidRDefault="002F58A7" w:rsidP="00EC0000">
      <w:pPr>
        <w:pStyle w:val="Body"/>
        <w:rPr>
          <w:rFonts w:ascii="Times New Roman" w:eastAsia="Times New Roman" w:hAnsi="Times New Roman" w:cs="Times New Roman"/>
        </w:rPr>
      </w:pPr>
    </w:p>
    <w:p w14:paraId="70AEAC8C" w14:textId="77777777" w:rsidR="002F58A7" w:rsidRDefault="00000000" w:rsidP="00EC0000">
      <w:pPr>
        <w:pStyle w:val="Body"/>
        <w:rPr>
          <w:rFonts w:ascii="Times New Roman" w:eastAsia="Times New Roman" w:hAnsi="Times New Roman" w:cs="Times New Roman"/>
        </w:rPr>
      </w:pPr>
      <w:r>
        <w:rPr>
          <w:rFonts w:ascii="Times New Roman" w:hAnsi="Times New Roman"/>
        </w:rPr>
        <w:t xml:space="preserve">The transition from subjective regulations to objective standards represents an opportunity to support housing production goals while maintaining </w:t>
      </w:r>
      <w:r>
        <w:rPr>
          <w:rFonts w:ascii="Times New Roman" w:hAnsi="Times New Roman"/>
          <w:shd w:val="clear" w:color="auto" w:fill="C0C0C0"/>
        </w:rPr>
        <w:t>[Jurisdiction Name]</w:t>
      </w:r>
      <w:r>
        <w:rPr>
          <w:rFonts w:ascii="Times New Roman" w:hAnsi="Times New Roman"/>
        </w:rPr>
        <w:t>’</w:t>
      </w:r>
      <w:r>
        <w:rPr>
          <w:rFonts w:ascii="Times New Roman" w:hAnsi="Times New Roman"/>
          <w:lang w:val="pt-PT"/>
        </w:rPr>
        <w:t>s design priorities.</w:t>
      </w:r>
    </w:p>
    <w:p w14:paraId="41F027D3" w14:textId="757C621E" w:rsidR="002F58A7" w:rsidRDefault="00000000" w:rsidP="00EC0000">
      <w:pPr>
        <w:pStyle w:val="Body"/>
        <w:rPr>
          <w:rFonts w:ascii="Times New Roman" w:eastAsia="Times New Roman" w:hAnsi="Times New Roman" w:cs="Times New Roman"/>
        </w:rPr>
      </w:pPr>
      <w:r>
        <w:rPr>
          <w:rFonts w:ascii="Times New Roman" w:hAnsi="Times New Roman"/>
        </w:rPr>
        <w:t>Objective design standards can help facilitate the development of new housing by providing clarity and consistency about community expectations for new development, while also helping to create good buildings and places that contribute to our community’s quality of life.</w:t>
      </w:r>
      <w:r w:rsidR="004E5707">
        <w:rPr>
          <w:rFonts w:ascii="Times New Roman" w:hAnsi="Times New Roman"/>
        </w:rPr>
        <w:t xml:space="preserve"> </w:t>
      </w:r>
    </w:p>
    <w:p w14:paraId="566F79F6" w14:textId="77777777" w:rsidR="005834F6" w:rsidRDefault="005834F6" w:rsidP="00EC0000">
      <w:pPr>
        <w:pStyle w:val="Body"/>
        <w:rPr>
          <w:rFonts w:ascii="Times New Roman" w:hAnsi="Times New Roman"/>
        </w:rPr>
      </w:pPr>
    </w:p>
    <w:p w14:paraId="3534988E" w14:textId="200C79B3" w:rsidR="002F58A7" w:rsidRDefault="004E5707" w:rsidP="00EC0000">
      <w:pPr>
        <w:pStyle w:val="Body"/>
        <w:rPr>
          <w:rFonts w:ascii="Times New Roman" w:eastAsia="Times New Roman" w:hAnsi="Times New Roman" w:cs="Times New Roman"/>
        </w:rPr>
      </w:pPr>
      <w:r>
        <w:rPr>
          <w:rFonts w:ascii="Times New Roman" w:hAnsi="Times New Roman"/>
        </w:rPr>
        <w:t xml:space="preserve">This report takes a broad look at how </w:t>
      </w:r>
      <w:r>
        <w:rPr>
          <w:rFonts w:ascii="Times New Roman" w:hAnsi="Times New Roman"/>
          <w:shd w:val="clear" w:color="auto" w:fill="C0C0C0"/>
        </w:rPr>
        <w:t>[Jurisdiction Name]</w:t>
      </w:r>
      <w:r>
        <w:rPr>
          <w:rFonts w:ascii="Times New Roman" w:hAnsi="Times New Roman"/>
        </w:rPr>
        <w:t xml:space="preserve"> can make its zoning regulations objective, so that the regulations can continue to be applied to projects undergoing streamlined review </w:t>
      </w:r>
      <w:r w:rsidR="00BA689D">
        <w:rPr>
          <w:rFonts w:ascii="Times New Roman" w:hAnsi="Times New Roman"/>
        </w:rPr>
        <w:t>It also</w:t>
      </w:r>
      <w:r>
        <w:rPr>
          <w:rFonts w:ascii="Times New Roman" w:hAnsi="Times New Roman"/>
        </w:rPr>
        <w:t xml:space="preserve"> takes a focused look </w:t>
      </w:r>
      <w:r w:rsidR="009A39B3">
        <w:rPr>
          <w:rFonts w:ascii="Times New Roman" w:hAnsi="Times New Roman"/>
        </w:rPr>
        <w:t xml:space="preserve">at </w:t>
      </w:r>
      <w:r>
        <w:rPr>
          <w:rFonts w:ascii="Times New Roman" w:hAnsi="Times New Roman"/>
        </w:rPr>
        <w:t xml:space="preserve">how to develop objective design standards, specifically. This report analyzes </w:t>
      </w:r>
      <w:r>
        <w:rPr>
          <w:rFonts w:ascii="Times New Roman" w:hAnsi="Times New Roman"/>
          <w:shd w:val="clear" w:color="auto" w:fill="C0C0C0"/>
        </w:rPr>
        <w:t>[Jurisdiction Name]</w:t>
      </w:r>
      <w:r>
        <w:rPr>
          <w:rFonts w:ascii="Times New Roman" w:hAnsi="Times New Roman"/>
        </w:rPr>
        <w:t>’s planning regulations to identify which regulations are currently objective and which are subjective and in need of change; describes best practices for preparing objective design standards, specifically, including relevant topics and approaches; considers financial feasibility implications of adopting certain standards; and describes public outreach efforts and environmental review</w:t>
      </w:r>
      <w:r w:rsidR="00BA689D">
        <w:rPr>
          <w:rFonts w:ascii="Times New Roman" w:hAnsi="Times New Roman"/>
        </w:rPr>
        <w:t xml:space="preserve">. </w:t>
      </w:r>
    </w:p>
    <w:p w14:paraId="3DCD3D54" w14:textId="77777777" w:rsidR="002F58A7" w:rsidRDefault="002F58A7" w:rsidP="00EC0000">
      <w:pPr>
        <w:pStyle w:val="Body"/>
        <w:rPr>
          <w:rFonts w:ascii="Times New Roman" w:eastAsia="Times New Roman" w:hAnsi="Times New Roman" w:cs="Times New Roman"/>
        </w:rPr>
      </w:pPr>
    </w:p>
    <w:p w14:paraId="05B68CC5"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 xml:space="preserve">BACKGROUND </w:t>
      </w:r>
    </w:p>
    <w:p w14:paraId="47431F75" w14:textId="77777777" w:rsidR="002F58A7" w:rsidRDefault="002F58A7" w:rsidP="00EC0000">
      <w:pPr>
        <w:pStyle w:val="Body"/>
        <w:rPr>
          <w:rFonts w:ascii="Times New Roman" w:eastAsia="Times New Roman" w:hAnsi="Times New Roman" w:cs="Times New Roman"/>
        </w:rPr>
      </w:pPr>
    </w:p>
    <w:p w14:paraId="751AA6B0"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 xml:space="preserve">What are Objective Design </w:t>
      </w:r>
      <w:r>
        <w:rPr>
          <w:rFonts w:ascii="Times New Roman" w:hAnsi="Times New Roman"/>
          <w:b/>
          <w:bCs/>
          <w:lang w:val="zh-TW" w:eastAsia="zh-TW"/>
        </w:rPr>
        <w:t xml:space="preserve">Standards? </w:t>
      </w:r>
    </w:p>
    <w:p w14:paraId="1A79B051" w14:textId="77777777" w:rsidR="002F58A7" w:rsidRDefault="002F58A7" w:rsidP="00EC0000">
      <w:pPr>
        <w:pStyle w:val="Body"/>
        <w:rPr>
          <w:rFonts w:ascii="Times New Roman" w:eastAsia="Times New Roman" w:hAnsi="Times New Roman" w:cs="Times New Roman"/>
        </w:rPr>
      </w:pPr>
    </w:p>
    <w:p w14:paraId="496DC900" w14:textId="77777777" w:rsidR="002F58A7" w:rsidRDefault="00000000" w:rsidP="00EC0000">
      <w:pPr>
        <w:pStyle w:val="Body"/>
        <w:rPr>
          <w:rFonts w:ascii="Times New Roman" w:eastAsia="Times New Roman" w:hAnsi="Times New Roman" w:cs="Times New Roman"/>
        </w:rPr>
      </w:pPr>
      <w:r>
        <w:rPr>
          <w:rFonts w:ascii="Times New Roman" w:hAnsi="Times New Roman"/>
        </w:rPr>
        <w:t xml:space="preserve">The terms “objective design review standards” are narrowly defined by the State to mean “a design standard that involves no personal or subjective judgment by a public official and is uniformly verifiable by reference to an external and uniform benchmark or criterion available and knowable by both the development applicant or proponent and the public official before submittal of an application.” (Gov. Code 66330(a)(7)). </w:t>
      </w:r>
    </w:p>
    <w:p w14:paraId="13C4D9F9" w14:textId="77777777" w:rsidR="002F58A7" w:rsidRDefault="00000000" w:rsidP="00EC0000">
      <w:pPr>
        <w:pStyle w:val="Body"/>
        <w:numPr>
          <w:ilvl w:val="0"/>
          <w:numId w:val="4"/>
        </w:numPr>
      </w:pPr>
      <w:r>
        <w:rPr>
          <w:rFonts w:ascii="Times New Roman" w:hAnsi="Times New Roman"/>
        </w:rPr>
        <w:t>Examples of an objective standard: The front setback shall be a minimum of 10 feet.</w:t>
      </w:r>
    </w:p>
    <w:p w14:paraId="01EAD830" w14:textId="77777777" w:rsidR="002F58A7" w:rsidRDefault="00000000" w:rsidP="00EC0000">
      <w:pPr>
        <w:pStyle w:val="Body"/>
        <w:numPr>
          <w:ilvl w:val="0"/>
          <w:numId w:val="4"/>
        </w:numPr>
      </w:pPr>
      <w:r>
        <w:rPr>
          <w:rFonts w:ascii="Times New Roman" w:hAnsi="Times New Roman"/>
        </w:rPr>
        <w:t>Example of a subjective standard: The building’s front setback shall be consistent with other buildings in the area.</w:t>
      </w:r>
    </w:p>
    <w:p w14:paraId="29745BCB" w14:textId="77777777" w:rsidR="002F58A7" w:rsidRDefault="002F58A7" w:rsidP="00EC0000">
      <w:pPr>
        <w:pStyle w:val="Body"/>
        <w:rPr>
          <w:rFonts w:ascii="Times New Roman" w:eastAsia="Times New Roman" w:hAnsi="Times New Roman" w:cs="Times New Roman"/>
        </w:rPr>
      </w:pPr>
    </w:p>
    <w:p w14:paraId="6FF2309F"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State Law Context</w:t>
      </w:r>
    </w:p>
    <w:p w14:paraId="3940253F" w14:textId="77777777" w:rsidR="002F58A7" w:rsidRDefault="002F58A7" w:rsidP="00EC0000">
      <w:pPr>
        <w:pStyle w:val="Body"/>
        <w:rPr>
          <w:rFonts w:ascii="Times New Roman" w:eastAsia="Times New Roman" w:hAnsi="Times New Roman" w:cs="Times New Roman"/>
        </w:rPr>
      </w:pPr>
    </w:p>
    <w:p w14:paraId="6CE1A180" w14:textId="77777777" w:rsidR="002F58A7" w:rsidRDefault="00000000" w:rsidP="00EC0000">
      <w:pPr>
        <w:pStyle w:val="Body"/>
        <w:rPr>
          <w:rFonts w:ascii="Times New Roman" w:eastAsia="Times New Roman" w:hAnsi="Times New Roman" w:cs="Times New Roman"/>
        </w:rPr>
      </w:pPr>
      <w:r>
        <w:rPr>
          <w:rFonts w:ascii="Times New Roman" w:hAnsi="Times New Roman"/>
        </w:rPr>
        <w:t>The California State Legislature has made several changes to state housing laws in recent years to streamline housing approvals. A few of these laws are briefly described below:</w:t>
      </w:r>
    </w:p>
    <w:p w14:paraId="26FD8D82" w14:textId="77777777" w:rsidR="002F58A7" w:rsidRDefault="002F58A7" w:rsidP="00EC0000">
      <w:pPr>
        <w:pStyle w:val="Body"/>
        <w:rPr>
          <w:rFonts w:ascii="Times New Roman" w:eastAsia="Times New Roman" w:hAnsi="Times New Roman" w:cs="Times New Roman"/>
        </w:rPr>
      </w:pPr>
    </w:p>
    <w:p w14:paraId="682A7E2E" w14:textId="77777777" w:rsidR="002F58A7" w:rsidRDefault="00000000" w:rsidP="00EC0000">
      <w:pPr>
        <w:pStyle w:val="Body"/>
        <w:rPr>
          <w:rFonts w:ascii="Times New Roman" w:eastAsia="Times New Roman" w:hAnsi="Times New Roman" w:cs="Times New Roman"/>
          <w:b/>
          <w:bCs/>
          <w:i/>
          <w:iCs/>
        </w:rPr>
      </w:pPr>
      <w:r>
        <w:rPr>
          <w:rFonts w:ascii="Times New Roman" w:hAnsi="Times New Roman"/>
          <w:b/>
          <w:bCs/>
          <w:i/>
          <w:iCs/>
        </w:rPr>
        <w:t>Housing Accountability Act</w:t>
      </w:r>
    </w:p>
    <w:p w14:paraId="41378F44" w14:textId="77777777" w:rsidR="002F58A7" w:rsidRDefault="00000000" w:rsidP="00EC0000">
      <w:pPr>
        <w:pStyle w:val="Body"/>
        <w:rPr>
          <w:rFonts w:ascii="Times New Roman" w:eastAsia="Times New Roman" w:hAnsi="Times New Roman" w:cs="Times New Roman"/>
        </w:rPr>
      </w:pPr>
      <w:r>
        <w:rPr>
          <w:rFonts w:ascii="Times New Roman" w:hAnsi="Times New Roman"/>
        </w:rPr>
        <w:t>Originally passed in 1982, the Housing Accountability Act (HAA) (Government Code Section</w:t>
      </w:r>
    </w:p>
    <w:p w14:paraId="0B7FF468" w14:textId="77777777" w:rsidR="002F58A7" w:rsidRDefault="00000000" w:rsidP="00EC0000">
      <w:pPr>
        <w:pStyle w:val="Body"/>
        <w:rPr>
          <w:rFonts w:ascii="Times New Roman" w:eastAsia="Times New Roman" w:hAnsi="Times New Roman" w:cs="Times New Roman"/>
        </w:rPr>
      </w:pPr>
      <w:r>
        <w:rPr>
          <w:rFonts w:ascii="Times New Roman" w:hAnsi="Times New Roman"/>
        </w:rPr>
        <w:t>65589.5) acknowledges the lack of housing as a critical problem in California. The HAA applies</w:t>
      </w:r>
    </w:p>
    <w:p w14:paraId="46CFDEF2" w14:textId="77777777" w:rsidR="002F58A7" w:rsidRDefault="00000000" w:rsidP="00EC0000">
      <w:pPr>
        <w:pStyle w:val="Body"/>
        <w:rPr>
          <w:rFonts w:ascii="Times New Roman" w:eastAsia="Times New Roman" w:hAnsi="Times New Roman" w:cs="Times New Roman"/>
        </w:rPr>
      </w:pPr>
      <w:r>
        <w:rPr>
          <w:rFonts w:ascii="Times New Roman" w:hAnsi="Times New Roman"/>
        </w:rPr>
        <w:t>to all "housing development projects" which the State defines as: “residential units; mixed-use</w:t>
      </w:r>
    </w:p>
    <w:p w14:paraId="2FA8C75A" w14:textId="77777777" w:rsidR="002F58A7" w:rsidRDefault="00000000" w:rsidP="00EC0000">
      <w:pPr>
        <w:pStyle w:val="Body"/>
        <w:rPr>
          <w:rFonts w:ascii="Times New Roman" w:eastAsia="Times New Roman" w:hAnsi="Times New Roman" w:cs="Times New Roman"/>
        </w:rPr>
      </w:pPr>
      <w:r>
        <w:rPr>
          <w:rFonts w:ascii="Times New Roman" w:hAnsi="Times New Roman"/>
        </w:rPr>
        <w:t>developments (with at least two-thirds of the square footage designated for residential use),</w:t>
      </w:r>
    </w:p>
    <w:p w14:paraId="78F48E93" w14:textId="77777777" w:rsidR="002F58A7" w:rsidRDefault="00000000" w:rsidP="00EC0000">
      <w:pPr>
        <w:pStyle w:val="Body"/>
        <w:rPr>
          <w:rFonts w:ascii="Times New Roman" w:eastAsia="Times New Roman" w:hAnsi="Times New Roman" w:cs="Times New Roman"/>
        </w:rPr>
      </w:pPr>
      <w:r>
        <w:rPr>
          <w:rFonts w:ascii="Times New Roman" w:hAnsi="Times New Roman"/>
        </w:rPr>
        <w:t xml:space="preserve">and transitional or supportive housing.” </w:t>
      </w:r>
    </w:p>
    <w:p w14:paraId="590E9729" w14:textId="77777777" w:rsidR="002F58A7" w:rsidRDefault="002F58A7" w:rsidP="00EC0000">
      <w:pPr>
        <w:pStyle w:val="Body"/>
        <w:rPr>
          <w:rFonts w:ascii="Times New Roman" w:eastAsia="Times New Roman" w:hAnsi="Times New Roman" w:cs="Times New Roman"/>
        </w:rPr>
      </w:pPr>
    </w:p>
    <w:p w14:paraId="1FC9E02E" w14:textId="77777777" w:rsidR="002F58A7" w:rsidRDefault="00000000" w:rsidP="00EC0000">
      <w:pPr>
        <w:pStyle w:val="Body"/>
        <w:rPr>
          <w:rFonts w:ascii="Times New Roman" w:eastAsia="Times New Roman" w:hAnsi="Times New Roman" w:cs="Times New Roman"/>
        </w:rPr>
      </w:pPr>
      <w:r>
        <w:rPr>
          <w:rFonts w:ascii="Times New Roman" w:hAnsi="Times New Roman"/>
        </w:rPr>
        <w:t>The HAA states that a city cannot disapprove a project, reduce its density, or otherwise make a</w:t>
      </w:r>
    </w:p>
    <w:p w14:paraId="1EAA07D9" w14:textId="1CD0A95A" w:rsidR="002F58A7" w:rsidRDefault="00000000" w:rsidP="00EC0000">
      <w:pPr>
        <w:pStyle w:val="Body"/>
        <w:rPr>
          <w:rFonts w:ascii="Times New Roman" w:eastAsia="Times New Roman" w:hAnsi="Times New Roman" w:cs="Times New Roman"/>
        </w:rPr>
      </w:pPr>
      <w:r>
        <w:rPr>
          <w:rFonts w:ascii="Times New Roman" w:hAnsi="Times New Roman"/>
        </w:rPr>
        <w:t>project infeasible when the project complies with objective standards. The only exception to</w:t>
      </w:r>
    </w:p>
    <w:p w14:paraId="7BFBE014" w14:textId="77777777" w:rsidR="002F58A7" w:rsidRDefault="00000000" w:rsidP="00EC0000">
      <w:pPr>
        <w:pStyle w:val="Body"/>
        <w:rPr>
          <w:rFonts w:ascii="Times New Roman" w:eastAsia="Times New Roman" w:hAnsi="Times New Roman" w:cs="Times New Roman"/>
        </w:rPr>
      </w:pPr>
      <w:r>
        <w:rPr>
          <w:rFonts w:ascii="Times New Roman" w:hAnsi="Times New Roman"/>
        </w:rPr>
        <w:t>this is when a project would have a specific adverse impact, which is narrowly defined.</w:t>
      </w:r>
    </w:p>
    <w:p w14:paraId="08D04DB7" w14:textId="77777777" w:rsidR="002F58A7" w:rsidRDefault="00000000" w:rsidP="00EC0000">
      <w:pPr>
        <w:pStyle w:val="Body"/>
        <w:rPr>
          <w:rFonts w:ascii="Times New Roman" w:eastAsia="Times New Roman" w:hAnsi="Times New Roman" w:cs="Times New Roman"/>
        </w:rPr>
      </w:pPr>
      <w:r>
        <w:rPr>
          <w:rFonts w:ascii="Times New Roman" w:hAnsi="Times New Roman"/>
        </w:rPr>
        <w:t>Modifications to the HAA in 2018 made it easier for projects to assert compliance with</w:t>
      </w:r>
    </w:p>
    <w:p w14:paraId="3A420EEB" w14:textId="77777777" w:rsidR="002F58A7" w:rsidRDefault="00000000" w:rsidP="00EC0000">
      <w:pPr>
        <w:pStyle w:val="Body"/>
        <w:rPr>
          <w:rFonts w:ascii="Times New Roman" w:eastAsia="Times New Roman" w:hAnsi="Times New Roman" w:cs="Times New Roman"/>
        </w:rPr>
      </w:pPr>
      <w:r>
        <w:rPr>
          <w:rFonts w:ascii="Times New Roman" w:hAnsi="Times New Roman"/>
        </w:rPr>
        <w:t>objective standards: a project must be considered consistent with objective standards if "there</w:t>
      </w:r>
    </w:p>
    <w:p w14:paraId="13431202" w14:textId="77777777" w:rsidR="002F58A7" w:rsidRDefault="00000000" w:rsidP="00EC0000">
      <w:pPr>
        <w:pStyle w:val="Body"/>
        <w:rPr>
          <w:rFonts w:ascii="Times New Roman" w:eastAsia="Times New Roman" w:hAnsi="Times New Roman" w:cs="Times New Roman"/>
        </w:rPr>
      </w:pPr>
      <w:r>
        <w:rPr>
          <w:rFonts w:ascii="Times New Roman" w:hAnsi="Times New Roman"/>
        </w:rPr>
        <w:t>is substantial evidence that would allow a reasonable person to conclude" that a project</w:t>
      </w:r>
    </w:p>
    <w:p w14:paraId="0F1698E4" w14:textId="77777777" w:rsidR="002F58A7" w:rsidRDefault="00000000" w:rsidP="00EC0000">
      <w:pPr>
        <w:pStyle w:val="Body"/>
        <w:rPr>
          <w:rFonts w:ascii="Times New Roman" w:eastAsia="Times New Roman" w:hAnsi="Times New Roman" w:cs="Times New Roman"/>
        </w:rPr>
      </w:pPr>
      <w:r>
        <w:rPr>
          <w:rFonts w:ascii="Times New Roman" w:hAnsi="Times New Roman"/>
          <w:lang w:val="pt-PT"/>
        </w:rPr>
        <w:t>complies.</w:t>
      </w:r>
    </w:p>
    <w:p w14:paraId="70F42536" w14:textId="77777777" w:rsidR="002F58A7" w:rsidRDefault="002F58A7" w:rsidP="00EC0000">
      <w:pPr>
        <w:pStyle w:val="Body"/>
        <w:rPr>
          <w:rFonts w:ascii="Times New Roman" w:eastAsia="Times New Roman" w:hAnsi="Times New Roman" w:cs="Times New Roman"/>
        </w:rPr>
      </w:pPr>
    </w:p>
    <w:p w14:paraId="61448645" w14:textId="77777777" w:rsidR="002F58A7" w:rsidRDefault="00000000" w:rsidP="00EC0000">
      <w:pPr>
        <w:pStyle w:val="Body"/>
        <w:rPr>
          <w:rFonts w:ascii="Times New Roman" w:eastAsia="Times New Roman" w:hAnsi="Times New Roman" w:cs="Times New Roman"/>
          <w:b/>
          <w:bCs/>
          <w:i/>
          <w:iCs/>
        </w:rPr>
      </w:pPr>
      <w:r>
        <w:rPr>
          <w:rFonts w:ascii="Times New Roman" w:hAnsi="Times New Roman"/>
          <w:b/>
          <w:bCs/>
          <w:i/>
          <w:iCs/>
          <w:lang w:val="de-DE"/>
        </w:rPr>
        <w:t>SB35 Project Streamlining</w:t>
      </w:r>
    </w:p>
    <w:p w14:paraId="1CDFF66F" w14:textId="77777777" w:rsidR="002F58A7" w:rsidRDefault="00000000" w:rsidP="00EC0000">
      <w:pPr>
        <w:pStyle w:val="Body"/>
        <w:rPr>
          <w:rFonts w:ascii="Times New Roman" w:eastAsia="Times New Roman" w:hAnsi="Times New Roman" w:cs="Times New Roman"/>
        </w:rPr>
      </w:pPr>
      <w:r>
        <w:rPr>
          <w:rFonts w:ascii="Times New Roman" w:hAnsi="Times New Roman"/>
        </w:rPr>
        <w:t>Under SB35 (Government Code Section 65913.4), projects that meet physical, environmental and affordability thresholds are eligible for ministerial project review. Projects must also be consistent with objective standards. Under SB35, the review process is limited to 90 to</w:t>
      </w:r>
    </w:p>
    <w:p w14:paraId="56FDD358" w14:textId="77777777" w:rsidR="002F58A7" w:rsidRDefault="00000000" w:rsidP="00EC0000">
      <w:pPr>
        <w:pStyle w:val="Body"/>
        <w:rPr>
          <w:rFonts w:ascii="Times New Roman" w:eastAsia="Times New Roman" w:hAnsi="Times New Roman" w:cs="Times New Roman"/>
        </w:rPr>
      </w:pPr>
      <w:r>
        <w:rPr>
          <w:rFonts w:ascii="Times New Roman" w:hAnsi="Times New Roman"/>
        </w:rPr>
        <w:t>180 days depending on the project size. No CEQA review is required and no discretionary</w:t>
      </w:r>
    </w:p>
    <w:p w14:paraId="62A1BAB2" w14:textId="77777777" w:rsidR="002F58A7" w:rsidRDefault="00000000" w:rsidP="00EC0000">
      <w:pPr>
        <w:pStyle w:val="Body"/>
        <w:rPr>
          <w:rFonts w:ascii="Times New Roman" w:eastAsia="Times New Roman" w:hAnsi="Times New Roman" w:cs="Times New Roman"/>
        </w:rPr>
      </w:pPr>
      <w:r>
        <w:rPr>
          <w:rFonts w:ascii="Times New Roman" w:hAnsi="Times New Roman"/>
        </w:rPr>
        <w:t>review is permitted.</w:t>
      </w:r>
    </w:p>
    <w:p w14:paraId="718435CC" w14:textId="77777777" w:rsidR="002F58A7" w:rsidRDefault="002F58A7" w:rsidP="00EC0000">
      <w:pPr>
        <w:pStyle w:val="Body"/>
        <w:rPr>
          <w:rFonts w:ascii="Times New Roman" w:eastAsia="Times New Roman" w:hAnsi="Times New Roman" w:cs="Times New Roman"/>
        </w:rPr>
      </w:pPr>
    </w:p>
    <w:p w14:paraId="7810CBF7" w14:textId="77777777" w:rsidR="002F58A7" w:rsidRDefault="00000000" w:rsidP="00EC0000">
      <w:pPr>
        <w:pStyle w:val="Body"/>
        <w:rPr>
          <w:rFonts w:ascii="Times New Roman" w:eastAsia="Times New Roman" w:hAnsi="Times New Roman" w:cs="Times New Roman"/>
          <w:b/>
          <w:bCs/>
          <w:i/>
          <w:iCs/>
        </w:rPr>
      </w:pPr>
      <w:r>
        <w:rPr>
          <w:rFonts w:ascii="Times New Roman" w:hAnsi="Times New Roman"/>
          <w:b/>
          <w:bCs/>
          <w:i/>
          <w:iCs/>
        </w:rPr>
        <w:t xml:space="preserve">SB330 Housing Crisis Act </w:t>
      </w:r>
    </w:p>
    <w:p w14:paraId="376DC27C" w14:textId="77777777" w:rsidR="002F58A7" w:rsidRDefault="00000000" w:rsidP="00EC0000">
      <w:pPr>
        <w:pStyle w:val="Body"/>
        <w:rPr>
          <w:rFonts w:ascii="Times New Roman" w:eastAsia="Times New Roman" w:hAnsi="Times New Roman" w:cs="Times New Roman"/>
        </w:rPr>
      </w:pPr>
      <w:r>
        <w:rPr>
          <w:rFonts w:ascii="Times New Roman" w:hAnsi="Times New Roman"/>
        </w:rPr>
        <w:t>Effective January 1, 2020, SB330 made several changes to existing state housing law, including</w:t>
      </w:r>
    </w:p>
    <w:p w14:paraId="08CADD5A" w14:textId="77777777" w:rsidR="002F58A7" w:rsidRDefault="00000000" w:rsidP="00EC0000">
      <w:pPr>
        <w:pStyle w:val="Body"/>
        <w:rPr>
          <w:rFonts w:ascii="Times New Roman" w:eastAsia="Times New Roman" w:hAnsi="Times New Roman" w:cs="Times New Roman"/>
        </w:rPr>
      </w:pPr>
      <w:r>
        <w:rPr>
          <w:rFonts w:ascii="Times New Roman" w:hAnsi="Times New Roman"/>
        </w:rPr>
        <w:t>the HAA and Permit Streamlining Act. For the purposes of the work described herein, the</w:t>
      </w:r>
    </w:p>
    <w:p w14:paraId="699A720D" w14:textId="77777777" w:rsidR="002F58A7" w:rsidRDefault="00000000" w:rsidP="00EC0000">
      <w:pPr>
        <w:pStyle w:val="Body"/>
        <w:rPr>
          <w:rFonts w:ascii="Times New Roman" w:eastAsia="Times New Roman" w:hAnsi="Times New Roman" w:cs="Times New Roman"/>
        </w:rPr>
      </w:pPr>
      <w:r>
        <w:rPr>
          <w:rFonts w:ascii="Times New Roman" w:hAnsi="Times New Roman"/>
        </w:rPr>
        <w:t>important elements are:</w:t>
      </w:r>
    </w:p>
    <w:p w14:paraId="65164AF1" w14:textId="77777777" w:rsidR="002F58A7" w:rsidRDefault="002F58A7" w:rsidP="00EC0000">
      <w:pPr>
        <w:pStyle w:val="Body"/>
        <w:rPr>
          <w:rFonts w:ascii="Times New Roman" w:eastAsia="Times New Roman" w:hAnsi="Times New Roman" w:cs="Times New Roman"/>
        </w:rPr>
      </w:pPr>
    </w:p>
    <w:p w14:paraId="2345E0CF" w14:textId="77777777" w:rsidR="002F58A7" w:rsidRDefault="00000000" w:rsidP="00EC0000">
      <w:pPr>
        <w:pStyle w:val="ListParagraph"/>
        <w:numPr>
          <w:ilvl w:val="0"/>
          <w:numId w:val="6"/>
        </w:numPr>
        <w:spacing w:after="120"/>
        <w:rPr>
          <w:rFonts w:ascii="Times New Roman" w:hAnsi="Times New Roman"/>
        </w:rPr>
      </w:pPr>
      <w:r>
        <w:rPr>
          <w:rFonts w:ascii="Times New Roman" w:hAnsi="Times New Roman"/>
        </w:rPr>
        <w:lastRenderedPageBreak/>
        <w:t>Prohibits jurisdictions from imposing (on housing projects) subjective design standards established after January 1, 2020. (Existing standards may continue to be applied.)</w:t>
      </w:r>
    </w:p>
    <w:p w14:paraId="4ACE3632" w14:textId="77777777" w:rsidR="002F58A7" w:rsidRDefault="00000000" w:rsidP="00EC0000">
      <w:pPr>
        <w:pStyle w:val="ListParagraph"/>
        <w:numPr>
          <w:ilvl w:val="0"/>
          <w:numId w:val="6"/>
        </w:numPr>
        <w:spacing w:after="120"/>
        <w:rPr>
          <w:rFonts w:ascii="Times New Roman" w:hAnsi="Times New Roman"/>
        </w:rPr>
      </w:pPr>
      <w:r>
        <w:rPr>
          <w:rFonts w:ascii="Times New Roman" w:hAnsi="Times New Roman"/>
        </w:rPr>
        <w:t>States that jurisdictions can only review a housing development project based on the ordinances, policies, and standards adopted and in effect when a preliminary application is submitted (vs. when a formal application is deemed complete).</w:t>
      </w:r>
    </w:p>
    <w:p w14:paraId="64020390" w14:textId="77777777" w:rsidR="002F58A7" w:rsidRDefault="00000000" w:rsidP="00EC0000">
      <w:pPr>
        <w:pStyle w:val="ListParagraph"/>
        <w:numPr>
          <w:ilvl w:val="0"/>
          <w:numId w:val="6"/>
        </w:numPr>
        <w:rPr>
          <w:rFonts w:ascii="Times New Roman" w:hAnsi="Times New Roman"/>
        </w:rPr>
      </w:pPr>
      <w:r>
        <w:rPr>
          <w:rFonts w:ascii="Times New Roman" w:hAnsi="Times New Roman"/>
        </w:rPr>
        <w:t>Prohibits jurisdictions from enacting development policies, standards or conditions that would change current zoning and land use designations where housing is an allowable use. In such cases, a jurisdiction cannot lessen the intensity of housing—such as reducing height, density or floor area ratio; requiring new or increased open space, lot size, setbacks or frontage; or limiting maximum lot coverage. Effectively, this clause prohibits downzoning, though a jurisdiction may rebalance density between various districts.</w:t>
      </w:r>
    </w:p>
    <w:p w14:paraId="3C4F9EA1" w14:textId="77777777" w:rsidR="002F58A7" w:rsidRDefault="002F58A7" w:rsidP="00EC0000">
      <w:pPr>
        <w:pStyle w:val="Body"/>
        <w:rPr>
          <w:rFonts w:ascii="Times New Roman" w:eastAsia="Times New Roman" w:hAnsi="Times New Roman" w:cs="Times New Roman"/>
        </w:rPr>
      </w:pPr>
    </w:p>
    <w:p w14:paraId="55854EDE" w14:textId="0EBAD27E" w:rsidR="002F58A7" w:rsidRDefault="00000000" w:rsidP="00EC0000">
      <w:pPr>
        <w:pStyle w:val="Body"/>
        <w:rPr>
          <w:rFonts w:ascii="Times New Roman" w:eastAsia="Times New Roman" w:hAnsi="Times New Roman" w:cs="Times New Roman"/>
          <w:b/>
          <w:bCs/>
        </w:rPr>
      </w:pPr>
      <w:r>
        <w:rPr>
          <w:rFonts w:ascii="Times New Roman" w:hAnsi="Times New Roman"/>
        </w:rPr>
        <w:t>In addition to these state laws, AB 2162 (Supportive Housing Streamlined Approval</w:t>
      </w:r>
      <w:r w:rsidR="00EC0000">
        <w:rPr>
          <w:rFonts w:ascii="Times New Roman" w:hAnsi="Times New Roman"/>
        </w:rPr>
        <w:t>, effective 2019</w:t>
      </w:r>
      <w:r>
        <w:rPr>
          <w:rFonts w:ascii="Times New Roman" w:hAnsi="Times New Roman"/>
        </w:rPr>
        <w:t>), SB 9 (Housing Opportunity and Efficiency Act</w:t>
      </w:r>
      <w:r w:rsidR="00EC0000">
        <w:rPr>
          <w:rFonts w:ascii="Times New Roman" w:hAnsi="Times New Roman"/>
        </w:rPr>
        <w:t>, effective 2020</w:t>
      </w:r>
      <w:r>
        <w:rPr>
          <w:rFonts w:ascii="Times New Roman" w:hAnsi="Times New Roman"/>
        </w:rPr>
        <w:t>), SB 684 (Small Sites Streamlining</w:t>
      </w:r>
      <w:r w:rsidR="00EC0000">
        <w:rPr>
          <w:rFonts w:ascii="Times New Roman" w:hAnsi="Times New Roman"/>
        </w:rPr>
        <w:t>, effective July 2024</w:t>
      </w:r>
      <w:r>
        <w:rPr>
          <w:rFonts w:ascii="Times New Roman" w:hAnsi="Times New Roman"/>
        </w:rPr>
        <w:t>), and AB 2011 (Affordable Housing and High Road Jobs Act</w:t>
      </w:r>
      <w:r w:rsidR="00EC0000">
        <w:rPr>
          <w:rFonts w:ascii="Times New Roman" w:hAnsi="Times New Roman"/>
        </w:rPr>
        <w:t>, effective 2023</w:t>
      </w:r>
      <w:r>
        <w:rPr>
          <w:rFonts w:ascii="Times New Roman" w:hAnsi="Times New Roman"/>
        </w:rPr>
        <w:t xml:space="preserve">) contain similar language </w:t>
      </w:r>
      <w:r w:rsidR="00DD5B0B">
        <w:rPr>
          <w:rFonts w:ascii="Times New Roman" w:hAnsi="Times New Roman"/>
        </w:rPr>
        <w:t xml:space="preserve">mandating </w:t>
      </w:r>
      <w:r>
        <w:rPr>
          <w:rFonts w:ascii="Times New Roman" w:hAnsi="Times New Roman"/>
        </w:rPr>
        <w:t xml:space="preserve">streamlined review for projects that are consistent with objective standards. When layered together, these laws create the policy context within which planning staff are recommending that </w:t>
      </w:r>
      <w:r>
        <w:rPr>
          <w:rFonts w:ascii="Times New Roman" w:hAnsi="Times New Roman"/>
          <w:shd w:val="clear" w:color="auto" w:fill="C0C0C0"/>
        </w:rPr>
        <w:t>[Jurisdiction Name]</w:t>
      </w:r>
      <w:r>
        <w:rPr>
          <w:rFonts w:ascii="Times New Roman" w:hAnsi="Times New Roman"/>
        </w:rPr>
        <w:t xml:space="preserve"> prepare objective standards.</w:t>
      </w:r>
    </w:p>
    <w:p w14:paraId="762F8651" w14:textId="77777777" w:rsidR="002F58A7" w:rsidRDefault="002F58A7" w:rsidP="00EC0000">
      <w:pPr>
        <w:pStyle w:val="Body"/>
        <w:rPr>
          <w:rFonts w:ascii="Times New Roman" w:eastAsia="Times New Roman" w:hAnsi="Times New Roman" w:cs="Times New Roman"/>
        </w:rPr>
      </w:pPr>
    </w:p>
    <w:p w14:paraId="1840D24E" w14:textId="77777777" w:rsidR="002F58A7" w:rsidRDefault="00000000" w:rsidP="00EC0000">
      <w:pPr>
        <w:pStyle w:val="Body"/>
        <w:rPr>
          <w:rFonts w:ascii="Times New Roman" w:eastAsia="Times New Roman" w:hAnsi="Times New Roman" w:cs="Times New Roman"/>
        </w:rPr>
      </w:pPr>
      <w:r>
        <w:rPr>
          <w:rFonts w:ascii="Times New Roman" w:hAnsi="Times New Roman"/>
          <w:b/>
          <w:bCs/>
        </w:rPr>
        <w:t>DISCUSSION &amp; ANALYSIS</w:t>
      </w:r>
    </w:p>
    <w:p w14:paraId="2815BA4D" w14:textId="549C7687" w:rsidR="002F58A7" w:rsidRDefault="00000000" w:rsidP="00EC0000">
      <w:pPr>
        <w:pStyle w:val="Body"/>
        <w:rPr>
          <w:rFonts w:ascii="Times New Roman" w:eastAsia="Times New Roman" w:hAnsi="Times New Roman" w:cs="Times New Roman"/>
        </w:rPr>
      </w:pPr>
      <w:r>
        <w:rPr>
          <w:rFonts w:ascii="Times New Roman" w:eastAsia="Times New Roman" w:hAnsi="Times New Roman" w:cs="Times New Roman"/>
        </w:rPr>
        <w:br/>
      </w:r>
      <w:r w:rsidR="00C5733E">
        <w:rPr>
          <w:rFonts w:ascii="Times New Roman" w:hAnsi="Times New Roman"/>
        </w:rPr>
        <w:t xml:space="preserve">This section provides an overview of how to make zoning regulations objective, so that they can continue to be applied to projects undergoing streamlined review. It begins with an overview of how </w:t>
      </w:r>
      <w:r w:rsidR="00C5733E">
        <w:rPr>
          <w:rFonts w:ascii="Times New Roman" w:hAnsi="Times New Roman"/>
          <w:shd w:val="clear" w:color="auto" w:fill="C0C0C0"/>
        </w:rPr>
        <w:t>[Jurisdiction Name]</w:t>
      </w:r>
      <w:r w:rsidR="00C5733E">
        <w:rPr>
          <w:rFonts w:ascii="Times New Roman" w:hAnsi="Times New Roman"/>
        </w:rPr>
        <w:t xml:space="preserve"> currently regulates housing development projects (i.e., development standards, performance standards, design review findings) and how those regulations and processes do and do not apply to projects undergoing streamlined review. This section then takes a focused look at how to develop objective design standards, specifically. </w:t>
      </w:r>
    </w:p>
    <w:p w14:paraId="6498ED91" w14:textId="77777777" w:rsidR="002F58A7" w:rsidRDefault="002F58A7" w:rsidP="00EC0000">
      <w:pPr>
        <w:pStyle w:val="Body"/>
        <w:rPr>
          <w:rFonts w:ascii="Times New Roman" w:eastAsia="Times New Roman" w:hAnsi="Times New Roman" w:cs="Times New Roman"/>
        </w:rPr>
      </w:pPr>
    </w:p>
    <w:p w14:paraId="59DECC75"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lang w:val="it-IT"/>
        </w:rPr>
        <w:t xml:space="preserve">Applicability </w:t>
      </w:r>
    </w:p>
    <w:p w14:paraId="53569D36" w14:textId="77777777" w:rsidR="002F58A7" w:rsidRDefault="002F58A7" w:rsidP="00EC0000">
      <w:pPr>
        <w:pStyle w:val="Body"/>
        <w:rPr>
          <w:rFonts w:ascii="Times New Roman" w:eastAsia="Times New Roman" w:hAnsi="Times New Roman" w:cs="Times New Roman"/>
        </w:rPr>
      </w:pPr>
    </w:p>
    <w:p w14:paraId="3CDA125C" w14:textId="6CB54E30" w:rsidR="002F58A7" w:rsidRDefault="00000000" w:rsidP="00EC0000">
      <w:pPr>
        <w:pStyle w:val="Body"/>
        <w:rPr>
          <w:rFonts w:ascii="Times New Roman" w:eastAsia="Times New Roman" w:hAnsi="Times New Roman" w:cs="Times New Roman"/>
        </w:rPr>
      </w:pPr>
      <w:r>
        <w:rPr>
          <w:rFonts w:ascii="Times New Roman" w:hAnsi="Times New Roman"/>
        </w:rPr>
        <w:t>Objective design standards primarily apply to multi-family housing and residential mixed-use projects and districts. Ground-floor commercial guidelines and standards are addressed insofar as retail is required as part of a mixed-use residential project.</w:t>
      </w:r>
      <w:r>
        <w:rPr>
          <w:rFonts w:ascii="Times New Roman" w:hAnsi="Times New Roman"/>
          <w:shd w:val="clear" w:color="auto" w:fill="C0C0C0"/>
        </w:rPr>
        <w:t xml:space="preserve"> [Revise, as Appropriate, if Jurisdiction Elects to Develop Standards for Non-Residential Development and/or for Single Family housing</w:t>
      </w:r>
      <w:r>
        <w:rPr>
          <w:rFonts w:ascii="Times New Roman" w:hAnsi="Times New Roman"/>
          <w:shd w:val="clear" w:color="auto" w:fill="C0C0C0"/>
          <w:lang w:val="pt-PT"/>
        </w:rPr>
        <w:t>.]</w:t>
      </w:r>
      <w:r>
        <w:rPr>
          <w:rFonts w:ascii="Times New Roman" w:hAnsi="Times New Roman"/>
        </w:rPr>
        <w:t xml:space="preserve"> </w:t>
      </w:r>
    </w:p>
    <w:p w14:paraId="14FF22EC" w14:textId="77777777" w:rsidR="002F58A7" w:rsidRDefault="002F58A7" w:rsidP="00EC0000">
      <w:pPr>
        <w:pStyle w:val="Body"/>
        <w:rPr>
          <w:rFonts w:ascii="Times New Roman" w:eastAsia="Times New Roman" w:hAnsi="Times New Roman" w:cs="Times New Roman"/>
        </w:rPr>
      </w:pPr>
    </w:p>
    <w:p w14:paraId="1AEB86DC"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Local Policy Context</w:t>
      </w:r>
    </w:p>
    <w:p w14:paraId="58A17891" w14:textId="77777777" w:rsidR="002F58A7" w:rsidRDefault="002F58A7" w:rsidP="00EC0000">
      <w:pPr>
        <w:pStyle w:val="Body"/>
        <w:rPr>
          <w:rFonts w:ascii="Times New Roman" w:eastAsia="Times New Roman" w:hAnsi="Times New Roman" w:cs="Times New Roman"/>
        </w:rPr>
      </w:pPr>
    </w:p>
    <w:p w14:paraId="459B39ED" w14:textId="77777777" w:rsidR="002F58A7" w:rsidRDefault="00000000" w:rsidP="00EC0000">
      <w:pPr>
        <w:pStyle w:val="Body"/>
        <w:rPr>
          <w:rFonts w:ascii="Times New Roman" w:eastAsia="Times New Roman" w:hAnsi="Times New Roman" w:cs="Times New Roman"/>
        </w:rPr>
      </w:pPr>
      <w:r>
        <w:rPr>
          <w:rFonts w:ascii="Times New Roman" w:hAnsi="Times New Roman"/>
          <w:shd w:val="clear" w:color="auto" w:fill="C0C0C0"/>
        </w:rPr>
        <w:t>[Explain context for objective standards within the Housing Element or other adopted policy, if relevant]</w:t>
      </w:r>
    </w:p>
    <w:p w14:paraId="6F0A1E79" w14:textId="77777777" w:rsidR="002F58A7" w:rsidRDefault="002F58A7" w:rsidP="00EC0000">
      <w:pPr>
        <w:pStyle w:val="Body"/>
        <w:rPr>
          <w:rFonts w:ascii="Times New Roman" w:eastAsia="Times New Roman" w:hAnsi="Times New Roman" w:cs="Times New Roman"/>
        </w:rPr>
      </w:pPr>
    </w:p>
    <w:p w14:paraId="723FFEF1"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rPr>
        <w:t>Existing Regulations and Potential Changes</w:t>
      </w:r>
    </w:p>
    <w:p w14:paraId="1C244E7A" w14:textId="77777777" w:rsidR="002F58A7" w:rsidRDefault="002F58A7" w:rsidP="00EC0000">
      <w:pPr>
        <w:pStyle w:val="Body"/>
        <w:rPr>
          <w:rFonts w:ascii="Times New Roman" w:eastAsia="Times New Roman" w:hAnsi="Times New Roman" w:cs="Times New Roman"/>
        </w:rPr>
      </w:pPr>
    </w:p>
    <w:p w14:paraId="37E35997" w14:textId="36062DFA" w:rsidR="002F58A7" w:rsidRDefault="00000000" w:rsidP="00EC0000">
      <w:pPr>
        <w:pStyle w:val="Body"/>
        <w:rPr>
          <w:rFonts w:ascii="Times New Roman" w:eastAsia="Times New Roman" w:hAnsi="Times New Roman" w:cs="Times New Roman"/>
        </w:rPr>
      </w:pPr>
      <w:r>
        <w:rPr>
          <w:rFonts w:ascii="Times New Roman" w:hAnsi="Times New Roman"/>
          <w:lang w:val="fr-FR"/>
        </w:rPr>
        <w:lastRenderedPageBreak/>
        <w:t>Table 1 analy</w:t>
      </w:r>
      <w:r>
        <w:rPr>
          <w:rFonts w:ascii="Times New Roman" w:hAnsi="Times New Roman"/>
        </w:rPr>
        <w:t xml:space="preserve">zes </w:t>
      </w:r>
      <w:r>
        <w:rPr>
          <w:rFonts w:ascii="Times New Roman" w:hAnsi="Times New Roman"/>
          <w:shd w:val="clear" w:color="auto" w:fill="C0C0C0"/>
        </w:rPr>
        <w:t>[Jurisdiction Name]</w:t>
      </w:r>
      <w:r>
        <w:rPr>
          <w:rFonts w:ascii="Times New Roman" w:hAnsi="Times New Roman"/>
        </w:rPr>
        <w:t xml:space="preserve">’s existing regulations and whether or not they represent objective standards that can be applied to housing projects undergoing streamlined review. </w:t>
      </w:r>
      <w:r w:rsidR="00C5733E">
        <w:rPr>
          <w:rFonts w:ascii="Times New Roman" w:hAnsi="Times New Roman"/>
        </w:rPr>
        <w:t>It then generally suggests potential changes for how to make regulations objective and therefore ensure that they can be applied to projects undergoing streamlined review.</w:t>
      </w:r>
    </w:p>
    <w:p w14:paraId="27F0C355" w14:textId="77777777" w:rsidR="002F58A7" w:rsidRDefault="002F58A7" w:rsidP="00EC0000">
      <w:pPr>
        <w:pStyle w:val="Body"/>
        <w:rPr>
          <w:rFonts w:ascii="Times New Roman" w:eastAsia="Times New Roman" w:hAnsi="Times New Roman" w:cs="Times New Roman"/>
        </w:rPr>
      </w:pPr>
    </w:p>
    <w:p w14:paraId="5A8266AC" w14:textId="77777777" w:rsidR="002F58A7" w:rsidRDefault="00000000" w:rsidP="00EC0000">
      <w:pPr>
        <w:pStyle w:val="Body"/>
        <w:rPr>
          <w:rFonts w:ascii="Times New Roman" w:eastAsia="Times New Roman" w:hAnsi="Times New Roman" w:cs="Times New Roman"/>
        </w:rPr>
      </w:pPr>
      <w:r>
        <w:rPr>
          <w:rFonts w:ascii="Times New Roman" w:hAnsi="Times New Roman"/>
          <w:shd w:val="clear" w:color="auto" w:fill="C0C0C0"/>
        </w:rPr>
        <w:t>[Example Table – Revise, as Appropriate]</w:t>
      </w:r>
    </w:p>
    <w:p w14:paraId="57A9C9AC" w14:textId="77777777" w:rsidR="002F58A7" w:rsidRDefault="00000000" w:rsidP="00EC0000">
      <w:pPr>
        <w:pStyle w:val="Body"/>
        <w:rPr>
          <w:rFonts w:ascii="Times New Roman" w:eastAsia="Times New Roman" w:hAnsi="Times New Roman" w:cs="Times New Roman"/>
        </w:rPr>
      </w:pPr>
      <w:r>
        <w:rPr>
          <w:rFonts w:ascii="Times New Roman" w:hAnsi="Times New Roman"/>
        </w:rPr>
        <w:t>Table 1: Summary of Existing Framework of Regulations and Potential Changes</w:t>
      </w:r>
    </w:p>
    <w:p w14:paraId="27AAA89F" w14:textId="77777777" w:rsidR="002F58A7" w:rsidRDefault="002F58A7" w:rsidP="00EC0000">
      <w:pPr>
        <w:pStyle w:val="Body"/>
        <w:rPr>
          <w:rFonts w:ascii="Times New Roman" w:eastAsia="Times New Roman" w:hAnsi="Times New Roman" w:cs="Times New Roman"/>
        </w:rPr>
      </w:pPr>
    </w:p>
    <w:tbl>
      <w:tblPr>
        <w:tblW w:w="92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505"/>
        <w:gridCol w:w="1256"/>
        <w:gridCol w:w="4504"/>
      </w:tblGrid>
      <w:tr w:rsidR="002F58A7" w14:paraId="6AAEB0B1" w14:textId="77777777" w:rsidTr="00713FCA">
        <w:trPr>
          <w:trHeight w:val="603"/>
          <w:tblHeader/>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3AD22" w14:textId="77777777" w:rsidR="002F58A7" w:rsidRDefault="00000000" w:rsidP="00EC0000">
            <w:pPr>
              <w:pStyle w:val="Body"/>
            </w:pPr>
            <w:r>
              <w:rPr>
                <w:rFonts w:ascii="Times New Roman" w:hAnsi="Times New Roman"/>
                <w:i/>
                <w:iCs/>
              </w:rPr>
              <w:t>Existing Regulations &amp; Process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5D53B" w14:textId="77777777" w:rsidR="002F58A7" w:rsidRDefault="00000000" w:rsidP="00EC0000">
            <w:pPr>
              <w:pStyle w:val="Body"/>
            </w:pPr>
            <w:r>
              <w:rPr>
                <w:rFonts w:ascii="Times New Roman" w:hAnsi="Times New Roman"/>
                <w:i/>
                <w:iCs/>
              </w:rPr>
              <w:t>Objective?</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21725" w14:textId="5267CE0A" w:rsidR="002F58A7" w:rsidRPr="005834F6" w:rsidRDefault="00000000" w:rsidP="00EC0000">
            <w:pPr>
              <w:pStyle w:val="Body"/>
              <w:rPr>
                <w:rFonts w:ascii="Times New Roman" w:eastAsia="Times New Roman" w:hAnsi="Times New Roman" w:cs="Times New Roman"/>
              </w:rPr>
            </w:pPr>
            <w:r>
              <w:rPr>
                <w:rFonts w:ascii="Times New Roman" w:hAnsi="Times New Roman"/>
                <w:i/>
                <w:iCs/>
              </w:rPr>
              <w:t>Potential Changes</w:t>
            </w:r>
            <w:r w:rsidR="00C5733E">
              <w:rPr>
                <w:rFonts w:ascii="Times New Roman" w:hAnsi="Times New Roman"/>
                <w:i/>
                <w:iCs/>
              </w:rPr>
              <w:t xml:space="preserve"> </w:t>
            </w:r>
            <w:r w:rsidR="00C5733E">
              <w:rPr>
                <w:rFonts w:ascii="Times New Roman" w:hAnsi="Times New Roman"/>
                <w:shd w:val="clear" w:color="auto" w:fill="C0C0C0"/>
              </w:rPr>
              <w:t>[Examples – Revise, as Appropriate]</w:t>
            </w:r>
          </w:p>
        </w:tc>
      </w:tr>
      <w:tr w:rsidR="002F58A7" w14:paraId="1C327B20" w14:textId="77777777">
        <w:tblPrEx>
          <w:shd w:val="clear" w:color="auto" w:fill="CDD4E9"/>
        </w:tblPrEx>
        <w:trPr>
          <w:trHeight w:val="60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D76BA" w14:textId="77777777" w:rsidR="002F58A7" w:rsidRDefault="00000000" w:rsidP="00EC0000">
            <w:pPr>
              <w:pStyle w:val="Body"/>
            </w:pPr>
            <w:r>
              <w:rPr>
                <w:rFonts w:ascii="Times New Roman" w:hAnsi="Times New Roman"/>
              </w:rPr>
              <w:t>Development Standards (e.g., setback, height, density)</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0A425" w14:textId="117C02D8" w:rsidR="002F58A7" w:rsidRDefault="004E5707" w:rsidP="00EC0000">
            <w:pPr>
              <w:pStyle w:val="Body"/>
              <w:jc w:val="center"/>
            </w:pPr>
            <w:r>
              <w:rPr>
                <w:rFonts w:ascii="Times New Roman" w:hAnsi="Times New Roman"/>
              </w:rPr>
              <w:t>Most</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612D5" w14:textId="77777777" w:rsidR="002F58A7" w:rsidRDefault="00000000" w:rsidP="00EC0000">
            <w:pPr>
              <w:pStyle w:val="ListParagraph"/>
              <w:numPr>
                <w:ilvl w:val="0"/>
                <w:numId w:val="7"/>
              </w:numPr>
              <w:rPr>
                <w:rFonts w:ascii="Times New Roman" w:hAnsi="Times New Roman"/>
              </w:rPr>
            </w:pPr>
            <w:r>
              <w:rPr>
                <w:rFonts w:ascii="Times New Roman" w:hAnsi="Times New Roman"/>
              </w:rPr>
              <w:t>No substantive changes</w:t>
            </w:r>
          </w:p>
          <w:p w14:paraId="12AD44BB" w14:textId="77777777" w:rsidR="002F58A7" w:rsidRDefault="00000000" w:rsidP="00EC0000">
            <w:pPr>
              <w:pStyle w:val="ListParagraph"/>
              <w:numPr>
                <w:ilvl w:val="0"/>
                <w:numId w:val="7"/>
              </w:numPr>
              <w:rPr>
                <w:rFonts w:ascii="Times New Roman" w:hAnsi="Times New Roman"/>
              </w:rPr>
            </w:pPr>
            <w:r>
              <w:rPr>
                <w:rFonts w:ascii="Times New Roman" w:hAnsi="Times New Roman"/>
              </w:rPr>
              <w:t>Minor changes for clarification</w:t>
            </w:r>
          </w:p>
        </w:tc>
      </w:tr>
      <w:tr w:rsidR="002F58A7" w14:paraId="47DC2F17" w14:textId="77777777" w:rsidTr="005834F6">
        <w:tblPrEx>
          <w:shd w:val="clear" w:color="auto" w:fill="CDD4E9"/>
        </w:tblPrEx>
        <w:trPr>
          <w:trHeight w:val="1215"/>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A2F26" w14:textId="77777777" w:rsidR="002F58A7" w:rsidRDefault="00000000" w:rsidP="00EC0000">
            <w:pPr>
              <w:pStyle w:val="Body"/>
            </w:pPr>
            <w:r>
              <w:rPr>
                <w:rFonts w:ascii="Times New Roman" w:hAnsi="Times New Roman"/>
              </w:rPr>
              <w:t>Design Guidelines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FAB4F" w14:textId="77777777" w:rsidR="002F58A7" w:rsidRDefault="00000000" w:rsidP="00EC0000">
            <w:pPr>
              <w:pStyle w:val="Body"/>
              <w:jc w:val="center"/>
            </w:pPr>
            <w:r>
              <w:rPr>
                <w:rFonts w:ascii="Times New Roman" w:hAnsi="Times New Roman"/>
              </w:rPr>
              <w:t>No</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BBBBC2" w14:textId="77777777" w:rsidR="002F58A7" w:rsidRDefault="00000000" w:rsidP="00EC0000">
            <w:pPr>
              <w:pStyle w:val="ListParagraph"/>
              <w:numPr>
                <w:ilvl w:val="0"/>
                <w:numId w:val="8"/>
              </w:numPr>
              <w:rPr>
                <w:rFonts w:ascii="Times New Roman" w:hAnsi="Times New Roman"/>
              </w:rPr>
            </w:pPr>
            <w:r>
              <w:rPr>
                <w:rFonts w:ascii="Times New Roman" w:hAnsi="Times New Roman"/>
              </w:rPr>
              <w:t>Transform subjective guidelines into design standards, where feasible</w:t>
            </w:r>
          </w:p>
          <w:p w14:paraId="661ED4F2" w14:textId="77777777" w:rsidR="002F58A7" w:rsidRDefault="00000000" w:rsidP="00EC0000">
            <w:pPr>
              <w:pStyle w:val="ListParagraph"/>
              <w:numPr>
                <w:ilvl w:val="0"/>
                <w:numId w:val="8"/>
              </w:numPr>
              <w:rPr>
                <w:rFonts w:ascii="Times New Roman" w:hAnsi="Times New Roman"/>
              </w:rPr>
            </w:pPr>
            <w:r>
              <w:rPr>
                <w:rFonts w:ascii="Times New Roman" w:hAnsi="Times New Roman"/>
              </w:rPr>
              <w:t>Retain design guidelines for non-residential projects only</w:t>
            </w:r>
          </w:p>
        </w:tc>
      </w:tr>
      <w:tr w:rsidR="002F58A7" w14:paraId="291643F2" w14:textId="77777777">
        <w:tblPrEx>
          <w:shd w:val="clear" w:color="auto" w:fill="CDD4E9"/>
        </w:tblPrEx>
        <w:trPr>
          <w:trHeight w:val="60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763C3" w14:textId="77777777" w:rsidR="002F58A7" w:rsidRDefault="00000000" w:rsidP="00EC0000">
            <w:pPr>
              <w:pStyle w:val="Body"/>
            </w:pPr>
            <w:r>
              <w:rPr>
                <w:rFonts w:ascii="Times New Roman" w:hAnsi="Times New Roman"/>
              </w:rPr>
              <w:t>Other Regulations (e.g., landscaping, lighting)</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2AF2" w14:textId="77777777" w:rsidR="002F58A7" w:rsidRDefault="00000000" w:rsidP="00EC0000">
            <w:pPr>
              <w:pStyle w:val="Body"/>
              <w:jc w:val="center"/>
            </w:pPr>
            <w:r>
              <w:rPr>
                <w:rFonts w:ascii="Times New Roman" w:hAnsi="Times New Roman"/>
              </w:rPr>
              <w:t>Most</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B7076" w14:textId="5D85DE3A" w:rsidR="002F58A7" w:rsidRDefault="00000000" w:rsidP="00EC0000">
            <w:pPr>
              <w:pStyle w:val="ListParagraph"/>
              <w:numPr>
                <w:ilvl w:val="0"/>
                <w:numId w:val="9"/>
              </w:numPr>
              <w:rPr>
                <w:rFonts w:ascii="Times New Roman" w:hAnsi="Times New Roman"/>
              </w:rPr>
            </w:pPr>
            <w:r>
              <w:rPr>
                <w:rFonts w:ascii="Times New Roman" w:hAnsi="Times New Roman"/>
              </w:rPr>
              <w:t xml:space="preserve">Transform subjective regulations into </w:t>
            </w:r>
            <w:r w:rsidR="00FD6A79">
              <w:rPr>
                <w:rFonts w:ascii="Times New Roman" w:hAnsi="Times New Roman"/>
              </w:rPr>
              <w:t xml:space="preserve">objective </w:t>
            </w:r>
            <w:r>
              <w:rPr>
                <w:rFonts w:ascii="Times New Roman" w:hAnsi="Times New Roman"/>
              </w:rPr>
              <w:t>standards, where feasible</w:t>
            </w:r>
          </w:p>
        </w:tc>
      </w:tr>
      <w:tr w:rsidR="002F58A7" w14:paraId="2484948A" w14:textId="77777777">
        <w:tblPrEx>
          <w:shd w:val="clear" w:color="auto" w:fill="CDD4E9"/>
        </w:tblPrEx>
        <w:trPr>
          <w:trHeight w:val="60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97607" w14:textId="77777777" w:rsidR="002F58A7" w:rsidRDefault="00000000" w:rsidP="00EC0000">
            <w:pPr>
              <w:pStyle w:val="Body"/>
            </w:pPr>
            <w:r>
              <w:rPr>
                <w:rFonts w:ascii="Times New Roman" w:hAnsi="Times New Roman"/>
              </w:rPr>
              <w:t>Use Regulations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1BF95" w14:textId="77777777" w:rsidR="002F58A7" w:rsidRDefault="00000000" w:rsidP="00EC0000">
            <w:pPr>
              <w:pStyle w:val="Body"/>
              <w:jc w:val="center"/>
            </w:pPr>
            <w:r>
              <w:rPr>
                <w:rFonts w:ascii="Times New Roman" w:hAnsi="Times New Roman"/>
              </w:rPr>
              <w:t>Yes</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FBD8D" w14:textId="77777777" w:rsidR="002F58A7" w:rsidRDefault="00000000" w:rsidP="00EC0000">
            <w:pPr>
              <w:pStyle w:val="ListParagraph"/>
              <w:numPr>
                <w:ilvl w:val="0"/>
                <w:numId w:val="10"/>
              </w:numPr>
              <w:rPr>
                <w:rFonts w:ascii="Times New Roman" w:hAnsi="Times New Roman"/>
              </w:rPr>
            </w:pPr>
            <w:r>
              <w:rPr>
                <w:rFonts w:ascii="Times New Roman" w:hAnsi="Times New Roman"/>
              </w:rPr>
              <w:t>No substantive changes</w:t>
            </w:r>
          </w:p>
          <w:p w14:paraId="67A79ED1" w14:textId="77777777" w:rsidR="002F58A7" w:rsidRDefault="00000000" w:rsidP="00EC0000">
            <w:pPr>
              <w:pStyle w:val="ListParagraph"/>
              <w:numPr>
                <w:ilvl w:val="0"/>
                <w:numId w:val="10"/>
              </w:numPr>
              <w:rPr>
                <w:rFonts w:ascii="Times New Roman" w:hAnsi="Times New Roman"/>
              </w:rPr>
            </w:pPr>
            <w:r>
              <w:rPr>
                <w:rFonts w:ascii="Times New Roman" w:hAnsi="Times New Roman"/>
              </w:rPr>
              <w:t>Minor changes for clarification</w:t>
            </w:r>
          </w:p>
        </w:tc>
      </w:tr>
      <w:tr w:rsidR="002F58A7" w14:paraId="552282FF" w14:textId="77777777" w:rsidTr="005834F6">
        <w:tblPrEx>
          <w:shd w:val="clear" w:color="auto" w:fill="CDD4E9"/>
        </w:tblPrEx>
        <w:trPr>
          <w:trHeight w:val="1368"/>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33918" w14:textId="77777777" w:rsidR="002F58A7" w:rsidRDefault="00000000" w:rsidP="00EC0000">
            <w:pPr>
              <w:pStyle w:val="Body"/>
            </w:pPr>
            <w:r>
              <w:rPr>
                <w:rFonts w:ascii="Times New Roman" w:hAnsi="Times New Roman"/>
              </w:rPr>
              <w:t>Design Review Findings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201B8" w14:textId="77777777" w:rsidR="002F58A7" w:rsidRDefault="00000000" w:rsidP="00EC0000">
            <w:pPr>
              <w:pStyle w:val="Body"/>
              <w:jc w:val="center"/>
            </w:pPr>
            <w:r>
              <w:rPr>
                <w:rFonts w:ascii="Times New Roman" w:hAnsi="Times New Roman"/>
              </w:rPr>
              <w:t>No</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8CBEE" w14:textId="77777777" w:rsidR="002F58A7" w:rsidRDefault="00000000" w:rsidP="00EC0000">
            <w:pPr>
              <w:pStyle w:val="ListParagraph"/>
              <w:numPr>
                <w:ilvl w:val="0"/>
                <w:numId w:val="11"/>
              </w:numPr>
              <w:rPr>
                <w:rFonts w:ascii="Times New Roman" w:hAnsi="Times New Roman"/>
              </w:rPr>
            </w:pPr>
            <w:r>
              <w:rPr>
                <w:rFonts w:ascii="Times New Roman" w:hAnsi="Times New Roman"/>
              </w:rPr>
              <w:t>Develop objective findings for housing projects to demonstrate consistency with objective standards</w:t>
            </w:r>
          </w:p>
          <w:p w14:paraId="36F44C5E" w14:textId="77777777" w:rsidR="002F58A7" w:rsidRDefault="00000000" w:rsidP="00EC0000">
            <w:pPr>
              <w:pStyle w:val="ListParagraph"/>
              <w:numPr>
                <w:ilvl w:val="0"/>
                <w:numId w:val="11"/>
              </w:numPr>
              <w:rPr>
                <w:rFonts w:ascii="Times New Roman" w:hAnsi="Times New Roman"/>
              </w:rPr>
            </w:pPr>
            <w:r>
              <w:rPr>
                <w:rFonts w:ascii="Times New Roman" w:hAnsi="Times New Roman"/>
              </w:rPr>
              <w:t xml:space="preserve">Retain discretionary findings for non-residential projects </w:t>
            </w:r>
          </w:p>
        </w:tc>
      </w:tr>
      <w:tr w:rsidR="002F58A7" w14:paraId="22966EF9" w14:textId="77777777" w:rsidTr="00713FCA">
        <w:tblPrEx>
          <w:shd w:val="clear" w:color="auto" w:fill="CDD4E9"/>
        </w:tblPrEx>
        <w:trPr>
          <w:trHeight w:val="54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84A1A" w14:textId="77777777" w:rsidR="002F58A7" w:rsidRDefault="00000000" w:rsidP="00EC0000">
            <w:pPr>
              <w:pStyle w:val="Body"/>
            </w:pPr>
            <w:r>
              <w:rPr>
                <w:rFonts w:ascii="Times New Roman" w:hAnsi="Times New Roman"/>
              </w:rPr>
              <w:t>Board and Commission Reviews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F9CA3" w14:textId="77777777" w:rsidR="002F58A7" w:rsidRDefault="00000000" w:rsidP="00EC0000">
            <w:pPr>
              <w:pStyle w:val="Body"/>
              <w:jc w:val="center"/>
            </w:pPr>
            <w:r>
              <w:rPr>
                <w:rFonts w:ascii="Times New Roman" w:hAnsi="Times New Roman"/>
              </w:rPr>
              <w:t>No</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90736" w14:textId="73AB3507" w:rsidR="002F58A7" w:rsidRDefault="00C5733E" w:rsidP="00EC0000">
            <w:pPr>
              <w:pStyle w:val="ListParagraph"/>
              <w:numPr>
                <w:ilvl w:val="0"/>
                <w:numId w:val="12"/>
              </w:numPr>
              <w:rPr>
                <w:rFonts w:ascii="Times New Roman" w:hAnsi="Times New Roman"/>
              </w:rPr>
            </w:pPr>
            <w:r>
              <w:rPr>
                <w:rFonts w:ascii="Times New Roman" w:hAnsi="Times New Roman"/>
              </w:rPr>
              <w:t xml:space="preserve">Consider options for streamlining projects that meet objective standards </w:t>
            </w:r>
          </w:p>
        </w:tc>
      </w:tr>
      <w:tr w:rsidR="002F58A7" w14:paraId="4CD9F555" w14:textId="77777777">
        <w:tblPrEx>
          <w:shd w:val="clear" w:color="auto" w:fill="CDD4E9"/>
        </w:tblPrEx>
        <w:trPr>
          <w:trHeight w:val="600"/>
        </w:trPr>
        <w:tc>
          <w:tcPr>
            <w:tcW w:w="3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BFD75" w14:textId="77777777" w:rsidR="002F58A7" w:rsidRDefault="00000000" w:rsidP="00EC0000">
            <w:pPr>
              <w:pStyle w:val="Body"/>
            </w:pPr>
            <w:r>
              <w:rPr>
                <w:rFonts w:ascii="Times New Roman" w:hAnsi="Times New Roman"/>
              </w:rPr>
              <w:t>Conditions of Approval</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7316B" w14:textId="77777777" w:rsidR="002F58A7" w:rsidRDefault="00000000" w:rsidP="00EC0000">
            <w:pPr>
              <w:pStyle w:val="Body"/>
              <w:jc w:val="center"/>
            </w:pPr>
            <w:r>
              <w:rPr>
                <w:rFonts w:ascii="Times New Roman" w:hAnsi="Times New Roman"/>
              </w:rPr>
              <w:t>Most</w:t>
            </w:r>
          </w:p>
        </w:tc>
        <w:tc>
          <w:tcPr>
            <w:tcW w:w="4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FAD63" w14:textId="77777777" w:rsidR="002F58A7" w:rsidRDefault="00000000" w:rsidP="00EC0000">
            <w:pPr>
              <w:pStyle w:val="ListParagraph"/>
              <w:numPr>
                <w:ilvl w:val="0"/>
                <w:numId w:val="13"/>
              </w:numPr>
              <w:rPr>
                <w:rFonts w:ascii="Times New Roman" w:hAnsi="Times New Roman"/>
              </w:rPr>
            </w:pPr>
            <w:r>
              <w:rPr>
                <w:rFonts w:ascii="Times New Roman" w:hAnsi="Times New Roman"/>
              </w:rPr>
              <w:t>No substantive changes</w:t>
            </w:r>
          </w:p>
          <w:p w14:paraId="014B9D30" w14:textId="77777777" w:rsidR="002F58A7" w:rsidRDefault="00000000" w:rsidP="00EC0000">
            <w:pPr>
              <w:pStyle w:val="ListParagraph"/>
              <w:numPr>
                <w:ilvl w:val="0"/>
                <w:numId w:val="13"/>
              </w:numPr>
              <w:rPr>
                <w:rFonts w:ascii="Times New Roman" w:hAnsi="Times New Roman"/>
              </w:rPr>
            </w:pPr>
            <w:r>
              <w:rPr>
                <w:rFonts w:ascii="Times New Roman" w:hAnsi="Times New Roman"/>
              </w:rPr>
              <w:t>Minor changes for clarification</w:t>
            </w:r>
          </w:p>
        </w:tc>
      </w:tr>
    </w:tbl>
    <w:p w14:paraId="60A58EE0" w14:textId="77777777" w:rsidR="002F58A7" w:rsidRDefault="002F58A7" w:rsidP="00EC0000">
      <w:pPr>
        <w:pStyle w:val="Body"/>
        <w:rPr>
          <w:rFonts w:ascii="Times New Roman" w:eastAsia="Times New Roman" w:hAnsi="Times New Roman" w:cs="Times New Roman"/>
        </w:rPr>
      </w:pPr>
    </w:p>
    <w:p w14:paraId="4A671A3D" w14:textId="77777777" w:rsidR="002F58A7" w:rsidRDefault="002F58A7" w:rsidP="00EC0000">
      <w:pPr>
        <w:pStyle w:val="Body"/>
        <w:rPr>
          <w:rFonts w:ascii="Times New Roman" w:eastAsia="Times New Roman" w:hAnsi="Times New Roman" w:cs="Times New Roman"/>
        </w:rPr>
      </w:pPr>
    </w:p>
    <w:p w14:paraId="70668174"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lang w:val="pt-PT"/>
        </w:rPr>
        <w:t>BEST PRACTICES</w:t>
      </w:r>
    </w:p>
    <w:p w14:paraId="2781438A" w14:textId="77777777" w:rsidR="002F58A7" w:rsidRDefault="002F58A7" w:rsidP="00EC0000">
      <w:pPr>
        <w:pStyle w:val="Body"/>
        <w:rPr>
          <w:rFonts w:ascii="Times New Roman" w:eastAsia="Times New Roman" w:hAnsi="Times New Roman" w:cs="Times New Roman"/>
        </w:rPr>
      </w:pPr>
    </w:p>
    <w:p w14:paraId="2ED0DA69" w14:textId="60DF66EC" w:rsidR="002F58A7" w:rsidRDefault="00D4791D" w:rsidP="00EC0000">
      <w:pPr>
        <w:pStyle w:val="Body"/>
        <w:rPr>
          <w:rFonts w:ascii="Times New Roman" w:hAnsi="Times New Roman"/>
          <w:shd w:val="clear" w:color="auto" w:fill="C0C0C0"/>
          <w:lang w:val="pt-PT"/>
        </w:rPr>
      </w:pPr>
      <w:r>
        <w:rPr>
          <w:rFonts w:ascii="Times New Roman" w:hAnsi="Times New Roman"/>
          <w:shd w:val="clear" w:color="auto" w:fill="C0C0C0"/>
        </w:rPr>
        <w:t>[Adapted from the ABAG Handbook</w:t>
      </w:r>
      <w:r>
        <w:rPr>
          <w:rFonts w:ascii="Times New Roman" w:hAnsi="Times New Roman"/>
          <w:shd w:val="clear" w:color="auto" w:fill="C0C0C0"/>
          <w:lang w:val="pt-PT"/>
        </w:rPr>
        <w:t>. Revise, as appropriate, for your community]</w:t>
      </w:r>
    </w:p>
    <w:p w14:paraId="7F6D2C6A" w14:textId="77777777" w:rsidR="00D4791D" w:rsidRDefault="00D4791D" w:rsidP="00EC0000">
      <w:pPr>
        <w:pStyle w:val="Body"/>
        <w:rPr>
          <w:rFonts w:ascii="Times New Roman" w:eastAsia="Times New Roman" w:hAnsi="Times New Roman" w:cs="Times New Roman"/>
        </w:rPr>
      </w:pPr>
    </w:p>
    <w:p w14:paraId="1D57B39B" w14:textId="197AB5FA" w:rsidR="002F58A7" w:rsidRDefault="00713FCA" w:rsidP="00EC0000">
      <w:pPr>
        <w:pStyle w:val="ListParagraph"/>
        <w:numPr>
          <w:ilvl w:val="0"/>
          <w:numId w:val="15"/>
        </w:numPr>
        <w:spacing w:after="120"/>
        <w:rPr>
          <w:rFonts w:ascii="Times New Roman" w:hAnsi="Times New Roman"/>
        </w:rPr>
      </w:pPr>
      <w:r>
        <w:rPr>
          <w:rFonts w:ascii="Times New Roman" w:hAnsi="Times New Roman"/>
          <w:u w:val="single"/>
        </w:rPr>
        <w:t>Tailored to Local Context</w:t>
      </w:r>
      <w:r>
        <w:rPr>
          <w:rFonts w:ascii="Times New Roman" w:hAnsi="Times New Roman"/>
        </w:rPr>
        <w:t xml:space="preserve">: Rooting objective standards in a community’s housing and urban design policies is essential to integrated and implementable standards. </w:t>
      </w:r>
      <w:r w:rsidR="00D4791D">
        <w:rPr>
          <w:rFonts w:ascii="Times New Roman" w:hAnsi="Times New Roman"/>
        </w:rPr>
        <w:t>N</w:t>
      </w:r>
      <w:r>
        <w:rPr>
          <w:rFonts w:ascii="Times New Roman" w:hAnsi="Times New Roman"/>
        </w:rPr>
        <w:t>esting standards with</w:t>
      </w:r>
      <w:r w:rsidR="00D4791D">
        <w:rPr>
          <w:rFonts w:ascii="Times New Roman" w:hAnsi="Times New Roman"/>
        </w:rPr>
        <w:t>in</w:t>
      </w:r>
      <w:r>
        <w:rPr>
          <w:rFonts w:ascii="Times New Roman" w:hAnsi="Times New Roman"/>
        </w:rPr>
        <w:t xml:space="preserve"> clear intent statements </w:t>
      </w:r>
      <w:r w:rsidR="00D4791D">
        <w:rPr>
          <w:rFonts w:ascii="Times New Roman" w:hAnsi="Times New Roman"/>
        </w:rPr>
        <w:t>can help</w:t>
      </w:r>
      <w:r>
        <w:rPr>
          <w:rFonts w:ascii="Times New Roman" w:hAnsi="Times New Roman"/>
        </w:rPr>
        <w:t xml:space="preserve"> applicants, community members and decision-makers understand the rationale behind specific standards. Although objective standards regulate design on a building level, these broader policy statements are </w:t>
      </w:r>
      <w:r>
        <w:rPr>
          <w:rFonts w:ascii="Times New Roman" w:hAnsi="Times New Roman"/>
        </w:rPr>
        <w:lastRenderedPageBreak/>
        <w:t>essential for ensuring that neighborhood and citywide design principles are upheld and visions are implemented.</w:t>
      </w:r>
    </w:p>
    <w:p w14:paraId="48920365" w14:textId="3626A61F" w:rsidR="002F58A7" w:rsidRDefault="00713FCA" w:rsidP="00EC0000">
      <w:pPr>
        <w:pStyle w:val="ListParagraph"/>
        <w:numPr>
          <w:ilvl w:val="0"/>
          <w:numId w:val="15"/>
        </w:numPr>
        <w:spacing w:after="120"/>
        <w:rPr>
          <w:rFonts w:ascii="Times New Roman" w:hAnsi="Times New Roman"/>
        </w:rPr>
      </w:pPr>
      <w:r>
        <w:rPr>
          <w:rFonts w:ascii="Times New Roman" w:hAnsi="Times New Roman"/>
          <w:u w:val="single"/>
        </w:rPr>
        <w:t>Comprehensive Topics</w:t>
      </w:r>
      <w:r>
        <w:rPr>
          <w:rFonts w:ascii="Times New Roman" w:hAnsi="Times New Roman"/>
        </w:rPr>
        <w:t xml:space="preserve">: Generally, Bay Area jurisdictions are regulating the same sets of topics, which address the building design (i.e., massing and articulation) and site design (e.g., parking, utilities, building placement), including the relationship to the sidewalk and street. </w:t>
      </w:r>
    </w:p>
    <w:p w14:paraId="24991B7A" w14:textId="03BFD6FF" w:rsidR="002F58A7" w:rsidRDefault="00000000" w:rsidP="00EC0000">
      <w:pPr>
        <w:pStyle w:val="ListParagraph"/>
        <w:numPr>
          <w:ilvl w:val="0"/>
          <w:numId w:val="15"/>
        </w:numPr>
        <w:spacing w:after="120"/>
        <w:rPr>
          <w:rFonts w:ascii="Times New Roman" w:hAnsi="Times New Roman"/>
        </w:rPr>
      </w:pPr>
      <w:r>
        <w:rPr>
          <w:rFonts w:ascii="Times New Roman" w:hAnsi="Times New Roman"/>
          <w:u w:val="single"/>
        </w:rPr>
        <w:t>Zoning Graphics</w:t>
      </w:r>
      <w:r>
        <w:rPr>
          <w:rFonts w:ascii="Times New Roman" w:hAnsi="Times New Roman"/>
        </w:rPr>
        <w:t xml:space="preserve">: Illustrations and photographs are an important complement for explaining written standards. </w:t>
      </w:r>
    </w:p>
    <w:p w14:paraId="20BFCC5F" w14:textId="7D38141C" w:rsidR="002F58A7" w:rsidRDefault="00000000" w:rsidP="00EC0000">
      <w:pPr>
        <w:pStyle w:val="ListParagraph"/>
        <w:numPr>
          <w:ilvl w:val="0"/>
          <w:numId w:val="15"/>
        </w:numPr>
        <w:spacing w:after="120"/>
        <w:rPr>
          <w:rFonts w:ascii="Times New Roman" w:hAnsi="Times New Roman"/>
        </w:rPr>
      </w:pPr>
      <w:r>
        <w:rPr>
          <w:rFonts w:ascii="Times New Roman" w:hAnsi="Times New Roman"/>
          <w:u w:val="single"/>
        </w:rPr>
        <w:t>Interdepartmental Coordination</w:t>
      </w:r>
      <w:r>
        <w:rPr>
          <w:rFonts w:ascii="Times New Roman" w:hAnsi="Times New Roman"/>
        </w:rPr>
        <w:t>: Coordination across jurisdictions’ departments is essential, especially when it comes to regulations that span multiple divisions, such as utilities, stormwater, building code, landscaping and streets. Adopting objective standards will require input from various departments, including Public Works and Fire.</w:t>
      </w:r>
    </w:p>
    <w:p w14:paraId="79102310" w14:textId="202502F9" w:rsidR="002F58A7" w:rsidRDefault="00000000" w:rsidP="00EC0000">
      <w:pPr>
        <w:pStyle w:val="ListParagraph"/>
        <w:numPr>
          <w:ilvl w:val="0"/>
          <w:numId w:val="15"/>
        </w:numPr>
        <w:spacing w:after="120"/>
        <w:rPr>
          <w:rFonts w:ascii="Times New Roman" w:hAnsi="Times New Roman"/>
        </w:rPr>
      </w:pPr>
      <w:r>
        <w:rPr>
          <w:rFonts w:ascii="Times New Roman" w:hAnsi="Times New Roman"/>
          <w:u w:val="single"/>
        </w:rPr>
        <w:t>Balancing Costs &amp; Benefits</w:t>
      </w:r>
      <w:r>
        <w:rPr>
          <w:rFonts w:ascii="Times New Roman" w:hAnsi="Times New Roman"/>
        </w:rPr>
        <w:t xml:space="preserve">:  Choosing how to regulate design is a delicate balance between supporting community design objectives and ensuring project feasibility. To strike the right balance, </w:t>
      </w:r>
      <w:r>
        <w:rPr>
          <w:rFonts w:ascii="Times New Roman" w:hAnsi="Times New Roman"/>
          <w:shd w:val="clear" w:color="auto" w:fill="C0C0C0"/>
        </w:rPr>
        <w:t>[Jurisdiction Name]</w:t>
      </w:r>
      <w:r>
        <w:rPr>
          <w:rFonts w:ascii="Times New Roman" w:hAnsi="Times New Roman"/>
        </w:rPr>
        <w:t xml:space="preserve"> must consider how adopting certain design standards could impact project feasibility in the context of supporting new housing and the long-term evolution of the community. See further discussion in the next section.</w:t>
      </w:r>
    </w:p>
    <w:p w14:paraId="7B1E12BF" w14:textId="77777777" w:rsidR="002F58A7" w:rsidRDefault="002F58A7" w:rsidP="00EC0000">
      <w:pPr>
        <w:pStyle w:val="Body"/>
        <w:rPr>
          <w:rFonts w:ascii="Times New Roman" w:eastAsia="Times New Roman" w:hAnsi="Times New Roman" w:cs="Times New Roman"/>
        </w:rPr>
      </w:pPr>
    </w:p>
    <w:p w14:paraId="4BC225D8" w14:textId="77777777" w:rsidR="002F58A7" w:rsidRDefault="002F58A7" w:rsidP="00EC0000">
      <w:pPr>
        <w:pStyle w:val="Body"/>
        <w:rPr>
          <w:rFonts w:ascii="Times New Roman" w:eastAsia="Times New Roman" w:hAnsi="Times New Roman" w:cs="Times New Roman"/>
          <w:b/>
          <w:bCs/>
        </w:rPr>
      </w:pPr>
    </w:p>
    <w:p w14:paraId="72329E11" w14:textId="77777777" w:rsidR="002F58A7" w:rsidRDefault="00000000" w:rsidP="00EC0000">
      <w:pPr>
        <w:pStyle w:val="Body"/>
        <w:keepNext/>
        <w:rPr>
          <w:rFonts w:ascii="Times New Roman" w:eastAsia="Times New Roman" w:hAnsi="Times New Roman" w:cs="Times New Roman"/>
          <w:b/>
          <w:bCs/>
        </w:rPr>
      </w:pPr>
      <w:r>
        <w:rPr>
          <w:rFonts w:ascii="Times New Roman" w:hAnsi="Times New Roman"/>
          <w:b/>
          <w:bCs/>
          <w:lang w:val="es-ES_tradnl"/>
        </w:rPr>
        <w:t>BALANCING PROJECT FEASIBILITY &amp; COMMUNITY DESIGN VALUES</w:t>
      </w:r>
    </w:p>
    <w:p w14:paraId="1AE6E0C6" w14:textId="77777777" w:rsidR="002F58A7" w:rsidRDefault="002F58A7" w:rsidP="00EC0000">
      <w:pPr>
        <w:pStyle w:val="Body"/>
        <w:keepNext/>
        <w:rPr>
          <w:rFonts w:ascii="Times New Roman" w:eastAsia="Times New Roman" w:hAnsi="Times New Roman" w:cs="Times New Roman"/>
        </w:rPr>
      </w:pPr>
    </w:p>
    <w:p w14:paraId="2649C34E" w14:textId="46EFD636" w:rsidR="002F58A7" w:rsidRDefault="00000000" w:rsidP="00EC0000">
      <w:pPr>
        <w:pStyle w:val="Body"/>
        <w:rPr>
          <w:rFonts w:ascii="Times New Roman" w:eastAsia="Times New Roman" w:hAnsi="Times New Roman" w:cs="Times New Roman"/>
        </w:rPr>
      </w:pPr>
      <w:r>
        <w:rPr>
          <w:rFonts w:ascii="Times New Roman" w:hAnsi="Times New Roman"/>
        </w:rPr>
        <w:t>Design standards are an important tool that cities can use to promote high-quality, safe and visually appealing buildings</w:t>
      </w:r>
      <w:r w:rsidR="00972419">
        <w:rPr>
          <w:rFonts w:ascii="Times New Roman" w:hAnsi="Times New Roman"/>
        </w:rPr>
        <w:t xml:space="preserve"> and great places</w:t>
      </w:r>
      <w:r>
        <w:rPr>
          <w:rFonts w:ascii="Times New Roman" w:hAnsi="Times New Roman"/>
        </w:rPr>
        <w:t>. However, these standards, even if made clear and objective, can increase costs and complexity for projects. If overly restrictive or too numerous, design standards can contribute to higher housing costs—or can keep projects from being built at all.</w:t>
      </w:r>
    </w:p>
    <w:p w14:paraId="76D643BA" w14:textId="77777777" w:rsidR="002F58A7" w:rsidRDefault="002F58A7" w:rsidP="00EC0000">
      <w:pPr>
        <w:pStyle w:val="Body"/>
        <w:rPr>
          <w:rFonts w:ascii="Times New Roman" w:eastAsia="Times New Roman" w:hAnsi="Times New Roman" w:cs="Times New Roman"/>
        </w:rPr>
      </w:pPr>
    </w:p>
    <w:p w14:paraId="14F11FD9" w14:textId="12AAABAE" w:rsidR="002F58A7" w:rsidRDefault="00000000" w:rsidP="00EC0000">
      <w:pPr>
        <w:pStyle w:val="Body"/>
        <w:rPr>
          <w:rFonts w:ascii="Times New Roman" w:eastAsia="Times New Roman" w:hAnsi="Times New Roman" w:cs="Times New Roman"/>
        </w:rPr>
      </w:pPr>
      <w:r>
        <w:rPr>
          <w:rFonts w:ascii="Times New Roman" w:hAnsi="Times New Roman"/>
        </w:rPr>
        <w:t>On balance, design standards can influence better project designs that can increase property and rental values. Many design standards are of critical importance for community design goals and should not be compromised. When considering adopting supplemental standards, moderation is key. The financial implications of these standards must be weighed alongside their placemaking benefits.</w:t>
      </w:r>
    </w:p>
    <w:p w14:paraId="015F8341" w14:textId="77777777" w:rsidR="002F58A7" w:rsidRDefault="002F58A7" w:rsidP="00EC0000">
      <w:pPr>
        <w:pStyle w:val="Body"/>
        <w:rPr>
          <w:rFonts w:ascii="Times New Roman" w:eastAsia="Times New Roman" w:hAnsi="Times New Roman" w:cs="Times New Roman"/>
        </w:rPr>
      </w:pPr>
    </w:p>
    <w:p w14:paraId="483B09AA" w14:textId="77777777" w:rsidR="002F58A7" w:rsidRDefault="00000000" w:rsidP="00EC0000">
      <w:pPr>
        <w:pStyle w:val="Body"/>
        <w:rPr>
          <w:rFonts w:ascii="Times New Roman" w:eastAsia="Times New Roman" w:hAnsi="Times New Roman" w:cs="Times New Roman"/>
        </w:rPr>
      </w:pPr>
      <w:r>
        <w:rPr>
          <w:rFonts w:ascii="Times New Roman" w:hAnsi="Times New Roman"/>
        </w:rPr>
        <w:t xml:space="preserve">For example, design standards that trigger more rigorous construction techniques (e.g., upper story stepbacks) or more architectural complexity (e.g., patterns of recesses and projections) can increase design fees and construction fees and should be considered in that context. </w:t>
      </w:r>
    </w:p>
    <w:p w14:paraId="1BEE8951" w14:textId="77777777" w:rsidR="002F58A7" w:rsidRDefault="002F58A7" w:rsidP="00EC0000">
      <w:pPr>
        <w:pStyle w:val="Body"/>
        <w:rPr>
          <w:rFonts w:ascii="Times New Roman" w:eastAsia="Times New Roman" w:hAnsi="Times New Roman" w:cs="Times New Roman"/>
        </w:rPr>
      </w:pPr>
    </w:p>
    <w:p w14:paraId="026E1E80"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lang w:val="de-DE"/>
        </w:rPr>
        <w:t>COMMUNITY OUTREACH</w:t>
      </w:r>
    </w:p>
    <w:p w14:paraId="5594C25B" w14:textId="77777777" w:rsidR="002F58A7" w:rsidRDefault="002F58A7" w:rsidP="00EC0000">
      <w:pPr>
        <w:pStyle w:val="Body"/>
        <w:rPr>
          <w:rFonts w:ascii="Times New Roman" w:eastAsia="Times New Roman" w:hAnsi="Times New Roman" w:cs="Times New Roman"/>
        </w:rPr>
      </w:pPr>
    </w:p>
    <w:p w14:paraId="46F0FD32" w14:textId="77777777" w:rsidR="002F58A7" w:rsidRDefault="00000000" w:rsidP="00EC0000">
      <w:pPr>
        <w:pStyle w:val="Body"/>
        <w:rPr>
          <w:rFonts w:ascii="Times New Roman" w:eastAsia="Times New Roman" w:hAnsi="Times New Roman" w:cs="Times New Roman"/>
        </w:rPr>
      </w:pPr>
      <w:r>
        <w:rPr>
          <w:rFonts w:ascii="Times New Roman" w:hAnsi="Times New Roman"/>
          <w:shd w:val="clear" w:color="auto" w:fill="C0C0C0"/>
        </w:rPr>
        <w:t>[Add, as Appropriate]</w:t>
      </w:r>
    </w:p>
    <w:p w14:paraId="262E335E" w14:textId="77777777" w:rsidR="002F58A7" w:rsidRDefault="002F58A7" w:rsidP="00EC0000">
      <w:pPr>
        <w:pStyle w:val="Body"/>
        <w:rPr>
          <w:rFonts w:ascii="Times New Roman" w:eastAsia="Times New Roman" w:hAnsi="Times New Roman" w:cs="Times New Roman"/>
        </w:rPr>
      </w:pPr>
    </w:p>
    <w:p w14:paraId="55756C92" w14:textId="77777777" w:rsidR="002F58A7" w:rsidRDefault="002F58A7" w:rsidP="00EC0000">
      <w:pPr>
        <w:pStyle w:val="Body"/>
        <w:rPr>
          <w:rFonts w:ascii="Times New Roman" w:eastAsia="Times New Roman" w:hAnsi="Times New Roman" w:cs="Times New Roman"/>
        </w:rPr>
      </w:pPr>
    </w:p>
    <w:p w14:paraId="14D30B90"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lang w:val="de-DE"/>
        </w:rPr>
        <w:t>ENVIRONMENTAL REVIEW</w:t>
      </w:r>
    </w:p>
    <w:p w14:paraId="7F6F43B6" w14:textId="77777777" w:rsidR="002F58A7" w:rsidRDefault="002F58A7" w:rsidP="00EC0000">
      <w:pPr>
        <w:pStyle w:val="Body"/>
        <w:rPr>
          <w:rFonts w:ascii="Times New Roman" w:eastAsia="Times New Roman" w:hAnsi="Times New Roman" w:cs="Times New Roman"/>
        </w:rPr>
      </w:pPr>
    </w:p>
    <w:p w14:paraId="6A85AA5B" w14:textId="53E6C7A6" w:rsidR="002F58A7" w:rsidRDefault="00000000" w:rsidP="00EC0000">
      <w:pPr>
        <w:pStyle w:val="Body"/>
        <w:rPr>
          <w:rFonts w:ascii="Times New Roman" w:eastAsia="Times New Roman" w:hAnsi="Times New Roman" w:cs="Times New Roman"/>
        </w:rPr>
      </w:pPr>
      <w:r>
        <w:rPr>
          <w:rFonts w:ascii="Times New Roman" w:hAnsi="Times New Roman"/>
          <w:shd w:val="clear" w:color="auto" w:fill="C0C0C0"/>
        </w:rPr>
        <w:lastRenderedPageBreak/>
        <w:t>[Example – Revise, as Appropriate]</w:t>
      </w:r>
      <w:r>
        <w:rPr>
          <w:rFonts w:ascii="Times New Roman" w:hAnsi="Times New Roman"/>
        </w:rPr>
        <w:t xml:space="preserve"> Proposed ordinance revisions represent implementation of adopted plans and policy. Therefore, the revisions are anticipated to be exempt under CEQA and covered by the CEQA documents prepared for the Housing Element. The project aims to facilitate implementation of </w:t>
      </w:r>
      <w:r w:rsidR="00972419">
        <w:rPr>
          <w:rFonts w:ascii="Times New Roman" w:hAnsi="Times New Roman"/>
        </w:rPr>
        <w:t>s</w:t>
      </w:r>
      <w:r>
        <w:rPr>
          <w:rFonts w:ascii="Times New Roman" w:hAnsi="Times New Roman"/>
        </w:rPr>
        <w:t>tate law and does not intend to increase development beyond what was analyzed in the Housing Element.</w:t>
      </w:r>
    </w:p>
    <w:p w14:paraId="24E54E09" w14:textId="77777777" w:rsidR="002F58A7" w:rsidRDefault="002F58A7" w:rsidP="00EC0000">
      <w:pPr>
        <w:pStyle w:val="Body"/>
        <w:rPr>
          <w:rFonts w:ascii="Times New Roman" w:eastAsia="Times New Roman" w:hAnsi="Times New Roman" w:cs="Times New Roman"/>
        </w:rPr>
      </w:pPr>
    </w:p>
    <w:p w14:paraId="0BEF751B" w14:textId="77777777" w:rsidR="002F58A7" w:rsidRDefault="002F58A7" w:rsidP="00EC0000">
      <w:pPr>
        <w:pStyle w:val="Body"/>
        <w:ind w:left="720"/>
        <w:rPr>
          <w:rFonts w:ascii="Times New Roman" w:eastAsia="Times New Roman" w:hAnsi="Times New Roman" w:cs="Times New Roman"/>
        </w:rPr>
      </w:pPr>
    </w:p>
    <w:p w14:paraId="7C6C4B5F" w14:textId="77777777" w:rsidR="002F58A7" w:rsidRDefault="00000000" w:rsidP="00EC0000">
      <w:pPr>
        <w:pStyle w:val="Body"/>
        <w:rPr>
          <w:rFonts w:ascii="Times New Roman" w:eastAsia="Times New Roman" w:hAnsi="Times New Roman" w:cs="Times New Roman"/>
          <w:b/>
          <w:bCs/>
        </w:rPr>
      </w:pPr>
      <w:r>
        <w:rPr>
          <w:rFonts w:ascii="Times New Roman" w:hAnsi="Times New Roman"/>
          <w:b/>
          <w:bCs/>
          <w:lang w:val="de-DE"/>
        </w:rPr>
        <w:t>NEXT STEPS</w:t>
      </w:r>
    </w:p>
    <w:p w14:paraId="61946F0D" w14:textId="77777777" w:rsidR="002F58A7" w:rsidRDefault="002F58A7" w:rsidP="00EC0000">
      <w:pPr>
        <w:pStyle w:val="Body"/>
        <w:rPr>
          <w:rFonts w:ascii="Times New Roman" w:eastAsia="Times New Roman" w:hAnsi="Times New Roman" w:cs="Times New Roman"/>
          <w:b/>
          <w:bCs/>
        </w:rPr>
      </w:pPr>
    </w:p>
    <w:p w14:paraId="16752303" w14:textId="77777777" w:rsidR="002F58A7" w:rsidRDefault="00000000" w:rsidP="00EC0000">
      <w:pPr>
        <w:pStyle w:val="Body"/>
        <w:rPr>
          <w:rFonts w:ascii="Times New Roman" w:hAnsi="Times New Roman"/>
        </w:rPr>
      </w:pPr>
      <w:r>
        <w:rPr>
          <w:rFonts w:ascii="Times New Roman" w:hAnsi="Times New Roman"/>
        </w:rPr>
        <w:t xml:space="preserve">Based on the </w:t>
      </w:r>
      <w:r>
        <w:rPr>
          <w:rFonts w:ascii="Times New Roman" w:hAnsi="Times New Roman"/>
          <w:shd w:val="clear" w:color="auto" w:fill="C0C0C0"/>
        </w:rPr>
        <w:t>[Board/Commission/Council]</w:t>
      </w:r>
      <w:r>
        <w:rPr>
          <w:rFonts w:ascii="Times New Roman" w:hAnsi="Times New Roman"/>
        </w:rPr>
        <w:t xml:space="preserve"> direction, staff and consultants will prepare preliminary draft ordinance components and preliminary graphics to share with the </w:t>
      </w:r>
      <w:r>
        <w:rPr>
          <w:rFonts w:ascii="Times New Roman" w:hAnsi="Times New Roman"/>
          <w:shd w:val="clear" w:color="auto" w:fill="C0C0C0"/>
        </w:rPr>
        <w:t>[Board/Commission/Council]</w:t>
      </w:r>
      <w:r>
        <w:rPr>
          <w:rFonts w:ascii="Times New Roman" w:hAnsi="Times New Roman"/>
        </w:rPr>
        <w:t xml:space="preserve"> at a subsequent meeting.</w:t>
      </w:r>
    </w:p>
    <w:p w14:paraId="73AB677E" w14:textId="173BBE96" w:rsidR="005834F6" w:rsidRDefault="005834F6" w:rsidP="00EC0000">
      <w:pPr>
        <w:pStyle w:val="Body"/>
        <w:rPr>
          <w:rFonts w:ascii="Times New Roman" w:hAnsi="Times New Roman"/>
        </w:rPr>
      </w:pPr>
    </w:p>
    <w:sectPr w:rsidR="005834F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A94A" w14:textId="77777777" w:rsidR="003B15CA" w:rsidRDefault="003B15CA">
      <w:r>
        <w:separator/>
      </w:r>
    </w:p>
  </w:endnote>
  <w:endnote w:type="continuationSeparator" w:id="0">
    <w:p w14:paraId="5275CC87" w14:textId="77777777" w:rsidR="003B15CA" w:rsidRDefault="003B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D32E" w14:textId="77777777" w:rsidR="002F58A7" w:rsidRDefault="00000000">
    <w:pPr>
      <w:pStyle w:val="Footer"/>
      <w:tabs>
        <w:tab w:val="clear" w:pos="9360"/>
        <w:tab w:val="right" w:pos="9340"/>
      </w:tabs>
      <w:jc w:val="center"/>
    </w:pPr>
    <w:r>
      <w:fldChar w:fldCharType="begin"/>
    </w:r>
    <w:r>
      <w:instrText xml:space="preserve"> PAGE </w:instrText>
    </w:r>
    <w:r>
      <w:fldChar w:fldCharType="separate"/>
    </w:r>
    <w:r w:rsidR="00FD6A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3D55" w14:textId="77777777" w:rsidR="003B15CA" w:rsidRDefault="003B15CA">
      <w:r>
        <w:separator/>
      </w:r>
    </w:p>
  </w:footnote>
  <w:footnote w:type="continuationSeparator" w:id="0">
    <w:p w14:paraId="75803C98" w14:textId="77777777" w:rsidR="003B15CA" w:rsidRDefault="003B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E4D4" w14:textId="77777777" w:rsidR="002F58A7" w:rsidRDefault="002F58A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CC2"/>
    <w:multiLevelType w:val="hybridMultilevel"/>
    <w:tmpl w:val="1F3CA570"/>
    <w:numStyleLink w:val="ImportedStyle3"/>
  </w:abstractNum>
  <w:abstractNum w:abstractNumId="1" w15:restartNumberingAfterBreak="0">
    <w:nsid w:val="09BE61DC"/>
    <w:multiLevelType w:val="hybridMultilevel"/>
    <w:tmpl w:val="E1806E4A"/>
    <w:styleLink w:val="Bullets"/>
    <w:lvl w:ilvl="0" w:tplc="8132EE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174D88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0FE6E18">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0468435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F5A398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F342E8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7EACC6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2078DE8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5B43C4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1321C1"/>
    <w:multiLevelType w:val="hybridMultilevel"/>
    <w:tmpl w:val="508681AA"/>
    <w:lvl w:ilvl="0" w:tplc="E82C9EA2">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1887110">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D64AD02">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A72FF5E">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466DABA">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A2BA3C">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724CBA8">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D860886">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D784AFC">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D6A4E61"/>
    <w:multiLevelType w:val="hybridMultilevel"/>
    <w:tmpl w:val="5BDED050"/>
    <w:lvl w:ilvl="0" w:tplc="1124D524">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EE87DA4">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E68C7D4">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F202C2E">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EEA2016">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5B02E92">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92A342">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B442B56">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F64A77C">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0460542"/>
    <w:multiLevelType w:val="hybridMultilevel"/>
    <w:tmpl w:val="D7045B3E"/>
    <w:lvl w:ilvl="0" w:tplc="CEF8B734">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A81C02">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ED8D30A">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E6EF4A">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966F84">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AE06D80">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C2F99A">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3AAE61C">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F227C6C">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5D04E2"/>
    <w:multiLevelType w:val="hybridMultilevel"/>
    <w:tmpl w:val="D8DE44F0"/>
    <w:numStyleLink w:val="ImportedStyle1"/>
  </w:abstractNum>
  <w:abstractNum w:abstractNumId="6" w15:restartNumberingAfterBreak="0">
    <w:nsid w:val="22166990"/>
    <w:multiLevelType w:val="hybridMultilevel"/>
    <w:tmpl w:val="20944A3C"/>
    <w:styleLink w:val="Lettered"/>
    <w:lvl w:ilvl="0" w:tplc="5BC4CAC2">
      <w:start w:val="1"/>
      <w:numFmt w:val="decimal"/>
      <w:lvlText w:val="(%1)"/>
      <w:lvlJc w:val="left"/>
      <w:pPr>
        <w:tabs>
          <w:tab w:val="left" w:pos="720"/>
        </w:tabs>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0E0E7A5E">
      <w:start w:val="1"/>
      <w:numFmt w:val="decimal"/>
      <w:lvlText w:val="(%2)"/>
      <w:lvlJc w:val="left"/>
      <w:pPr>
        <w:tabs>
          <w:tab w:val="left" w:pos="720"/>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4486342">
      <w:start w:val="1"/>
      <w:numFmt w:val="decimal"/>
      <w:lvlText w:val="(%3)"/>
      <w:lvlJc w:val="left"/>
      <w:pPr>
        <w:tabs>
          <w:tab w:val="left" w:pos="720"/>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D0E1C08">
      <w:start w:val="1"/>
      <w:numFmt w:val="decimal"/>
      <w:lvlText w:val="(%4)"/>
      <w:lvlJc w:val="left"/>
      <w:pPr>
        <w:tabs>
          <w:tab w:val="left" w:pos="720"/>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BF7C6D9E">
      <w:start w:val="1"/>
      <w:numFmt w:val="decimal"/>
      <w:lvlText w:val="(%5)"/>
      <w:lvlJc w:val="left"/>
      <w:pPr>
        <w:tabs>
          <w:tab w:val="left" w:pos="720"/>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C54226FC">
      <w:start w:val="1"/>
      <w:numFmt w:val="decimal"/>
      <w:lvlText w:val="(%6)"/>
      <w:lvlJc w:val="left"/>
      <w:pPr>
        <w:tabs>
          <w:tab w:val="left" w:pos="720"/>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E4E23854">
      <w:start w:val="1"/>
      <w:numFmt w:val="decimal"/>
      <w:lvlText w:val="(%7)"/>
      <w:lvlJc w:val="left"/>
      <w:pPr>
        <w:tabs>
          <w:tab w:val="left" w:pos="720"/>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5566A004">
      <w:start w:val="1"/>
      <w:numFmt w:val="decimal"/>
      <w:lvlText w:val="(%8)"/>
      <w:lvlJc w:val="left"/>
      <w:pPr>
        <w:tabs>
          <w:tab w:val="left" w:pos="720"/>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542A4D62">
      <w:start w:val="1"/>
      <w:numFmt w:val="decimal"/>
      <w:lvlText w:val="(%9)"/>
      <w:lvlJc w:val="left"/>
      <w:pPr>
        <w:tabs>
          <w:tab w:val="left" w:pos="720"/>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141360"/>
    <w:multiLevelType w:val="hybridMultilevel"/>
    <w:tmpl w:val="20944A3C"/>
    <w:numStyleLink w:val="Lettered"/>
  </w:abstractNum>
  <w:abstractNum w:abstractNumId="8" w15:restartNumberingAfterBreak="0">
    <w:nsid w:val="2E785AEC"/>
    <w:multiLevelType w:val="hybridMultilevel"/>
    <w:tmpl w:val="917CD834"/>
    <w:lvl w:ilvl="0" w:tplc="BF7C877E">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1F43A52">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ABC712A">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105782">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4EC6196">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C6CDD18">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4A82F64">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2271FC">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A4BFF4">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6F4E98"/>
    <w:multiLevelType w:val="hybridMultilevel"/>
    <w:tmpl w:val="E1806E4A"/>
    <w:numStyleLink w:val="Bullets"/>
  </w:abstractNum>
  <w:abstractNum w:abstractNumId="10" w15:restartNumberingAfterBreak="0">
    <w:nsid w:val="3CFF50FC"/>
    <w:multiLevelType w:val="hybridMultilevel"/>
    <w:tmpl w:val="1F3CA570"/>
    <w:styleLink w:val="ImportedStyle3"/>
    <w:lvl w:ilvl="0" w:tplc="6AB89E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E45E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20430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EB40B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74A60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1AF30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58AD8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8E30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ECB6E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BF37219"/>
    <w:multiLevelType w:val="hybridMultilevel"/>
    <w:tmpl w:val="D242DDC2"/>
    <w:lvl w:ilvl="0" w:tplc="EF7C2DDC">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D5E9C56">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84765A">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7EC3696">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C7295CA">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A280DAC">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05E0FEA">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24E32A">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9FC5CF2">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753156"/>
    <w:multiLevelType w:val="hybridMultilevel"/>
    <w:tmpl w:val="C63EF13C"/>
    <w:lvl w:ilvl="0" w:tplc="3BE40BE0">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38AFED4">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F8A058">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F7C302A">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CE2488">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6F4D928">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CCEE734">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E8A911C">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04DF2A">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7C427F"/>
    <w:multiLevelType w:val="hybridMultilevel"/>
    <w:tmpl w:val="88D6EA02"/>
    <w:lvl w:ilvl="0" w:tplc="D230F1C8">
      <w:start w:val="1"/>
      <w:numFmt w:val="bullet"/>
      <w:lvlText w:val="•"/>
      <w:lvlJc w:val="left"/>
      <w:pPr>
        <w:ind w:left="2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7A46CA">
      <w:start w:val="1"/>
      <w:numFmt w:val="bullet"/>
      <w:lvlText w:val="o"/>
      <w:lvlJc w:val="left"/>
      <w:pPr>
        <w:ind w:left="9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A32F5B2">
      <w:start w:val="1"/>
      <w:numFmt w:val="bullet"/>
      <w:lvlText w:val="▪"/>
      <w:lvlJc w:val="left"/>
      <w:pPr>
        <w:ind w:left="16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6743624">
      <w:start w:val="1"/>
      <w:numFmt w:val="bullet"/>
      <w:lvlText w:val="•"/>
      <w:lvlJc w:val="left"/>
      <w:pPr>
        <w:ind w:left="24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05CEB48">
      <w:start w:val="1"/>
      <w:numFmt w:val="bullet"/>
      <w:lvlText w:val="o"/>
      <w:lvlJc w:val="left"/>
      <w:pPr>
        <w:ind w:left="313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70EACE">
      <w:start w:val="1"/>
      <w:numFmt w:val="bullet"/>
      <w:lvlText w:val="▪"/>
      <w:lvlJc w:val="left"/>
      <w:pPr>
        <w:ind w:left="385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82495E">
      <w:start w:val="1"/>
      <w:numFmt w:val="bullet"/>
      <w:lvlText w:val="•"/>
      <w:lvlJc w:val="left"/>
      <w:pPr>
        <w:ind w:left="45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440FCCC">
      <w:start w:val="1"/>
      <w:numFmt w:val="bullet"/>
      <w:lvlText w:val="o"/>
      <w:lvlJc w:val="left"/>
      <w:pPr>
        <w:ind w:left="529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558E838">
      <w:start w:val="1"/>
      <w:numFmt w:val="bullet"/>
      <w:lvlText w:val="▪"/>
      <w:lvlJc w:val="left"/>
      <w:pPr>
        <w:ind w:left="601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12A7EEC"/>
    <w:multiLevelType w:val="hybridMultilevel"/>
    <w:tmpl w:val="D8DE44F0"/>
    <w:styleLink w:val="ImportedStyle1"/>
    <w:lvl w:ilvl="0" w:tplc="13BEE3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AAEC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0A13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400A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54E4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8E17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1CB5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1439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48EF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67669320">
    <w:abstractNumId w:val="6"/>
  </w:num>
  <w:num w:numId="2" w16cid:durableId="1235505277">
    <w:abstractNumId w:val="7"/>
  </w:num>
  <w:num w:numId="3" w16cid:durableId="482160287">
    <w:abstractNumId w:val="1"/>
  </w:num>
  <w:num w:numId="4" w16cid:durableId="261840216">
    <w:abstractNumId w:val="9"/>
  </w:num>
  <w:num w:numId="5" w16cid:durableId="776752884">
    <w:abstractNumId w:val="14"/>
  </w:num>
  <w:num w:numId="6" w16cid:durableId="1844053595">
    <w:abstractNumId w:val="5"/>
  </w:num>
  <w:num w:numId="7" w16cid:durableId="20979860">
    <w:abstractNumId w:val="3"/>
  </w:num>
  <w:num w:numId="8" w16cid:durableId="662506944">
    <w:abstractNumId w:val="12"/>
  </w:num>
  <w:num w:numId="9" w16cid:durableId="1711569594">
    <w:abstractNumId w:val="8"/>
  </w:num>
  <w:num w:numId="10" w16cid:durableId="1102645114">
    <w:abstractNumId w:val="4"/>
  </w:num>
  <w:num w:numId="11" w16cid:durableId="1510217447">
    <w:abstractNumId w:val="11"/>
  </w:num>
  <w:num w:numId="12" w16cid:durableId="483163005">
    <w:abstractNumId w:val="13"/>
  </w:num>
  <w:num w:numId="13" w16cid:durableId="1847090513">
    <w:abstractNumId w:val="2"/>
  </w:num>
  <w:num w:numId="14" w16cid:durableId="96483605">
    <w:abstractNumId w:val="10"/>
  </w:num>
  <w:num w:numId="15" w16cid:durableId="12993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A7"/>
    <w:rsid w:val="000F541E"/>
    <w:rsid w:val="002322D0"/>
    <w:rsid w:val="00296DD7"/>
    <w:rsid w:val="002F58A7"/>
    <w:rsid w:val="003237C6"/>
    <w:rsid w:val="00333B50"/>
    <w:rsid w:val="003B15CA"/>
    <w:rsid w:val="004E5707"/>
    <w:rsid w:val="005834F6"/>
    <w:rsid w:val="00713FCA"/>
    <w:rsid w:val="007C7C52"/>
    <w:rsid w:val="0086723A"/>
    <w:rsid w:val="008D5C7B"/>
    <w:rsid w:val="00916641"/>
    <w:rsid w:val="00972419"/>
    <w:rsid w:val="009A39B3"/>
    <w:rsid w:val="00AB5EE8"/>
    <w:rsid w:val="00B954AE"/>
    <w:rsid w:val="00BA08DE"/>
    <w:rsid w:val="00BA689D"/>
    <w:rsid w:val="00BE4BF1"/>
    <w:rsid w:val="00C5733E"/>
    <w:rsid w:val="00D4791D"/>
    <w:rsid w:val="00D753C3"/>
    <w:rsid w:val="00DD5B0B"/>
    <w:rsid w:val="00DE290F"/>
    <w:rsid w:val="00EC0000"/>
    <w:rsid w:val="00FD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180E"/>
  <w15:docId w15:val="{683C9830-DF00-7043-BB97-C8D28BD0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4"/>
      <w:szCs w:val="24"/>
      <w:u w:color="000000"/>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numbering" w:customStyle="1" w:styleId="Lettered">
    <w:name w:val="Lettered"/>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3"/>
      </w:numPr>
    </w:pPr>
  </w:style>
  <w:style w:type="paragraph" w:styleId="ListParagraph">
    <w:name w:val="List Paragraph"/>
    <w:pPr>
      <w:ind w:left="720"/>
    </w:pPr>
    <w:rPr>
      <w:rFonts w:ascii="Calibri" w:hAnsi="Calibri" w:cs="Arial Unicode MS"/>
      <w:color w:val="000000"/>
      <w:sz w:val="24"/>
      <w:szCs w:val="24"/>
      <w:u w:color="000000"/>
    </w:rPr>
  </w:style>
  <w:style w:type="numbering" w:customStyle="1" w:styleId="ImportedStyle1">
    <w:name w:val="Imported Style 1"/>
    <w:pPr>
      <w:numPr>
        <w:numId w:val="5"/>
      </w:numPr>
    </w:pPr>
  </w:style>
  <w:style w:type="numbering" w:customStyle="1" w:styleId="ImportedStyle3">
    <w:name w:val="Imported Style 3"/>
    <w:pPr>
      <w:numPr>
        <w:numId w:val="14"/>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D6A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CommentSubject">
    <w:name w:val="annotation subject"/>
    <w:basedOn w:val="CommentText"/>
    <w:next w:val="CommentText"/>
    <w:link w:val="CommentSubjectChar"/>
    <w:uiPriority w:val="99"/>
    <w:semiHidden/>
    <w:unhideWhenUsed/>
    <w:rsid w:val="00FD6A79"/>
    <w:rPr>
      <w:b/>
      <w:bCs/>
    </w:rPr>
  </w:style>
  <w:style w:type="character" w:customStyle="1" w:styleId="CommentSubjectChar">
    <w:name w:val="Comment Subject Char"/>
    <w:basedOn w:val="CommentTextChar"/>
    <w:link w:val="CommentSubject"/>
    <w:uiPriority w:val="99"/>
    <w:semiHidden/>
    <w:rsid w:val="00FD6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McDevitt</dc:creator>
  <cp:lastModifiedBy>Kate Didech</cp:lastModifiedBy>
  <cp:revision>2</cp:revision>
  <dcterms:created xsi:type="dcterms:W3CDTF">2025-03-13T23:41:00Z</dcterms:created>
  <dcterms:modified xsi:type="dcterms:W3CDTF">2025-03-13T23:41:00Z</dcterms:modified>
</cp:coreProperties>
</file>