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7FEE" w14:textId="22472AA9" w:rsidR="00894973" w:rsidRDefault="00000000" w:rsidP="005745A0">
      <w:pPr>
        <w:pStyle w:val="Title"/>
      </w:pPr>
      <w:r w:rsidRPr="005745A0">
        <w:t xml:space="preserve">CITY OF </w:t>
      </w:r>
      <w:r w:rsidRPr="005745A0">
        <w:br/>
        <w:t>SB 9 QUALIFYING CRITERIA CHECKLIST</w:t>
      </w:r>
    </w:p>
    <w:p w14:paraId="34001A8E" w14:textId="56CB2690" w:rsidR="00473F25" w:rsidRPr="00473F25" w:rsidRDefault="00533B3E" w:rsidP="00473F25">
      <w:r w:rsidRPr="0006463C">
        <w:rPr>
          <w:b/>
          <w:bCs/>
          <w:shd w:val="clear" w:color="auto" w:fill="E2EFD9" w:themeFill="accent6" w:themeFillTint="33"/>
        </w:rPr>
        <w:t>Content Is Outdated. </w:t>
      </w:r>
      <w:r w:rsidR="00473F25" w:rsidRPr="0006463C">
        <w:rPr>
          <w:shd w:val="clear" w:color="auto" w:fill="E2EFD9" w:themeFill="accent6" w:themeFillTint="33"/>
        </w:rPr>
        <w:t xml:space="preserve">This resource has not been updated with laws passed after December 2022. Please check the </w:t>
      </w:r>
      <w:hyperlink r:id="rId7" w:tgtFrame="_blank" w:history="1">
        <w:r w:rsidR="00473F25" w:rsidRPr="0006463C">
          <w:rPr>
            <w:rStyle w:val="Hyperlink"/>
            <w:shd w:val="clear" w:color="auto" w:fill="E2EFD9" w:themeFill="accent6" w:themeFillTint="33"/>
          </w:rPr>
          <w:t>2024 New Housing Laws Webinar and Summary</w:t>
        </w:r>
      </w:hyperlink>
      <w:r w:rsidR="00473F25" w:rsidRPr="0006463C">
        <w:rPr>
          <w:shd w:val="clear" w:color="auto" w:fill="E2EFD9" w:themeFill="accent6" w:themeFillTint="33"/>
        </w:rPr>
        <w:t xml:space="preserve"> for more information.</w:t>
      </w:r>
      <w:r w:rsidR="00473F25" w:rsidRPr="00473F25">
        <w:br/>
      </w:r>
    </w:p>
    <w:p w14:paraId="278853AC" w14:textId="40F5A14B" w:rsidR="00894973" w:rsidRPr="005745A0" w:rsidRDefault="00521977" w:rsidP="005745A0">
      <w:pPr>
        <w:pStyle w:val="Heading1"/>
      </w:pPr>
      <w:r>
        <w:t>GOVERNMENT</w:t>
      </w:r>
      <w:r w:rsidRPr="005745A0">
        <w:t xml:space="preserve"> CODE </w:t>
      </w:r>
      <w:r w:rsidR="005745A0">
        <w:t>Section</w:t>
      </w:r>
      <w:r w:rsidRPr="005745A0">
        <w:t xml:space="preserve"> 66411.7: URBAN LOT SPLITS</w:t>
      </w:r>
    </w:p>
    <w:p w14:paraId="2096076D" w14:textId="4139D76E" w:rsidR="003D435F" w:rsidRPr="005745A0" w:rsidRDefault="00000000" w:rsidP="005745A0">
      <w:pPr>
        <w:pStyle w:val="Heading2"/>
      </w:pPr>
      <w:r w:rsidRPr="005745A0">
        <w:t>Preliminary Questions</w:t>
      </w:r>
    </w:p>
    <w:p w14:paraId="45195213" w14:textId="1F3C6319" w:rsidR="003D435F" w:rsidRDefault="00000000" w:rsidP="003D435F">
      <w:pPr>
        <w:pStyle w:val="ListParagraph"/>
        <w:numPr>
          <w:ilvl w:val="0"/>
          <w:numId w:val="2"/>
        </w:numPr>
        <w:spacing w:line="360" w:lineRule="auto"/>
        <w:rPr>
          <w:rFonts w:cs="Times New Roman"/>
          <w:szCs w:val="24"/>
        </w:rPr>
      </w:pPr>
      <w:r>
        <w:rPr>
          <w:rFonts w:cs="Times New Roman"/>
          <w:szCs w:val="24"/>
        </w:rPr>
        <w:t xml:space="preserve">Street address: </w:t>
      </w:r>
    </w:p>
    <w:p w14:paraId="2CE7232B" w14:textId="6AB2776B" w:rsidR="002B52A9" w:rsidRDefault="00000000" w:rsidP="003D435F">
      <w:pPr>
        <w:pStyle w:val="ListParagraph"/>
        <w:numPr>
          <w:ilvl w:val="0"/>
          <w:numId w:val="2"/>
        </w:numPr>
        <w:spacing w:line="360" w:lineRule="auto"/>
        <w:rPr>
          <w:rFonts w:cs="Times New Roman"/>
          <w:szCs w:val="24"/>
        </w:rPr>
      </w:pPr>
      <w:r>
        <w:rPr>
          <w:rFonts w:cs="Times New Roman"/>
          <w:szCs w:val="24"/>
        </w:rPr>
        <w:t xml:space="preserve">Assessor's Parcel Number (APN): </w:t>
      </w:r>
    </w:p>
    <w:p w14:paraId="21B0447E" w14:textId="5B9C2CB2" w:rsidR="003D435F" w:rsidRDefault="00000000" w:rsidP="003D435F">
      <w:pPr>
        <w:pStyle w:val="ListParagraph"/>
        <w:numPr>
          <w:ilvl w:val="0"/>
          <w:numId w:val="2"/>
        </w:numPr>
        <w:spacing w:line="360" w:lineRule="auto"/>
        <w:rPr>
          <w:rFonts w:cs="Times New Roman"/>
          <w:szCs w:val="24"/>
        </w:rPr>
      </w:pPr>
      <w:r>
        <w:rPr>
          <w:rFonts w:cs="Times New Roman"/>
          <w:szCs w:val="24"/>
        </w:rPr>
        <w:t xml:space="preserve">Owner/applicant name: </w:t>
      </w:r>
    </w:p>
    <w:p w14:paraId="78BFE122" w14:textId="116B86ED" w:rsidR="003D435F" w:rsidRDefault="00000000" w:rsidP="003D435F">
      <w:pPr>
        <w:pStyle w:val="ListParagraph"/>
        <w:numPr>
          <w:ilvl w:val="0"/>
          <w:numId w:val="2"/>
        </w:numPr>
        <w:spacing w:line="360" w:lineRule="auto"/>
        <w:rPr>
          <w:rFonts w:cs="Times New Roman"/>
          <w:szCs w:val="24"/>
        </w:rPr>
      </w:pPr>
      <w:r>
        <w:rPr>
          <w:rFonts w:cs="Times New Roman"/>
          <w:szCs w:val="24"/>
        </w:rPr>
        <w:t xml:space="preserve">Current parcel zoning designation: </w:t>
      </w:r>
    </w:p>
    <w:p w14:paraId="290DAA15" w14:textId="3010A8B6" w:rsidR="006641C8" w:rsidRDefault="00000000" w:rsidP="003D435F">
      <w:pPr>
        <w:pStyle w:val="ListParagraph"/>
        <w:numPr>
          <w:ilvl w:val="0"/>
          <w:numId w:val="2"/>
        </w:numPr>
        <w:spacing w:line="360" w:lineRule="auto"/>
        <w:rPr>
          <w:rFonts w:cs="Times New Roman"/>
          <w:szCs w:val="24"/>
        </w:rPr>
      </w:pPr>
      <w:r>
        <w:rPr>
          <w:rFonts w:cs="Times New Roman"/>
          <w:szCs w:val="24"/>
        </w:rPr>
        <w:t xml:space="preserve">Size of the </w:t>
      </w:r>
      <w:r w:rsidR="003D435F">
        <w:rPr>
          <w:rFonts w:cs="Times New Roman"/>
          <w:szCs w:val="24"/>
        </w:rPr>
        <w:t>parcel subject to proposed</w:t>
      </w:r>
      <w:r>
        <w:rPr>
          <w:rFonts w:cs="Times New Roman"/>
          <w:szCs w:val="24"/>
        </w:rPr>
        <w:t xml:space="preserve"> split:  </w:t>
      </w:r>
      <w:r w:rsidR="00D91622">
        <w:rPr>
          <w:rFonts w:cs="Times New Roman"/>
          <w:szCs w:val="24"/>
        </w:rPr>
        <w:t>square feet</w:t>
      </w:r>
    </w:p>
    <w:p w14:paraId="2B47C468" w14:textId="0A250C16" w:rsidR="003336F8" w:rsidRDefault="00000000" w:rsidP="003336F8">
      <w:pPr>
        <w:pStyle w:val="ListParagraph"/>
        <w:numPr>
          <w:ilvl w:val="1"/>
          <w:numId w:val="2"/>
        </w:numPr>
        <w:spacing w:line="360" w:lineRule="auto"/>
        <w:rPr>
          <w:rFonts w:cs="Times New Roman"/>
          <w:szCs w:val="24"/>
        </w:rPr>
      </w:pPr>
      <w:r>
        <w:rPr>
          <w:rFonts w:cs="Times New Roman"/>
          <w:szCs w:val="24"/>
        </w:rPr>
        <w:t xml:space="preserve">Size of resulting parcel #1: </w:t>
      </w:r>
      <w:r w:rsidR="00D91622">
        <w:rPr>
          <w:rFonts w:cs="Times New Roman"/>
          <w:szCs w:val="24"/>
        </w:rPr>
        <w:t>square feet</w:t>
      </w:r>
    </w:p>
    <w:p w14:paraId="17EB0A3D" w14:textId="4A4D63C9" w:rsidR="003336F8" w:rsidRDefault="00000000" w:rsidP="003336F8">
      <w:pPr>
        <w:pStyle w:val="ListParagraph"/>
        <w:numPr>
          <w:ilvl w:val="1"/>
          <w:numId w:val="2"/>
        </w:numPr>
        <w:spacing w:line="360" w:lineRule="auto"/>
        <w:rPr>
          <w:rFonts w:cs="Times New Roman"/>
          <w:szCs w:val="24"/>
        </w:rPr>
      </w:pPr>
      <w:r>
        <w:rPr>
          <w:rFonts w:cs="Times New Roman"/>
          <w:szCs w:val="24"/>
        </w:rPr>
        <w:t xml:space="preserve">Size of resulting parcel #2: </w:t>
      </w:r>
      <w:r w:rsidR="00D91622">
        <w:rPr>
          <w:rFonts w:cs="Times New Roman"/>
          <w:szCs w:val="24"/>
        </w:rPr>
        <w:t>square feet</w:t>
      </w:r>
    </w:p>
    <w:p w14:paraId="46535E2A" w14:textId="6730CEF1" w:rsidR="00B32BEE" w:rsidRPr="00B32BEE" w:rsidRDefault="00000000" w:rsidP="00B32BEE">
      <w:pPr>
        <w:pStyle w:val="ListParagraph"/>
        <w:numPr>
          <w:ilvl w:val="0"/>
          <w:numId w:val="2"/>
        </w:numPr>
        <w:spacing w:line="360" w:lineRule="auto"/>
        <w:rPr>
          <w:rFonts w:cs="Times New Roman"/>
          <w:szCs w:val="24"/>
        </w:rPr>
      </w:pPr>
      <w:r>
        <w:rPr>
          <w:rFonts w:cs="Times New Roman"/>
          <w:szCs w:val="24"/>
        </w:rPr>
        <w:t>Number of units existing on the parcel (indicate whether owner or renter occupied for last three years):</w:t>
      </w:r>
    </w:p>
    <w:p w14:paraId="4226EF9C" w14:textId="30A8E70B" w:rsidR="004C561F" w:rsidRDefault="00000000" w:rsidP="004C561F">
      <w:pPr>
        <w:pStyle w:val="ListParagraph"/>
        <w:numPr>
          <w:ilvl w:val="1"/>
          <w:numId w:val="2"/>
        </w:numPr>
        <w:spacing w:line="360" w:lineRule="auto"/>
        <w:rPr>
          <w:rFonts w:cs="Times New Roman"/>
          <w:szCs w:val="24"/>
        </w:rPr>
      </w:pPr>
      <w:r>
        <w:rPr>
          <w:rFonts w:cs="Times New Roman"/>
          <w:szCs w:val="24"/>
        </w:rPr>
        <w:t xml:space="preserve">Primary dwelling units: </w:t>
      </w:r>
    </w:p>
    <w:p w14:paraId="4A6823D0" w14:textId="523D75E9" w:rsidR="004C561F" w:rsidRDefault="00000000" w:rsidP="004C561F">
      <w:pPr>
        <w:pStyle w:val="ListParagraph"/>
        <w:numPr>
          <w:ilvl w:val="1"/>
          <w:numId w:val="2"/>
        </w:numPr>
        <w:spacing w:line="360" w:lineRule="auto"/>
        <w:rPr>
          <w:rFonts w:cs="Times New Roman"/>
          <w:szCs w:val="24"/>
        </w:rPr>
      </w:pPr>
      <w:r>
        <w:rPr>
          <w:rFonts w:cs="Times New Roman"/>
          <w:szCs w:val="24"/>
        </w:rPr>
        <w:t>Accessory Dwelling Unit(s)</w:t>
      </w:r>
      <w:r w:rsidR="00521977">
        <w:rPr>
          <w:rFonts w:cs="Times New Roman"/>
          <w:szCs w:val="24"/>
        </w:rPr>
        <w:t>:</w:t>
      </w:r>
      <w:r w:rsidR="00D22C00">
        <w:rPr>
          <w:rFonts w:cs="Times New Roman"/>
          <w:szCs w:val="24"/>
        </w:rPr>
        <w:t xml:space="preserve"> </w:t>
      </w:r>
    </w:p>
    <w:p w14:paraId="47258AD6" w14:textId="1AE14FE7" w:rsidR="004C561F" w:rsidRDefault="00000000" w:rsidP="004C561F">
      <w:pPr>
        <w:pStyle w:val="ListParagraph"/>
        <w:numPr>
          <w:ilvl w:val="1"/>
          <w:numId w:val="2"/>
        </w:numPr>
        <w:spacing w:line="360" w:lineRule="auto"/>
        <w:rPr>
          <w:rFonts w:cs="Times New Roman"/>
          <w:szCs w:val="24"/>
        </w:rPr>
      </w:pPr>
      <w:r>
        <w:rPr>
          <w:rFonts w:cs="Times New Roman"/>
          <w:szCs w:val="24"/>
        </w:rPr>
        <w:t>J</w:t>
      </w:r>
      <w:r w:rsidR="00CB07A3">
        <w:rPr>
          <w:rFonts w:cs="Times New Roman"/>
          <w:szCs w:val="24"/>
        </w:rPr>
        <w:t>unior Accessory Dwelling Unit(s)</w:t>
      </w:r>
      <w:r>
        <w:rPr>
          <w:rFonts w:cs="Times New Roman"/>
          <w:szCs w:val="24"/>
        </w:rPr>
        <w:t xml:space="preserve">: </w:t>
      </w:r>
    </w:p>
    <w:p w14:paraId="67E77927" w14:textId="50C305BE" w:rsidR="004C561F" w:rsidRDefault="00000000" w:rsidP="004C561F">
      <w:pPr>
        <w:pStyle w:val="ListParagraph"/>
        <w:numPr>
          <w:ilvl w:val="0"/>
          <w:numId w:val="2"/>
        </w:numPr>
        <w:spacing w:line="360" w:lineRule="auto"/>
        <w:rPr>
          <w:rFonts w:cs="Times New Roman"/>
          <w:szCs w:val="24"/>
        </w:rPr>
      </w:pPr>
      <w:r>
        <w:rPr>
          <w:rFonts w:cs="Times New Roman"/>
          <w:szCs w:val="24"/>
        </w:rPr>
        <w:t>Number of existing units to be demolished:</w:t>
      </w:r>
      <w:r w:rsidR="00E84463">
        <w:rPr>
          <w:rFonts w:cs="Times New Roman"/>
          <w:szCs w:val="24"/>
        </w:rPr>
        <w:t xml:space="preserve"> </w:t>
      </w:r>
    </w:p>
    <w:p w14:paraId="367704D9" w14:textId="5BF961F5" w:rsidR="00B32BEE" w:rsidRDefault="00000000" w:rsidP="004C561F">
      <w:pPr>
        <w:pStyle w:val="ListParagraph"/>
        <w:numPr>
          <w:ilvl w:val="0"/>
          <w:numId w:val="2"/>
        </w:numPr>
        <w:spacing w:line="360" w:lineRule="auto"/>
        <w:rPr>
          <w:rFonts w:cs="Times New Roman"/>
          <w:szCs w:val="24"/>
        </w:rPr>
      </w:pPr>
      <w:r>
        <w:rPr>
          <w:rFonts w:cs="Times New Roman"/>
          <w:szCs w:val="24"/>
        </w:rPr>
        <w:t>If units are to be demolished</w:t>
      </w:r>
      <w:r w:rsidR="00F543F4">
        <w:rPr>
          <w:rFonts w:cs="Times New Roman"/>
          <w:szCs w:val="24"/>
        </w:rPr>
        <w:t xml:space="preserve"> or altered</w:t>
      </w:r>
      <w:r>
        <w:rPr>
          <w:rFonts w:cs="Times New Roman"/>
          <w:szCs w:val="24"/>
        </w:rPr>
        <w:t xml:space="preserve">: </w:t>
      </w:r>
    </w:p>
    <w:p w14:paraId="52E801AF" w14:textId="64C02609" w:rsidR="004C561F" w:rsidRDefault="00000000" w:rsidP="00B32BEE">
      <w:pPr>
        <w:pStyle w:val="ListParagraph"/>
        <w:numPr>
          <w:ilvl w:val="1"/>
          <w:numId w:val="2"/>
        </w:numPr>
        <w:spacing w:line="360" w:lineRule="auto"/>
        <w:rPr>
          <w:rFonts w:cs="Times New Roman"/>
          <w:szCs w:val="24"/>
        </w:rPr>
      </w:pPr>
      <w:r>
        <w:rPr>
          <w:rFonts w:cs="Times New Roman"/>
          <w:szCs w:val="24"/>
        </w:rPr>
        <w:t>Indicate whether owner or renter occupied for last five</w:t>
      </w:r>
      <w:r w:rsidR="00D922CB">
        <w:rPr>
          <w:rFonts w:cs="Times New Roman"/>
          <w:szCs w:val="24"/>
        </w:rPr>
        <w:t xml:space="preserve"> </w:t>
      </w:r>
      <w:r>
        <w:rPr>
          <w:rFonts w:cs="Times New Roman"/>
          <w:szCs w:val="24"/>
        </w:rPr>
        <w:t>years:</w:t>
      </w:r>
      <w:r>
        <w:rPr>
          <w:rStyle w:val="FootnoteReference"/>
          <w:rFonts w:cs="Times New Roman"/>
          <w:szCs w:val="24"/>
        </w:rPr>
        <w:footnoteReference w:id="1"/>
      </w:r>
      <w:r>
        <w:rPr>
          <w:rFonts w:cs="Times New Roman"/>
          <w:szCs w:val="24"/>
        </w:rPr>
        <w:t xml:space="preserve"> </w:t>
      </w:r>
    </w:p>
    <w:p w14:paraId="20AD612C" w14:textId="3A800335" w:rsidR="004C561F" w:rsidRDefault="00000000" w:rsidP="004C561F">
      <w:pPr>
        <w:pStyle w:val="ListParagraph"/>
        <w:numPr>
          <w:ilvl w:val="1"/>
          <w:numId w:val="2"/>
        </w:numPr>
        <w:spacing w:line="360" w:lineRule="auto"/>
        <w:rPr>
          <w:rFonts w:cs="Times New Roman"/>
          <w:szCs w:val="24"/>
        </w:rPr>
      </w:pPr>
      <w:r>
        <w:rPr>
          <w:rFonts w:cs="Times New Roman"/>
          <w:szCs w:val="24"/>
        </w:rPr>
        <w:t>Income of existing tenant or last tenant in occupancy, if known:</w:t>
      </w:r>
    </w:p>
    <w:p w14:paraId="5FC2C500" w14:textId="5C07DD39" w:rsidR="006641C8" w:rsidRDefault="00000000" w:rsidP="003D435F">
      <w:pPr>
        <w:pStyle w:val="ListParagraph"/>
        <w:numPr>
          <w:ilvl w:val="0"/>
          <w:numId w:val="2"/>
        </w:numPr>
        <w:spacing w:line="360" w:lineRule="auto"/>
        <w:rPr>
          <w:rFonts w:cs="Times New Roman"/>
          <w:szCs w:val="24"/>
        </w:rPr>
      </w:pPr>
      <w:r>
        <w:rPr>
          <w:rFonts w:cs="Times New Roman"/>
          <w:szCs w:val="24"/>
        </w:rPr>
        <w:t xml:space="preserve">Number </w:t>
      </w:r>
      <w:r w:rsidR="0059321B">
        <w:rPr>
          <w:rFonts w:cs="Times New Roman"/>
          <w:szCs w:val="24"/>
        </w:rPr>
        <w:t xml:space="preserve">and size </w:t>
      </w:r>
      <w:r>
        <w:rPr>
          <w:rFonts w:cs="Times New Roman"/>
          <w:szCs w:val="24"/>
        </w:rPr>
        <w:t xml:space="preserve">of units being proposed </w:t>
      </w:r>
      <w:r w:rsidR="00CC0237">
        <w:rPr>
          <w:rFonts w:cs="Times New Roman"/>
          <w:szCs w:val="24"/>
        </w:rPr>
        <w:t>on resulting parcel #1</w:t>
      </w:r>
      <w:r>
        <w:rPr>
          <w:rFonts w:cs="Times New Roman"/>
          <w:szCs w:val="24"/>
        </w:rPr>
        <w:t xml:space="preserve">: </w:t>
      </w:r>
    </w:p>
    <w:p w14:paraId="3CCC762C" w14:textId="11F7E6D4" w:rsidR="00E779E2" w:rsidRDefault="00000000" w:rsidP="003D435F">
      <w:pPr>
        <w:pStyle w:val="ListParagraph"/>
        <w:numPr>
          <w:ilvl w:val="0"/>
          <w:numId w:val="2"/>
        </w:numPr>
        <w:spacing w:line="360" w:lineRule="auto"/>
        <w:rPr>
          <w:rFonts w:cs="Times New Roman"/>
          <w:szCs w:val="24"/>
        </w:rPr>
      </w:pPr>
      <w:r>
        <w:rPr>
          <w:rFonts w:cs="Times New Roman"/>
          <w:szCs w:val="24"/>
        </w:rPr>
        <w:t xml:space="preserve">Number </w:t>
      </w:r>
      <w:r w:rsidR="0059321B">
        <w:rPr>
          <w:rFonts w:cs="Times New Roman"/>
          <w:szCs w:val="24"/>
        </w:rPr>
        <w:t xml:space="preserve">and size </w:t>
      </w:r>
      <w:r>
        <w:rPr>
          <w:rFonts w:cs="Times New Roman"/>
          <w:szCs w:val="24"/>
        </w:rPr>
        <w:t xml:space="preserve">of units being proposed on resulting parcel #2: </w:t>
      </w:r>
      <w:r>
        <w:rPr>
          <w:rFonts w:cs="Times New Roman"/>
          <w:szCs w:val="24"/>
        </w:rPr>
        <w:br w:type="page"/>
      </w:r>
    </w:p>
    <w:p w14:paraId="0D02CE57" w14:textId="417B9EF8" w:rsidR="00CC0237" w:rsidRPr="006641C8" w:rsidRDefault="00D91622" w:rsidP="00D91622">
      <w:pPr>
        <w:pStyle w:val="Heading2"/>
      </w:pPr>
      <w:r>
        <w:t>Required Criteria</w:t>
      </w:r>
    </w:p>
    <w:tbl>
      <w:tblPr>
        <w:tblStyle w:val="TableGrid"/>
        <w:tblW w:w="9350" w:type="dxa"/>
        <w:tblLook w:val="0620" w:firstRow="1" w:lastRow="0" w:firstColumn="0" w:lastColumn="0" w:noHBand="1" w:noVBand="1"/>
      </w:tblPr>
      <w:tblGrid>
        <w:gridCol w:w="444"/>
        <w:gridCol w:w="6983"/>
        <w:gridCol w:w="1923"/>
      </w:tblGrid>
      <w:tr w:rsidR="00D91622" w14:paraId="5A8632B8" w14:textId="77777777" w:rsidTr="00D91622">
        <w:trPr>
          <w:cantSplit/>
          <w:trHeight w:val="260"/>
          <w:tblHeader/>
        </w:trPr>
        <w:tc>
          <w:tcPr>
            <w:tcW w:w="444" w:type="dxa"/>
          </w:tcPr>
          <w:p w14:paraId="18B48203" w14:textId="0D4E4AE5" w:rsidR="00D91622" w:rsidRDefault="00D91622" w:rsidP="00D91622">
            <w:pPr>
              <w:jc w:val="center"/>
              <w:rPr>
                <w:rFonts w:cs="Times New Roman"/>
                <w:b/>
                <w:bCs/>
                <w:szCs w:val="24"/>
              </w:rPr>
            </w:pPr>
          </w:p>
        </w:tc>
        <w:tc>
          <w:tcPr>
            <w:tcW w:w="6983" w:type="dxa"/>
          </w:tcPr>
          <w:p w14:paraId="64544451" w14:textId="5DFCC4C1" w:rsidR="00D91622" w:rsidRDefault="0085256E" w:rsidP="00D91622">
            <w:pPr>
              <w:jc w:val="center"/>
              <w:rPr>
                <w:rFonts w:cs="Times New Roman"/>
                <w:b/>
                <w:bCs/>
                <w:szCs w:val="24"/>
              </w:rPr>
            </w:pPr>
            <w:r>
              <w:rPr>
                <w:rFonts w:cs="Times New Roman"/>
                <w:b/>
                <w:bCs/>
                <w:szCs w:val="24"/>
              </w:rPr>
              <w:t>1</w:t>
            </w:r>
            <w:r w:rsidR="00D91622">
              <w:rPr>
                <w:rFonts w:cs="Times New Roman"/>
                <w:b/>
                <w:bCs/>
                <w:szCs w:val="24"/>
              </w:rPr>
              <w:t>. Parcel Location &amp; History</w:t>
            </w:r>
          </w:p>
        </w:tc>
        <w:tc>
          <w:tcPr>
            <w:tcW w:w="1923" w:type="dxa"/>
          </w:tcPr>
          <w:p w14:paraId="03832DF1" w14:textId="6C9F70B6" w:rsidR="00D91622" w:rsidRDefault="00D91622" w:rsidP="00D91622">
            <w:pPr>
              <w:jc w:val="center"/>
              <w:rPr>
                <w:rFonts w:cs="Times New Roman"/>
                <w:b/>
                <w:bCs/>
                <w:szCs w:val="24"/>
              </w:rPr>
            </w:pPr>
            <w:r>
              <w:rPr>
                <w:rFonts w:cs="Times New Roman"/>
                <w:b/>
                <w:bCs/>
                <w:szCs w:val="24"/>
              </w:rPr>
              <w:t>Yes/No/</w:t>
            </w:r>
            <w:r>
              <w:rPr>
                <w:rFonts w:cs="Times New Roman"/>
                <w:b/>
                <w:bCs/>
                <w:szCs w:val="24"/>
              </w:rPr>
              <w:br/>
              <w:t>Comments?</w:t>
            </w:r>
          </w:p>
        </w:tc>
      </w:tr>
      <w:tr w:rsidR="00D91622" w14:paraId="1A33D75F" w14:textId="77777777" w:rsidTr="00D91622">
        <w:trPr>
          <w:cantSplit/>
        </w:trPr>
        <w:tc>
          <w:tcPr>
            <w:tcW w:w="444" w:type="dxa"/>
          </w:tcPr>
          <w:p w14:paraId="513A1ECA" w14:textId="22B218AF" w:rsidR="00D91622" w:rsidRDefault="00D91622" w:rsidP="00D91622">
            <w:pPr>
              <w:rPr>
                <w:rFonts w:cs="Times New Roman"/>
                <w:b/>
                <w:bCs/>
                <w:szCs w:val="24"/>
              </w:rPr>
            </w:pPr>
            <w:r>
              <w:rPr>
                <w:rFonts w:cs="Times New Roman"/>
                <w:b/>
                <w:bCs/>
                <w:szCs w:val="24"/>
              </w:rPr>
              <w:t>A</w:t>
            </w:r>
          </w:p>
        </w:tc>
        <w:tc>
          <w:tcPr>
            <w:tcW w:w="6983" w:type="dxa"/>
          </w:tcPr>
          <w:p w14:paraId="7108BA0B" w14:textId="43ACA4C6" w:rsidR="00D91622" w:rsidRPr="00D91622" w:rsidRDefault="00D91622" w:rsidP="00D91622">
            <w:pPr>
              <w:pStyle w:val="Heading3"/>
            </w:pPr>
            <w:r w:rsidRPr="00D91622">
              <w:t>66411.7(a)(3)(A)</w:t>
            </w:r>
          </w:p>
          <w:p w14:paraId="2DAC9873" w14:textId="7048F690" w:rsidR="00D91622" w:rsidRPr="00034218" w:rsidRDefault="00D91622" w:rsidP="00D91622">
            <w:r>
              <w:t xml:space="preserve">The parcel to be subdivided is located in a single-family residential zone. </w:t>
            </w:r>
          </w:p>
        </w:tc>
        <w:tc>
          <w:tcPr>
            <w:tcW w:w="1923" w:type="dxa"/>
          </w:tcPr>
          <w:p w14:paraId="51613B7C" w14:textId="1FCDB16A" w:rsidR="00D91622" w:rsidRDefault="00D91622" w:rsidP="00D91622">
            <w:pPr>
              <w:rPr>
                <w:rFonts w:cs="Times New Roman"/>
                <w:szCs w:val="24"/>
              </w:rPr>
            </w:pPr>
          </w:p>
        </w:tc>
      </w:tr>
      <w:tr w:rsidR="00D91622" w14:paraId="45B3A765" w14:textId="77777777" w:rsidTr="00D91622">
        <w:trPr>
          <w:cantSplit/>
        </w:trPr>
        <w:tc>
          <w:tcPr>
            <w:tcW w:w="444" w:type="dxa"/>
          </w:tcPr>
          <w:p w14:paraId="70E1F039" w14:textId="2569AEA5" w:rsidR="00D91622" w:rsidRDefault="00D91622" w:rsidP="00D91622">
            <w:pPr>
              <w:rPr>
                <w:rFonts w:cs="Times New Roman"/>
                <w:b/>
                <w:bCs/>
                <w:szCs w:val="24"/>
              </w:rPr>
            </w:pPr>
            <w:r>
              <w:rPr>
                <w:rFonts w:cs="Times New Roman"/>
                <w:b/>
                <w:bCs/>
                <w:szCs w:val="24"/>
              </w:rPr>
              <w:t>B</w:t>
            </w:r>
          </w:p>
        </w:tc>
        <w:tc>
          <w:tcPr>
            <w:tcW w:w="6983" w:type="dxa"/>
          </w:tcPr>
          <w:p w14:paraId="79530B88" w14:textId="4C82FEAB" w:rsidR="00D91622" w:rsidRDefault="00D91622" w:rsidP="00D91622">
            <w:pPr>
              <w:pStyle w:val="Heading3"/>
            </w:pPr>
            <w:r>
              <w:t>66411.7(a)(3)(B)</w:t>
            </w:r>
            <w:r>
              <w:rPr>
                <w:rStyle w:val="FootnoteReference"/>
              </w:rPr>
              <w:footnoteReference w:id="2"/>
            </w:r>
          </w:p>
          <w:p w14:paraId="51DA0A63" w14:textId="0AED2287" w:rsidR="00D91622" w:rsidRPr="00034218" w:rsidRDefault="00D91622" w:rsidP="00D91622">
            <w:pPr>
              <w:rPr>
                <w:rFonts w:cs="Times New Roman"/>
                <w:szCs w:val="24"/>
              </w:rPr>
            </w:pPr>
            <w:r>
              <w:rPr>
                <w:rFonts w:cs="Times New Roman"/>
                <w:szCs w:val="24"/>
              </w:rPr>
              <w:t>The parcel to be subdivided is located within a city, the boundaries of which include some portion of either an urbanized area or urban</w:t>
            </w:r>
            <w:r w:rsidR="0085256E">
              <w:rPr>
                <w:rFonts w:cs="Times New Roman"/>
                <w:szCs w:val="24"/>
              </w:rPr>
              <w:t>1</w:t>
            </w:r>
            <w:r>
              <w:rPr>
                <w:rFonts w:cs="Times New Roman"/>
                <w:szCs w:val="24"/>
              </w:rPr>
              <w:t>, as designated by the U.S. Census Bureau, or for unincorporated areas, a legal parcel wholly within the boundaries of an urbanized area or urban cluster, as designated by the U.S. Census Bureau.</w:t>
            </w:r>
          </w:p>
        </w:tc>
        <w:tc>
          <w:tcPr>
            <w:tcW w:w="1923" w:type="dxa"/>
          </w:tcPr>
          <w:p w14:paraId="34CD5E9E" w14:textId="77777777" w:rsidR="00D91622" w:rsidRDefault="00D91622" w:rsidP="00D91622">
            <w:pPr>
              <w:rPr>
                <w:rFonts w:cs="Times New Roman"/>
                <w:szCs w:val="24"/>
              </w:rPr>
            </w:pPr>
          </w:p>
        </w:tc>
      </w:tr>
      <w:tr w:rsidR="00D91622" w14:paraId="360DD5FA" w14:textId="77777777" w:rsidTr="00D91622">
        <w:trPr>
          <w:cantSplit/>
        </w:trPr>
        <w:tc>
          <w:tcPr>
            <w:tcW w:w="444" w:type="dxa"/>
          </w:tcPr>
          <w:p w14:paraId="2059F954" w14:textId="625DA4D7" w:rsidR="00D91622" w:rsidRDefault="00D91622" w:rsidP="00D91622">
            <w:pPr>
              <w:rPr>
                <w:rFonts w:cs="Times New Roman"/>
                <w:b/>
                <w:bCs/>
                <w:szCs w:val="24"/>
              </w:rPr>
            </w:pPr>
            <w:r>
              <w:rPr>
                <w:rFonts w:cs="Times New Roman"/>
                <w:b/>
                <w:bCs/>
                <w:szCs w:val="24"/>
              </w:rPr>
              <w:t>C</w:t>
            </w:r>
          </w:p>
        </w:tc>
        <w:tc>
          <w:tcPr>
            <w:tcW w:w="6983" w:type="dxa"/>
          </w:tcPr>
          <w:p w14:paraId="5096885B" w14:textId="26C9A209" w:rsidR="00D91622" w:rsidRDefault="00D91622" w:rsidP="00D91622">
            <w:pPr>
              <w:pStyle w:val="Heading3"/>
            </w:pPr>
            <w:r>
              <w:t>66411.7(a)(3)(C)</w:t>
            </w:r>
          </w:p>
          <w:p w14:paraId="37C75737" w14:textId="0093EC87" w:rsidR="00D91622" w:rsidRDefault="00D91622" w:rsidP="00D91622">
            <w:pPr>
              <w:rPr>
                <w:rFonts w:cs="Times New Roman"/>
                <w:b/>
                <w:bCs/>
                <w:szCs w:val="24"/>
              </w:rPr>
            </w:pPr>
            <w:r>
              <w:rPr>
                <w:rFonts w:cs="Times New Roman"/>
                <w:szCs w:val="24"/>
              </w:rPr>
              <w:t>The parcel does not contain any of following (listed at G.C. Section 65913.4(a)(6)((B), (C), (I), (J), (K))</w:t>
            </w:r>
            <w:r>
              <w:rPr>
                <w:rStyle w:val="FootnoteReference"/>
                <w:rFonts w:cs="Times New Roman"/>
                <w:szCs w:val="24"/>
              </w:rPr>
              <w:footnoteReference w:id="3"/>
            </w:r>
            <w:r>
              <w:rPr>
                <w:rFonts w:cs="Times New Roman"/>
                <w:b/>
                <w:bCs/>
                <w:szCs w:val="24"/>
              </w:rPr>
              <w:t>:</w:t>
            </w:r>
          </w:p>
          <w:p w14:paraId="778B2BC7" w14:textId="1627B85F" w:rsidR="00D91622" w:rsidRPr="00884FD7" w:rsidRDefault="00D91622" w:rsidP="00D91622">
            <w:pPr>
              <w:pStyle w:val="ListParagraph"/>
              <w:numPr>
                <w:ilvl w:val="0"/>
                <w:numId w:val="5"/>
              </w:numPr>
              <w:rPr>
                <w:rFonts w:cs="Times New Roman"/>
                <w:b/>
                <w:bCs/>
                <w:szCs w:val="24"/>
              </w:rPr>
            </w:pPr>
            <w:r>
              <w:rPr>
                <w:rFonts w:cs="Times New Roman"/>
                <w:szCs w:val="24"/>
              </w:rPr>
              <w:t>Prime farmland, farmland of statewide importance, or land designated for agricultural protection by local voters</w:t>
            </w:r>
          </w:p>
          <w:p w14:paraId="2289FFED" w14:textId="77777777" w:rsidR="00D91622" w:rsidRPr="00884FD7" w:rsidRDefault="00D91622" w:rsidP="00D91622">
            <w:pPr>
              <w:pStyle w:val="ListParagraph"/>
              <w:numPr>
                <w:ilvl w:val="0"/>
                <w:numId w:val="5"/>
              </w:numPr>
              <w:rPr>
                <w:rFonts w:cs="Times New Roman"/>
                <w:b/>
                <w:bCs/>
                <w:szCs w:val="24"/>
              </w:rPr>
            </w:pPr>
            <w:r>
              <w:rPr>
                <w:rFonts w:cs="Times New Roman"/>
                <w:szCs w:val="24"/>
              </w:rPr>
              <w:t>Wetlands</w:t>
            </w:r>
          </w:p>
          <w:p w14:paraId="030251D4" w14:textId="76E6DF44" w:rsidR="00D91622" w:rsidRPr="00884FD7" w:rsidRDefault="00D91622" w:rsidP="00D91622">
            <w:pPr>
              <w:pStyle w:val="ListParagraph"/>
              <w:numPr>
                <w:ilvl w:val="0"/>
                <w:numId w:val="5"/>
              </w:numPr>
              <w:rPr>
                <w:rFonts w:cs="Times New Roman"/>
                <w:b/>
                <w:bCs/>
                <w:szCs w:val="24"/>
              </w:rPr>
            </w:pPr>
            <w:r>
              <w:rPr>
                <w:rFonts w:cs="Times New Roman"/>
                <w:szCs w:val="24"/>
              </w:rPr>
              <w:t xml:space="preserve">Lands designated for conservation in an adopted natural community conservation plan, habitat conservation plan, or other adopted natural resource protection plan. </w:t>
            </w:r>
          </w:p>
          <w:p w14:paraId="2B03FBD1" w14:textId="7BC58D46" w:rsidR="00D91622" w:rsidRDefault="00D91622" w:rsidP="00D91622">
            <w:pPr>
              <w:pStyle w:val="ListParagraph"/>
              <w:numPr>
                <w:ilvl w:val="0"/>
                <w:numId w:val="5"/>
              </w:numPr>
              <w:rPr>
                <w:rFonts w:cs="Times New Roman"/>
                <w:szCs w:val="24"/>
              </w:rPr>
            </w:pPr>
            <w:r w:rsidRPr="00884FD7">
              <w:rPr>
                <w:rFonts w:cs="Times New Roman"/>
                <w:szCs w:val="24"/>
              </w:rPr>
              <w:t xml:space="preserve">Habitat </w:t>
            </w:r>
            <w:r>
              <w:rPr>
                <w:rFonts w:cs="Times New Roman"/>
                <w:szCs w:val="24"/>
              </w:rPr>
              <w:t>for species identified as candidate, sensitive, or species of special status by state or federal agencies, full protected species, or plant or animal species protected by state or federal law.</w:t>
            </w:r>
          </w:p>
          <w:p w14:paraId="182998EC" w14:textId="2767EE15" w:rsidR="00D91622" w:rsidRPr="00884FD7" w:rsidRDefault="00D91622" w:rsidP="00D91622">
            <w:pPr>
              <w:pStyle w:val="ListParagraph"/>
              <w:numPr>
                <w:ilvl w:val="0"/>
                <w:numId w:val="5"/>
              </w:numPr>
              <w:rPr>
                <w:rFonts w:cs="Times New Roman"/>
                <w:szCs w:val="24"/>
              </w:rPr>
            </w:pPr>
            <w:r>
              <w:rPr>
                <w:rFonts w:cs="Times New Roman"/>
                <w:szCs w:val="24"/>
              </w:rPr>
              <w:t>Lands under conservation easement.</w:t>
            </w:r>
          </w:p>
        </w:tc>
        <w:tc>
          <w:tcPr>
            <w:tcW w:w="1923" w:type="dxa"/>
          </w:tcPr>
          <w:p w14:paraId="0EDC574D" w14:textId="77777777" w:rsidR="00D91622" w:rsidRDefault="00D91622" w:rsidP="00D91622">
            <w:pPr>
              <w:rPr>
                <w:rFonts w:cs="Times New Roman"/>
                <w:szCs w:val="24"/>
              </w:rPr>
            </w:pPr>
          </w:p>
        </w:tc>
      </w:tr>
      <w:tr w:rsidR="00D91622" w14:paraId="1A6DC02B" w14:textId="77777777" w:rsidTr="00D91622">
        <w:trPr>
          <w:cantSplit/>
        </w:trPr>
        <w:tc>
          <w:tcPr>
            <w:tcW w:w="444" w:type="dxa"/>
          </w:tcPr>
          <w:p w14:paraId="251911E8" w14:textId="63FEDB8A" w:rsidR="00D91622" w:rsidRDefault="00D91622" w:rsidP="00D91622">
            <w:pPr>
              <w:rPr>
                <w:rFonts w:cs="Times New Roman"/>
                <w:b/>
                <w:bCs/>
                <w:szCs w:val="24"/>
              </w:rPr>
            </w:pPr>
            <w:r>
              <w:rPr>
                <w:rFonts w:cs="Times New Roman"/>
                <w:b/>
                <w:bCs/>
                <w:szCs w:val="24"/>
              </w:rPr>
              <w:lastRenderedPageBreak/>
              <w:t>D</w:t>
            </w:r>
          </w:p>
        </w:tc>
        <w:tc>
          <w:tcPr>
            <w:tcW w:w="6983" w:type="dxa"/>
          </w:tcPr>
          <w:p w14:paraId="6F12760E" w14:textId="3247F5F1" w:rsidR="00D91622" w:rsidRDefault="00D91622" w:rsidP="00D91622">
            <w:pPr>
              <w:pStyle w:val="Heading3"/>
            </w:pPr>
            <w:r>
              <w:t>66411.7(a)(3)(C)</w:t>
            </w:r>
          </w:p>
          <w:p w14:paraId="0DB2E5F6" w14:textId="171BFE5F" w:rsidR="00D91622" w:rsidRDefault="00D91622" w:rsidP="00D91622">
            <w:pPr>
              <w:rPr>
                <w:rFonts w:cs="Times New Roman"/>
                <w:szCs w:val="24"/>
              </w:rPr>
            </w:pPr>
            <w:r>
              <w:rPr>
                <w:rFonts w:cs="Times New Roman"/>
                <w:szCs w:val="24"/>
              </w:rPr>
              <w:t>If the parcel contains any of the following, the project conforms with the required measures to reduce hazards ((listed at G.C. Section 65913.4(a)(6)(D) – (H)):</w:t>
            </w:r>
            <w:r>
              <w:rPr>
                <w:rStyle w:val="FootnoteReference"/>
                <w:rFonts w:cs="Times New Roman"/>
                <w:szCs w:val="24"/>
              </w:rPr>
              <w:footnoteReference w:id="4"/>
            </w:r>
          </w:p>
          <w:p w14:paraId="0B8BC014" w14:textId="3CC01E6A" w:rsidR="00D91622" w:rsidRDefault="00D91622" w:rsidP="00D91622">
            <w:pPr>
              <w:pStyle w:val="ListParagraph"/>
              <w:numPr>
                <w:ilvl w:val="0"/>
                <w:numId w:val="6"/>
              </w:numPr>
              <w:rPr>
                <w:rFonts w:cs="Times New Roman"/>
                <w:szCs w:val="24"/>
              </w:rPr>
            </w:pPr>
            <w:r>
              <w:rPr>
                <w:rFonts w:cs="Times New Roman"/>
                <w:szCs w:val="24"/>
              </w:rPr>
              <w:t>High or very high fire hazard severity zone</w:t>
            </w:r>
          </w:p>
          <w:p w14:paraId="4CD4B53E" w14:textId="0A981B80" w:rsidR="00D91622" w:rsidRDefault="00D91622" w:rsidP="00D91622">
            <w:pPr>
              <w:pStyle w:val="ListParagraph"/>
              <w:numPr>
                <w:ilvl w:val="0"/>
                <w:numId w:val="6"/>
              </w:numPr>
              <w:rPr>
                <w:rFonts w:cs="Times New Roman"/>
                <w:szCs w:val="24"/>
              </w:rPr>
            </w:pPr>
            <w:r>
              <w:rPr>
                <w:rFonts w:cs="Times New Roman"/>
                <w:szCs w:val="24"/>
              </w:rPr>
              <w:t>Hazardous waste site</w:t>
            </w:r>
          </w:p>
          <w:p w14:paraId="0863B21A" w14:textId="1C4C4AFF" w:rsidR="00D91622" w:rsidRDefault="00D91622" w:rsidP="00D91622">
            <w:pPr>
              <w:pStyle w:val="ListParagraph"/>
              <w:numPr>
                <w:ilvl w:val="0"/>
                <w:numId w:val="6"/>
              </w:numPr>
              <w:rPr>
                <w:rFonts w:cs="Times New Roman"/>
                <w:szCs w:val="24"/>
              </w:rPr>
            </w:pPr>
            <w:r>
              <w:rPr>
                <w:rFonts w:cs="Times New Roman"/>
                <w:szCs w:val="24"/>
              </w:rPr>
              <w:t>Earthquake fault zone</w:t>
            </w:r>
          </w:p>
          <w:p w14:paraId="35E5DBED" w14:textId="4DC30F4A" w:rsidR="00D91622" w:rsidRDefault="00D91622" w:rsidP="00D91622">
            <w:pPr>
              <w:pStyle w:val="ListParagraph"/>
              <w:numPr>
                <w:ilvl w:val="0"/>
                <w:numId w:val="6"/>
              </w:numPr>
              <w:rPr>
                <w:rFonts w:cs="Times New Roman"/>
                <w:szCs w:val="24"/>
              </w:rPr>
            </w:pPr>
            <w:r>
              <w:rPr>
                <w:rFonts w:cs="Times New Roman"/>
                <w:szCs w:val="24"/>
              </w:rPr>
              <w:t>Flood hazard area subject to inundation by the 1 percent flood</w:t>
            </w:r>
          </w:p>
          <w:p w14:paraId="4DD0C919" w14:textId="0CFA9115" w:rsidR="00D91622" w:rsidRPr="00292CEC" w:rsidRDefault="00D91622" w:rsidP="00D91622">
            <w:pPr>
              <w:pStyle w:val="ListParagraph"/>
              <w:numPr>
                <w:ilvl w:val="0"/>
                <w:numId w:val="6"/>
              </w:numPr>
              <w:rPr>
                <w:rFonts w:cs="Times New Roman"/>
                <w:szCs w:val="24"/>
              </w:rPr>
            </w:pPr>
            <w:r>
              <w:rPr>
                <w:rFonts w:cs="Times New Roman"/>
                <w:szCs w:val="24"/>
              </w:rPr>
              <w:t>Regulatory floodway</w:t>
            </w:r>
          </w:p>
        </w:tc>
        <w:tc>
          <w:tcPr>
            <w:tcW w:w="1923" w:type="dxa"/>
          </w:tcPr>
          <w:p w14:paraId="5DBF996D" w14:textId="77777777" w:rsidR="00D91622" w:rsidRDefault="00D91622" w:rsidP="00D91622">
            <w:pPr>
              <w:rPr>
                <w:rFonts w:cs="Times New Roman"/>
                <w:szCs w:val="24"/>
              </w:rPr>
            </w:pPr>
          </w:p>
        </w:tc>
      </w:tr>
      <w:tr w:rsidR="00D91622" w14:paraId="5CE0DAB6" w14:textId="77777777" w:rsidTr="00D91622">
        <w:trPr>
          <w:cantSplit/>
        </w:trPr>
        <w:tc>
          <w:tcPr>
            <w:tcW w:w="444" w:type="dxa"/>
          </w:tcPr>
          <w:p w14:paraId="537D50B9" w14:textId="036EFAE3" w:rsidR="00D91622" w:rsidRDefault="00D91622" w:rsidP="00D91622">
            <w:pPr>
              <w:rPr>
                <w:rFonts w:cs="Times New Roman"/>
                <w:b/>
                <w:bCs/>
                <w:szCs w:val="24"/>
              </w:rPr>
            </w:pPr>
            <w:r>
              <w:rPr>
                <w:rFonts w:cs="Times New Roman"/>
                <w:b/>
                <w:bCs/>
                <w:szCs w:val="24"/>
              </w:rPr>
              <w:t>E</w:t>
            </w:r>
          </w:p>
        </w:tc>
        <w:tc>
          <w:tcPr>
            <w:tcW w:w="6983" w:type="dxa"/>
          </w:tcPr>
          <w:p w14:paraId="66F4A852" w14:textId="36BEDEFD" w:rsidR="00D91622" w:rsidRDefault="00D91622" w:rsidP="00D91622">
            <w:pPr>
              <w:pStyle w:val="Heading3"/>
            </w:pPr>
            <w:r>
              <w:t>66411.7(a)(3)(E)</w:t>
            </w:r>
          </w:p>
          <w:p w14:paraId="28A21A72" w14:textId="028F677A" w:rsidR="00D91622" w:rsidRPr="00326329" w:rsidRDefault="00D91622" w:rsidP="00D91622">
            <w:pPr>
              <w:rPr>
                <w:rFonts w:cs="Times New Roman"/>
                <w:szCs w:val="24"/>
              </w:rPr>
            </w:pPr>
            <w:r>
              <w:rPr>
                <w:rFonts w:cs="Times New Roman"/>
                <w:szCs w:val="24"/>
              </w:rPr>
              <w:t xml:space="preserve">The parcel is not located in a historic district or property included on the State Historic Resources Inventory, or within a site that is designated or list as a city or county landmark or historic property or district per city or county ordinance. </w:t>
            </w:r>
          </w:p>
        </w:tc>
        <w:tc>
          <w:tcPr>
            <w:tcW w:w="1923" w:type="dxa"/>
          </w:tcPr>
          <w:p w14:paraId="6DDD465A" w14:textId="77777777" w:rsidR="00D91622" w:rsidRDefault="00D91622" w:rsidP="00D91622">
            <w:pPr>
              <w:rPr>
                <w:rFonts w:cs="Times New Roman"/>
                <w:szCs w:val="24"/>
              </w:rPr>
            </w:pPr>
          </w:p>
        </w:tc>
      </w:tr>
      <w:tr w:rsidR="00D91622" w14:paraId="5273DFC4" w14:textId="77777777" w:rsidTr="00D91622">
        <w:trPr>
          <w:cantSplit/>
        </w:trPr>
        <w:tc>
          <w:tcPr>
            <w:tcW w:w="444" w:type="dxa"/>
          </w:tcPr>
          <w:p w14:paraId="27FD8AA1" w14:textId="115270DD" w:rsidR="00D91622" w:rsidRDefault="00D91622" w:rsidP="00D91622">
            <w:pPr>
              <w:rPr>
                <w:rFonts w:cs="Times New Roman"/>
                <w:b/>
                <w:bCs/>
                <w:szCs w:val="24"/>
              </w:rPr>
            </w:pPr>
            <w:r>
              <w:rPr>
                <w:rFonts w:cs="Times New Roman"/>
                <w:b/>
                <w:bCs/>
                <w:szCs w:val="24"/>
              </w:rPr>
              <w:t>F</w:t>
            </w:r>
          </w:p>
        </w:tc>
        <w:tc>
          <w:tcPr>
            <w:tcW w:w="6983" w:type="dxa"/>
          </w:tcPr>
          <w:p w14:paraId="4D23E067" w14:textId="77777777" w:rsidR="00D91622" w:rsidRDefault="00D91622" w:rsidP="00D91622">
            <w:pPr>
              <w:pStyle w:val="Heading3"/>
            </w:pPr>
            <w:r>
              <w:t>66411.7(a)(3)(F)</w:t>
            </w:r>
          </w:p>
          <w:p w14:paraId="44BBFCD2" w14:textId="4BB8961C" w:rsidR="00D91622" w:rsidRPr="00BE408D" w:rsidRDefault="00D91622" w:rsidP="00D91622">
            <w:pPr>
              <w:rPr>
                <w:rFonts w:cs="Times New Roman"/>
                <w:szCs w:val="24"/>
              </w:rPr>
            </w:pPr>
            <w:r>
              <w:rPr>
                <w:rFonts w:cs="Times New Roman"/>
                <w:szCs w:val="24"/>
              </w:rPr>
              <w:t>The parcel was not established through a prior exercise of a Section 66411.7 lot split (urban lot split).</w:t>
            </w:r>
          </w:p>
        </w:tc>
        <w:tc>
          <w:tcPr>
            <w:tcW w:w="1923" w:type="dxa"/>
          </w:tcPr>
          <w:p w14:paraId="7ADEDA91" w14:textId="77777777" w:rsidR="00D91622" w:rsidRDefault="00D91622" w:rsidP="00D91622">
            <w:pPr>
              <w:rPr>
                <w:rFonts w:cs="Times New Roman"/>
                <w:szCs w:val="24"/>
              </w:rPr>
            </w:pPr>
          </w:p>
        </w:tc>
      </w:tr>
      <w:tr w:rsidR="00D91622" w14:paraId="2DAA67BC" w14:textId="77777777" w:rsidTr="00D91622">
        <w:trPr>
          <w:cantSplit/>
        </w:trPr>
        <w:tc>
          <w:tcPr>
            <w:tcW w:w="444" w:type="dxa"/>
          </w:tcPr>
          <w:p w14:paraId="3FCE7848" w14:textId="4F5E5A94" w:rsidR="00D91622" w:rsidRDefault="00D91622" w:rsidP="00D91622">
            <w:pPr>
              <w:rPr>
                <w:rFonts w:cs="Times New Roman"/>
                <w:b/>
                <w:bCs/>
                <w:szCs w:val="24"/>
              </w:rPr>
            </w:pPr>
            <w:r>
              <w:rPr>
                <w:rFonts w:cs="Times New Roman"/>
                <w:b/>
                <w:bCs/>
                <w:szCs w:val="24"/>
              </w:rPr>
              <w:t>G</w:t>
            </w:r>
          </w:p>
        </w:tc>
        <w:tc>
          <w:tcPr>
            <w:tcW w:w="6983" w:type="dxa"/>
          </w:tcPr>
          <w:p w14:paraId="401F172A" w14:textId="77777777" w:rsidR="00D91622" w:rsidRDefault="00D91622" w:rsidP="00D91622">
            <w:pPr>
              <w:pStyle w:val="Heading3"/>
            </w:pPr>
            <w:r>
              <w:t>66411.7(a)(3)(G)</w:t>
            </w:r>
          </w:p>
          <w:p w14:paraId="6EE929C9" w14:textId="1CE028E7" w:rsidR="00D91622" w:rsidRPr="00BE408D" w:rsidRDefault="00D91622" w:rsidP="00D91622">
            <w:pPr>
              <w:rPr>
                <w:rFonts w:cs="Times New Roman"/>
                <w:szCs w:val="24"/>
              </w:rPr>
            </w:pPr>
            <w:r>
              <w:rPr>
                <w:rFonts w:cs="Times New Roman"/>
                <w:szCs w:val="24"/>
              </w:rPr>
              <w:t xml:space="preserve">No parcel adjacent to this parcel was subdivided by the owner of this parcel or any person acting in concert with the owner of this parcel through a Section 66411.7 lot split (urban lot split). </w:t>
            </w:r>
          </w:p>
        </w:tc>
        <w:tc>
          <w:tcPr>
            <w:tcW w:w="1923" w:type="dxa"/>
          </w:tcPr>
          <w:p w14:paraId="01F4F6BD" w14:textId="77777777" w:rsidR="00D91622" w:rsidRDefault="00D91622" w:rsidP="00D91622">
            <w:pPr>
              <w:rPr>
                <w:rFonts w:cs="Times New Roman"/>
                <w:szCs w:val="24"/>
              </w:rPr>
            </w:pPr>
          </w:p>
        </w:tc>
      </w:tr>
    </w:tbl>
    <w:p w14:paraId="291DBD3F" w14:textId="77777777" w:rsidR="00D91622" w:rsidRDefault="00D91622" w:rsidP="00894973">
      <w:pPr>
        <w:rPr>
          <w:rFonts w:cs="Times New Roman"/>
          <w:b/>
          <w:bCs/>
          <w:i/>
          <w:iCs/>
          <w:szCs w:val="24"/>
        </w:rPr>
      </w:pPr>
    </w:p>
    <w:tbl>
      <w:tblPr>
        <w:tblStyle w:val="TableGrid"/>
        <w:tblW w:w="9350" w:type="dxa"/>
        <w:tblLook w:val="0620" w:firstRow="1" w:lastRow="0" w:firstColumn="0" w:lastColumn="0" w:noHBand="1" w:noVBand="1"/>
      </w:tblPr>
      <w:tblGrid>
        <w:gridCol w:w="444"/>
        <w:gridCol w:w="6983"/>
        <w:gridCol w:w="1923"/>
      </w:tblGrid>
      <w:tr w:rsidR="00D91622" w14:paraId="18104B8C" w14:textId="77777777" w:rsidTr="00D91622">
        <w:trPr>
          <w:cantSplit/>
          <w:trHeight w:val="260"/>
          <w:tblHeader/>
        </w:trPr>
        <w:tc>
          <w:tcPr>
            <w:tcW w:w="444" w:type="dxa"/>
          </w:tcPr>
          <w:p w14:paraId="74F1F2D3" w14:textId="77777777" w:rsidR="00D91622" w:rsidRDefault="00D91622" w:rsidP="005B4F5B">
            <w:pPr>
              <w:jc w:val="center"/>
              <w:rPr>
                <w:rFonts w:cs="Times New Roman"/>
                <w:b/>
                <w:bCs/>
                <w:szCs w:val="24"/>
              </w:rPr>
            </w:pPr>
          </w:p>
        </w:tc>
        <w:tc>
          <w:tcPr>
            <w:tcW w:w="6983" w:type="dxa"/>
          </w:tcPr>
          <w:p w14:paraId="00FD79CC" w14:textId="15840E82" w:rsidR="00D91622" w:rsidRDefault="0085256E" w:rsidP="005B4F5B">
            <w:pPr>
              <w:jc w:val="center"/>
              <w:rPr>
                <w:rFonts w:cs="Times New Roman"/>
                <w:b/>
                <w:bCs/>
                <w:szCs w:val="24"/>
              </w:rPr>
            </w:pPr>
            <w:r>
              <w:rPr>
                <w:rFonts w:cs="Times New Roman"/>
                <w:b/>
                <w:bCs/>
                <w:szCs w:val="24"/>
              </w:rPr>
              <w:t>2</w:t>
            </w:r>
            <w:r w:rsidR="00D91622">
              <w:rPr>
                <w:rFonts w:cs="Times New Roman"/>
                <w:b/>
                <w:bCs/>
                <w:szCs w:val="24"/>
              </w:rPr>
              <w:t>. Lot Split Impacts &amp; Outcomes</w:t>
            </w:r>
          </w:p>
        </w:tc>
        <w:tc>
          <w:tcPr>
            <w:tcW w:w="1923" w:type="dxa"/>
          </w:tcPr>
          <w:p w14:paraId="17364561" w14:textId="77777777" w:rsidR="00D91622" w:rsidRDefault="00D91622" w:rsidP="005B4F5B">
            <w:pPr>
              <w:jc w:val="center"/>
              <w:rPr>
                <w:rFonts w:cs="Times New Roman"/>
                <w:b/>
                <w:bCs/>
                <w:szCs w:val="24"/>
              </w:rPr>
            </w:pPr>
            <w:r>
              <w:rPr>
                <w:rFonts w:cs="Times New Roman"/>
                <w:b/>
                <w:bCs/>
                <w:szCs w:val="24"/>
              </w:rPr>
              <w:t>Yes/No/</w:t>
            </w:r>
            <w:r>
              <w:rPr>
                <w:rFonts w:cs="Times New Roman"/>
                <w:b/>
                <w:bCs/>
                <w:szCs w:val="24"/>
              </w:rPr>
              <w:br/>
              <w:t>Comments?</w:t>
            </w:r>
          </w:p>
        </w:tc>
      </w:tr>
      <w:tr w:rsidR="00D91622" w14:paraId="1B88707C" w14:textId="77777777" w:rsidTr="00D91622">
        <w:trPr>
          <w:cantSplit/>
        </w:trPr>
        <w:tc>
          <w:tcPr>
            <w:tcW w:w="444" w:type="dxa"/>
          </w:tcPr>
          <w:p w14:paraId="207B4A06" w14:textId="77777777" w:rsidR="00D91622" w:rsidRDefault="00D91622" w:rsidP="005B4F5B">
            <w:pPr>
              <w:rPr>
                <w:rFonts w:cs="Times New Roman"/>
                <w:b/>
                <w:bCs/>
                <w:szCs w:val="24"/>
              </w:rPr>
            </w:pPr>
            <w:r>
              <w:rPr>
                <w:rFonts w:cs="Times New Roman"/>
                <w:b/>
                <w:bCs/>
                <w:szCs w:val="24"/>
              </w:rPr>
              <w:t>A</w:t>
            </w:r>
          </w:p>
        </w:tc>
        <w:tc>
          <w:tcPr>
            <w:tcW w:w="6983" w:type="dxa"/>
          </w:tcPr>
          <w:p w14:paraId="34D39150" w14:textId="77777777" w:rsidR="00D91622" w:rsidRDefault="00D91622" w:rsidP="00D91622">
            <w:pPr>
              <w:pStyle w:val="Heading3"/>
            </w:pPr>
            <w:r>
              <w:t>66411.7(a)(1)</w:t>
            </w:r>
          </w:p>
          <w:p w14:paraId="337A6854" w14:textId="77777777" w:rsidR="00D91622" w:rsidRPr="00891BD4" w:rsidRDefault="00D91622" w:rsidP="005B4F5B">
            <w:pPr>
              <w:rPr>
                <w:rFonts w:cs="Times New Roman"/>
                <w:szCs w:val="24"/>
              </w:rPr>
            </w:pPr>
            <w:r>
              <w:rPr>
                <w:rFonts w:cs="Times New Roman"/>
                <w:szCs w:val="24"/>
              </w:rPr>
              <w:t>The lot split will result in no more than two new parcels.</w:t>
            </w:r>
          </w:p>
        </w:tc>
        <w:tc>
          <w:tcPr>
            <w:tcW w:w="1923" w:type="dxa"/>
          </w:tcPr>
          <w:p w14:paraId="7A01362E" w14:textId="77777777" w:rsidR="00D91622" w:rsidRDefault="00D91622" w:rsidP="005B4F5B">
            <w:pPr>
              <w:rPr>
                <w:rFonts w:cs="Times New Roman"/>
                <w:szCs w:val="24"/>
              </w:rPr>
            </w:pPr>
          </w:p>
        </w:tc>
      </w:tr>
      <w:tr w:rsidR="00D91622" w14:paraId="74498C05" w14:textId="77777777" w:rsidTr="00D91622">
        <w:trPr>
          <w:cantSplit/>
        </w:trPr>
        <w:tc>
          <w:tcPr>
            <w:tcW w:w="444" w:type="dxa"/>
          </w:tcPr>
          <w:p w14:paraId="5C4FFC91" w14:textId="77777777" w:rsidR="00D91622" w:rsidRDefault="00D91622" w:rsidP="005B4F5B">
            <w:pPr>
              <w:rPr>
                <w:rFonts w:cs="Times New Roman"/>
                <w:b/>
                <w:bCs/>
                <w:szCs w:val="24"/>
              </w:rPr>
            </w:pPr>
            <w:r>
              <w:rPr>
                <w:rFonts w:cs="Times New Roman"/>
                <w:b/>
                <w:bCs/>
                <w:szCs w:val="24"/>
              </w:rPr>
              <w:t>B</w:t>
            </w:r>
          </w:p>
        </w:tc>
        <w:tc>
          <w:tcPr>
            <w:tcW w:w="6983" w:type="dxa"/>
          </w:tcPr>
          <w:p w14:paraId="0399375F" w14:textId="77777777" w:rsidR="00D91622" w:rsidRDefault="00D91622" w:rsidP="00D91622">
            <w:pPr>
              <w:pStyle w:val="Heading3"/>
            </w:pPr>
            <w:r w:rsidRPr="00397D15">
              <w:t>66411.7(a)(1)</w:t>
            </w:r>
          </w:p>
          <w:p w14:paraId="27EDF22F" w14:textId="77777777" w:rsidR="00D91622" w:rsidRPr="00397D15" w:rsidRDefault="00D91622" w:rsidP="005B4F5B">
            <w:pPr>
              <w:rPr>
                <w:rFonts w:cs="Times New Roman"/>
                <w:szCs w:val="24"/>
              </w:rPr>
            </w:pPr>
            <w:r>
              <w:rPr>
                <w:rFonts w:cs="Times New Roman"/>
                <w:szCs w:val="24"/>
              </w:rPr>
              <w:t>Each of the resulting parcels will constitute at least 40 percent of the lot area of the original parcel.</w:t>
            </w:r>
          </w:p>
        </w:tc>
        <w:tc>
          <w:tcPr>
            <w:tcW w:w="1923" w:type="dxa"/>
          </w:tcPr>
          <w:p w14:paraId="6E70B12A" w14:textId="77777777" w:rsidR="00D91622" w:rsidRDefault="00D91622" w:rsidP="005B4F5B">
            <w:pPr>
              <w:rPr>
                <w:rFonts w:cs="Times New Roman"/>
                <w:szCs w:val="24"/>
              </w:rPr>
            </w:pPr>
          </w:p>
        </w:tc>
      </w:tr>
      <w:tr w:rsidR="00D91622" w14:paraId="3F46875A" w14:textId="77777777" w:rsidTr="00D91622">
        <w:trPr>
          <w:cantSplit/>
        </w:trPr>
        <w:tc>
          <w:tcPr>
            <w:tcW w:w="444" w:type="dxa"/>
          </w:tcPr>
          <w:p w14:paraId="448D8E15" w14:textId="77777777" w:rsidR="00D91622" w:rsidRDefault="00D91622" w:rsidP="005B4F5B">
            <w:pPr>
              <w:rPr>
                <w:rFonts w:cs="Times New Roman"/>
                <w:b/>
                <w:bCs/>
                <w:szCs w:val="24"/>
              </w:rPr>
            </w:pPr>
            <w:r>
              <w:rPr>
                <w:rFonts w:cs="Times New Roman"/>
                <w:b/>
                <w:bCs/>
                <w:szCs w:val="24"/>
              </w:rPr>
              <w:t>C</w:t>
            </w:r>
          </w:p>
        </w:tc>
        <w:tc>
          <w:tcPr>
            <w:tcW w:w="6983" w:type="dxa"/>
          </w:tcPr>
          <w:p w14:paraId="0590959F" w14:textId="77777777" w:rsidR="00D91622" w:rsidRDefault="00D91622" w:rsidP="00D91622">
            <w:pPr>
              <w:pStyle w:val="Heading3"/>
            </w:pPr>
            <w:r w:rsidRPr="00397D15">
              <w:t>66411.7(a)(</w:t>
            </w:r>
            <w:r>
              <w:t>2</w:t>
            </w:r>
            <w:r w:rsidRPr="00397D15">
              <w:t>)</w:t>
            </w:r>
          </w:p>
          <w:p w14:paraId="16C8AE03" w14:textId="77777777" w:rsidR="00D91622" w:rsidRPr="00397D15" w:rsidRDefault="00D91622" w:rsidP="005B4F5B">
            <w:pPr>
              <w:rPr>
                <w:rFonts w:cs="Times New Roman"/>
                <w:szCs w:val="24"/>
              </w:rPr>
            </w:pPr>
            <w:r>
              <w:rPr>
                <w:rFonts w:cs="Times New Roman"/>
                <w:szCs w:val="24"/>
              </w:rPr>
              <w:t>Each of the resulting parcels will be at least 1,200 square feet in size.</w:t>
            </w:r>
            <w:r>
              <w:rPr>
                <w:rStyle w:val="FootnoteReference"/>
                <w:rFonts w:cs="Times New Roman"/>
                <w:szCs w:val="24"/>
              </w:rPr>
              <w:footnoteReference w:id="5"/>
            </w:r>
          </w:p>
        </w:tc>
        <w:tc>
          <w:tcPr>
            <w:tcW w:w="1923" w:type="dxa"/>
          </w:tcPr>
          <w:p w14:paraId="2BC853E0" w14:textId="77777777" w:rsidR="00D91622" w:rsidRDefault="00D91622" w:rsidP="005B4F5B">
            <w:pPr>
              <w:rPr>
                <w:rFonts w:cs="Times New Roman"/>
                <w:szCs w:val="24"/>
              </w:rPr>
            </w:pPr>
          </w:p>
        </w:tc>
      </w:tr>
      <w:tr w:rsidR="00D91622" w14:paraId="1B87D0A4" w14:textId="77777777" w:rsidTr="00D91622">
        <w:trPr>
          <w:cantSplit/>
        </w:trPr>
        <w:tc>
          <w:tcPr>
            <w:tcW w:w="444" w:type="dxa"/>
          </w:tcPr>
          <w:p w14:paraId="0FC34C68" w14:textId="77777777" w:rsidR="00D91622" w:rsidRDefault="00D91622" w:rsidP="005B4F5B">
            <w:pPr>
              <w:rPr>
                <w:rFonts w:cs="Times New Roman"/>
                <w:b/>
                <w:bCs/>
                <w:szCs w:val="24"/>
              </w:rPr>
            </w:pPr>
            <w:r>
              <w:rPr>
                <w:rFonts w:cs="Times New Roman"/>
                <w:b/>
                <w:bCs/>
                <w:szCs w:val="24"/>
              </w:rPr>
              <w:t>D</w:t>
            </w:r>
          </w:p>
        </w:tc>
        <w:tc>
          <w:tcPr>
            <w:tcW w:w="6983" w:type="dxa"/>
          </w:tcPr>
          <w:p w14:paraId="5256FAE9" w14:textId="77777777" w:rsidR="00D91622" w:rsidRDefault="00D91622" w:rsidP="00D91622">
            <w:pPr>
              <w:pStyle w:val="Heading3"/>
            </w:pPr>
            <w:r>
              <w:t xml:space="preserve">66411.7(j) </w:t>
            </w:r>
          </w:p>
          <w:p w14:paraId="6DE4A145" w14:textId="77777777" w:rsidR="00D91622" w:rsidRPr="00675626" w:rsidRDefault="00D91622" w:rsidP="005B4F5B">
            <w:pPr>
              <w:rPr>
                <w:rFonts w:cs="Times New Roman"/>
                <w:szCs w:val="24"/>
              </w:rPr>
            </w:pPr>
            <w:r>
              <w:rPr>
                <w:rFonts w:cs="Times New Roman"/>
                <w:szCs w:val="24"/>
              </w:rPr>
              <w:t>No more than two units are proposed on each lot.</w:t>
            </w:r>
            <w:r>
              <w:rPr>
                <w:rStyle w:val="FootnoteReference"/>
                <w:rFonts w:cs="Times New Roman"/>
                <w:szCs w:val="24"/>
              </w:rPr>
              <w:footnoteReference w:id="6"/>
            </w:r>
          </w:p>
        </w:tc>
        <w:tc>
          <w:tcPr>
            <w:tcW w:w="1923" w:type="dxa"/>
          </w:tcPr>
          <w:p w14:paraId="770BD218" w14:textId="77777777" w:rsidR="00D91622" w:rsidRDefault="00D91622" w:rsidP="005B4F5B">
            <w:pPr>
              <w:rPr>
                <w:rFonts w:cs="Times New Roman"/>
                <w:szCs w:val="24"/>
              </w:rPr>
            </w:pPr>
          </w:p>
        </w:tc>
      </w:tr>
      <w:tr w:rsidR="00D91622" w14:paraId="31B30E96" w14:textId="77777777" w:rsidTr="00D91622">
        <w:trPr>
          <w:cantSplit/>
        </w:trPr>
        <w:tc>
          <w:tcPr>
            <w:tcW w:w="444" w:type="dxa"/>
          </w:tcPr>
          <w:p w14:paraId="445BE909" w14:textId="77777777" w:rsidR="00D91622" w:rsidRDefault="00D91622" w:rsidP="005B4F5B">
            <w:pPr>
              <w:rPr>
                <w:rFonts w:cs="Times New Roman"/>
                <w:b/>
                <w:bCs/>
                <w:szCs w:val="24"/>
              </w:rPr>
            </w:pPr>
            <w:r>
              <w:rPr>
                <w:rFonts w:cs="Times New Roman"/>
                <w:b/>
                <w:bCs/>
                <w:szCs w:val="24"/>
              </w:rPr>
              <w:lastRenderedPageBreak/>
              <w:t>E</w:t>
            </w:r>
          </w:p>
        </w:tc>
        <w:tc>
          <w:tcPr>
            <w:tcW w:w="6983" w:type="dxa"/>
          </w:tcPr>
          <w:p w14:paraId="1507E6B9" w14:textId="77777777" w:rsidR="00D91622" w:rsidRDefault="00D91622" w:rsidP="00D91622">
            <w:pPr>
              <w:pStyle w:val="Heading3"/>
            </w:pPr>
            <w:r>
              <w:t>66411.7(a)(3)(D)</w:t>
            </w:r>
          </w:p>
          <w:p w14:paraId="6B2B029F" w14:textId="6C31F295" w:rsidR="00D91622" w:rsidRDefault="00D91622" w:rsidP="005B4F5B">
            <w:pPr>
              <w:rPr>
                <w:rFonts w:cs="Times New Roman"/>
                <w:szCs w:val="24"/>
              </w:rPr>
            </w:pPr>
            <w:r>
              <w:rPr>
                <w:rFonts w:cs="Times New Roman"/>
                <w:szCs w:val="24"/>
              </w:rPr>
              <w:t xml:space="preserve">The lot split will not result in the demolition or alteration of affordable housing, rent-controlled housing, housing which has been removed from the rental market in the last 15 years by </w:t>
            </w:r>
            <w:r w:rsidR="00521977">
              <w:rPr>
                <w:rFonts w:cs="Times New Roman"/>
                <w:szCs w:val="24"/>
              </w:rPr>
              <w:t>Government</w:t>
            </w:r>
            <w:r>
              <w:rPr>
                <w:rFonts w:cs="Times New Roman"/>
                <w:szCs w:val="24"/>
              </w:rPr>
              <w:t xml:space="preserve"> Code Section</w:t>
            </w:r>
            <w:r w:rsidR="00521977">
              <w:rPr>
                <w:rFonts w:cs="Times New Roman"/>
                <w:szCs w:val="24"/>
              </w:rPr>
              <w:t xml:space="preserve"> </w:t>
            </w:r>
            <w:r>
              <w:rPr>
                <w:rFonts w:cs="Times New Roman"/>
                <w:szCs w:val="24"/>
              </w:rPr>
              <w:t>7060 (Ellis Act), or housing that has been occupied by a tenant in the last 3 years.</w:t>
            </w:r>
          </w:p>
          <w:p w14:paraId="6C108F89" w14:textId="77777777" w:rsidR="00D91622" w:rsidRPr="007D6666" w:rsidRDefault="00D91622" w:rsidP="005B4F5B">
            <w:pPr>
              <w:pStyle w:val="ListParagraph"/>
              <w:numPr>
                <w:ilvl w:val="0"/>
                <w:numId w:val="7"/>
              </w:numPr>
              <w:rPr>
                <w:rFonts w:cs="Times New Roman"/>
                <w:b/>
                <w:bCs/>
                <w:szCs w:val="24"/>
              </w:rPr>
            </w:pPr>
            <w:r>
              <w:rPr>
                <w:rFonts w:cs="Times New Roman"/>
                <w:szCs w:val="24"/>
              </w:rPr>
              <w:t>(</w:t>
            </w:r>
            <w:r>
              <w:rPr>
                <w:rFonts w:cs="Times New Roman"/>
                <w:i/>
                <w:iCs/>
                <w:szCs w:val="24"/>
              </w:rPr>
              <w:t xml:space="preserve">If required by the locality) </w:t>
            </w:r>
            <w:r>
              <w:rPr>
                <w:rFonts w:cs="Times New Roman"/>
                <w:szCs w:val="24"/>
              </w:rPr>
              <w:t>The property owner has signed an affidavit indicating whether or not the existing housing on the property has been occupied by a tenant in the last three years.</w:t>
            </w:r>
          </w:p>
        </w:tc>
        <w:tc>
          <w:tcPr>
            <w:tcW w:w="1923" w:type="dxa"/>
          </w:tcPr>
          <w:p w14:paraId="525F6BB0" w14:textId="77777777" w:rsidR="00D91622" w:rsidRDefault="00D91622" w:rsidP="005B4F5B">
            <w:pPr>
              <w:rPr>
                <w:rFonts w:cs="Times New Roman"/>
                <w:szCs w:val="24"/>
              </w:rPr>
            </w:pPr>
          </w:p>
        </w:tc>
      </w:tr>
      <w:tr w:rsidR="00D91622" w14:paraId="4E4A7DF5" w14:textId="77777777" w:rsidTr="00D91622">
        <w:trPr>
          <w:cantSplit/>
        </w:trPr>
        <w:tc>
          <w:tcPr>
            <w:tcW w:w="444" w:type="dxa"/>
          </w:tcPr>
          <w:p w14:paraId="3D436D8E" w14:textId="77777777" w:rsidR="00D91622" w:rsidRDefault="00D91622" w:rsidP="005B4F5B">
            <w:pPr>
              <w:rPr>
                <w:rFonts w:cs="Times New Roman"/>
                <w:b/>
                <w:bCs/>
                <w:szCs w:val="24"/>
              </w:rPr>
            </w:pPr>
            <w:r>
              <w:rPr>
                <w:rFonts w:cs="Times New Roman"/>
                <w:b/>
                <w:bCs/>
                <w:szCs w:val="24"/>
              </w:rPr>
              <w:t>E</w:t>
            </w:r>
          </w:p>
        </w:tc>
        <w:tc>
          <w:tcPr>
            <w:tcW w:w="6983" w:type="dxa"/>
          </w:tcPr>
          <w:p w14:paraId="5ECEAAFD" w14:textId="77777777" w:rsidR="00D91622" w:rsidRDefault="00D91622" w:rsidP="00D91622">
            <w:pPr>
              <w:pStyle w:val="Heading3"/>
            </w:pPr>
            <w:r>
              <w:t>66300(d)</w:t>
            </w:r>
          </w:p>
          <w:p w14:paraId="398293E9" w14:textId="77777777" w:rsidR="00D91622" w:rsidRPr="00EE1BFF" w:rsidRDefault="00D91622" w:rsidP="005B4F5B">
            <w:pPr>
              <w:rPr>
                <w:rFonts w:cs="Times New Roman"/>
                <w:szCs w:val="24"/>
              </w:rPr>
            </w:pPr>
            <w:r>
              <w:rPr>
                <w:rFonts w:cs="Times New Roman"/>
                <w:szCs w:val="24"/>
              </w:rPr>
              <w:t>If housing will be demolished, the project complies with the replacement housing provisions of the Housing Crisis Act of 2019.</w:t>
            </w:r>
          </w:p>
        </w:tc>
        <w:tc>
          <w:tcPr>
            <w:tcW w:w="1923" w:type="dxa"/>
          </w:tcPr>
          <w:p w14:paraId="61712FFA" w14:textId="77777777" w:rsidR="00D91622" w:rsidRDefault="00D91622" w:rsidP="005B4F5B">
            <w:pPr>
              <w:rPr>
                <w:rFonts w:cs="Times New Roman"/>
                <w:szCs w:val="24"/>
              </w:rPr>
            </w:pPr>
          </w:p>
        </w:tc>
      </w:tr>
      <w:tr w:rsidR="00D91622" w14:paraId="637E109F" w14:textId="77777777" w:rsidTr="00D91622">
        <w:trPr>
          <w:cantSplit/>
        </w:trPr>
        <w:tc>
          <w:tcPr>
            <w:tcW w:w="444" w:type="dxa"/>
          </w:tcPr>
          <w:p w14:paraId="1ACF0EAD" w14:textId="77777777" w:rsidR="00D91622" w:rsidRDefault="00D91622" w:rsidP="005B4F5B">
            <w:pPr>
              <w:rPr>
                <w:rFonts w:cs="Times New Roman"/>
                <w:b/>
                <w:bCs/>
                <w:szCs w:val="24"/>
              </w:rPr>
            </w:pPr>
            <w:r>
              <w:rPr>
                <w:rFonts w:cs="Times New Roman"/>
                <w:b/>
                <w:bCs/>
                <w:szCs w:val="24"/>
              </w:rPr>
              <w:t>F</w:t>
            </w:r>
          </w:p>
        </w:tc>
        <w:tc>
          <w:tcPr>
            <w:tcW w:w="6983" w:type="dxa"/>
          </w:tcPr>
          <w:p w14:paraId="1472C131" w14:textId="77777777" w:rsidR="00D91622" w:rsidRDefault="00D91622" w:rsidP="00D91622">
            <w:pPr>
              <w:pStyle w:val="Heading3"/>
            </w:pPr>
            <w:r>
              <w:t>66411.7(g)(1)</w:t>
            </w:r>
          </w:p>
          <w:p w14:paraId="116A2D13" w14:textId="77777777" w:rsidR="00D91622" w:rsidRPr="00690CC3" w:rsidRDefault="00D91622" w:rsidP="005B4F5B">
            <w:pPr>
              <w:rPr>
                <w:rFonts w:cs="Times New Roman"/>
                <w:i/>
                <w:iCs/>
                <w:szCs w:val="24"/>
              </w:rPr>
            </w:pPr>
            <w:r>
              <w:rPr>
                <w:rFonts w:cs="Times New Roman"/>
                <w:i/>
                <w:iCs/>
                <w:szCs w:val="24"/>
              </w:rPr>
              <w:t xml:space="preserve">Skip to next question if applicant is community land trust or qualified nonprofit corporation. </w:t>
            </w:r>
            <w:r>
              <w:rPr>
                <w:rFonts w:cs="Times New Roman"/>
                <w:szCs w:val="24"/>
              </w:rPr>
              <w:t xml:space="preserve">The applicant has submitted an affidavit stating that he/she/they intend to occupy one of the housing units as their principal residence for a minimum of three years from the date of approval of the urban lot split. </w:t>
            </w:r>
          </w:p>
        </w:tc>
        <w:tc>
          <w:tcPr>
            <w:tcW w:w="1923" w:type="dxa"/>
          </w:tcPr>
          <w:p w14:paraId="314FF530" w14:textId="77777777" w:rsidR="00D91622" w:rsidRDefault="00D91622" w:rsidP="005B4F5B">
            <w:pPr>
              <w:rPr>
                <w:rFonts w:cs="Times New Roman"/>
                <w:szCs w:val="24"/>
              </w:rPr>
            </w:pPr>
          </w:p>
        </w:tc>
      </w:tr>
      <w:tr w:rsidR="00D91622" w14:paraId="660090EF" w14:textId="77777777" w:rsidTr="00D91622">
        <w:trPr>
          <w:cantSplit/>
        </w:trPr>
        <w:tc>
          <w:tcPr>
            <w:tcW w:w="444" w:type="dxa"/>
          </w:tcPr>
          <w:p w14:paraId="765089F6" w14:textId="77777777" w:rsidR="00D91622" w:rsidRDefault="00D91622" w:rsidP="005B4F5B">
            <w:pPr>
              <w:rPr>
                <w:rFonts w:cs="Times New Roman"/>
                <w:b/>
                <w:bCs/>
                <w:szCs w:val="24"/>
              </w:rPr>
            </w:pPr>
            <w:r>
              <w:rPr>
                <w:rFonts w:cs="Times New Roman"/>
                <w:b/>
                <w:bCs/>
                <w:szCs w:val="24"/>
              </w:rPr>
              <w:t>G</w:t>
            </w:r>
          </w:p>
        </w:tc>
        <w:tc>
          <w:tcPr>
            <w:tcW w:w="6983" w:type="dxa"/>
          </w:tcPr>
          <w:p w14:paraId="0AC99948" w14:textId="161456F5" w:rsidR="00D91622" w:rsidRPr="00690CC3" w:rsidRDefault="00D91622" w:rsidP="005B4F5B">
            <w:pPr>
              <w:rPr>
                <w:rFonts w:cs="Times New Roman"/>
                <w:szCs w:val="24"/>
              </w:rPr>
            </w:pPr>
            <w:r>
              <w:rPr>
                <w:rFonts w:cs="Times New Roman"/>
                <w:szCs w:val="24"/>
              </w:rPr>
              <w:t xml:space="preserve">The applicant has agreed to record a covenant restricting the units to residential uses; requiring that the units are rented only for a period longer than 30 days; and prohibiting the further subdivision of either of the resulting parcels using the procedures set forth in Cal. </w:t>
            </w:r>
            <w:r w:rsidR="00521977">
              <w:rPr>
                <w:rFonts w:cs="Times New Roman"/>
                <w:szCs w:val="24"/>
              </w:rPr>
              <w:t>Government</w:t>
            </w:r>
            <w:r>
              <w:rPr>
                <w:rFonts w:cs="Times New Roman"/>
                <w:szCs w:val="24"/>
              </w:rPr>
              <w:t xml:space="preserve"> Code Section 66411.7.</w:t>
            </w:r>
          </w:p>
        </w:tc>
        <w:tc>
          <w:tcPr>
            <w:tcW w:w="1923" w:type="dxa"/>
          </w:tcPr>
          <w:p w14:paraId="730A1CD2" w14:textId="77777777" w:rsidR="00D91622" w:rsidRDefault="00D91622" w:rsidP="005B4F5B">
            <w:pPr>
              <w:rPr>
                <w:rFonts w:cs="Times New Roman"/>
                <w:szCs w:val="24"/>
              </w:rPr>
            </w:pPr>
          </w:p>
        </w:tc>
      </w:tr>
    </w:tbl>
    <w:p w14:paraId="594CE533" w14:textId="77777777" w:rsidR="00D91622" w:rsidRDefault="00D91622" w:rsidP="00894973">
      <w:pPr>
        <w:rPr>
          <w:rFonts w:cs="Times New Roman"/>
          <w:b/>
          <w:bCs/>
          <w:i/>
          <w:iCs/>
          <w:szCs w:val="24"/>
        </w:rPr>
      </w:pPr>
    </w:p>
    <w:tbl>
      <w:tblPr>
        <w:tblStyle w:val="TableGrid"/>
        <w:tblW w:w="9350" w:type="dxa"/>
        <w:tblLook w:val="0620" w:firstRow="1" w:lastRow="0" w:firstColumn="0" w:lastColumn="0" w:noHBand="1" w:noVBand="1"/>
      </w:tblPr>
      <w:tblGrid>
        <w:gridCol w:w="444"/>
        <w:gridCol w:w="6983"/>
        <w:gridCol w:w="1923"/>
      </w:tblGrid>
      <w:tr w:rsidR="00D91622" w14:paraId="52AC8725" w14:textId="77777777" w:rsidTr="00D91622">
        <w:trPr>
          <w:cantSplit/>
          <w:trHeight w:val="260"/>
          <w:tblHeader/>
        </w:trPr>
        <w:tc>
          <w:tcPr>
            <w:tcW w:w="444" w:type="dxa"/>
          </w:tcPr>
          <w:p w14:paraId="7601A912" w14:textId="77777777" w:rsidR="00D91622" w:rsidRDefault="00D91622" w:rsidP="00D91622">
            <w:pPr>
              <w:jc w:val="center"/>
              <w:rPr>
                <w:rFonts w:cs="Times New Roman"/>
                <w:b/>
                <w:bCs/>
                <w:szCs w:val="24"/>
              </w:rPr>
            </w:pPr>
          </w:p>
        </w:tc>
        <w:tc>
          <w:tcPr>
            <w:tcW w:w="6983" w:type="dxa"/>
          </w:tcPr>
          <w:p w14:paraId="38C005AF" w14:textId="67190E64" w:rsidR="00D91622" w:rsidRDefault="0085256E" w:rsidP="00D91622">
            <w:pPr>
              <w:jc w:val="center"/>
              <w:rPr>
                <w:rFonts w:cs="Times New Roman"/>
                <w:b/>
                <w:bCs/>
                <w:szCs w:val="24"/>
              </w:rPr>
            </w:pPr>
            <w:r>
              <w:rPr>
                <w:rFonts w:cs="Times New Roman"/>
                <w:b/>
                <w:bCs/>
                <w:szCs w:val="24"/>
              </w:rPr>
              <w:t>3.</w:t>
            </w:r>
            <w:r w:rsidR="00D91622">
              <w:rPr>
                <w:rFonts w:cs="Times New Roman"/>
                <w:b/>
                <w:bCs/>
                <w:szCs w:val="24"/>
              </w:rPr>
              <w:t xml:space="preserve"> </w:t>
            </w:r>
            <w:r w:rsidR="00D91622" w:rsidRPr="00BE0BAC">
              <w:rPr>
                <w:rFonts w:cs="Times New Roman"/>
                <w:b/>
                <w:bCs/>
                <w:szCs w:val="24"/>
              </w:rPr>
              <w:t>O</w:t>
            </w:r>
            <w:r w:rsidR="00D91622">
              <w:rPr>
                <w:rFonts w:cs="Times New Roman"/>
                <w:b/>
                <w:bCs/>
                <w:szCs w:val="24"/>
              </w:rPr>
              <w:t>bjective Standards</w:t>
            </w:r>
          </w:p>
        </w:tc>
        <w:tc>
          <w:tcPr>
            <w:tcW w:w="1923" w:type="dxa"/>
          </w:tcPr>
          <w:p w14:paraId="39A6E503" w14:textId="77777777" w:rsidR="00D91622" w:rsidRDefault="00D91622" w:rsidP="00D91622">
            <w:pPr>
              <w:jc w:val="center"/>
              <w:rPr>
                <w:rFonts w:cs="Times New Roman"/>
                <w:b/>
                <w:bCs/>
                <w:szCs w:val="24"/>
              </w:rPr>
            </w:pPr>
            <w:r>
              <w:rPr>
                <w:rFonts w:cs="Times New Roman"/>
                <w:b/>
                <w:bCs/>
                <w:szCs w:val="24"/>
              </w:rPr>
              <w:t>Yes/No/</w:t>
            </w:r>
            <w:r>
              <w:rPr>
                <w:rFonts w:cs="Times New Roman"/>
                <w:b/>
                <w:bCs/>
                <w:szCs w:val="24"/>
              </w:rPr>
              <w:br/>
              <w:t>Comments?</w:t>
            </w:r>
          </w:p>
        </w:tc>
      </w:tr>
      <w:tr w:rsidR="00D91622" w14:paraId="514E836F" w14:textId="77777777" w:rsidTr="00D91622">
        <w:trPr>
          <w:cantSplit/>
        </w:trPr>
        <w:tc>
          <w:tcPr>
            <w:tcW w:w="444" w:type="dxa"/>
          </w:tcPr>
          <w:p w14:paraId="4480966E" w14:textId="77777777" w:rsidR="00D91622" w:rsidRDefault="00D91622" w:rsidP="005B4F5B">
            <w:pPr>
              <w:rPr>
                <w:rFonts w:cs="Times New Roman"/>
                <w:b/>
                <w:bCs/>
                <w:szCs w:val="24"/>
              </w:rPr>
            </w:pPr>
            <w:r>
              <w:rPr>
                <w:rFonts w:cs="Times New Roman"/>
                <w:b/>
                <w:bCs/>
                <w:szCs w:val="24"/>
              </w:rPr>
              <w:t>A</w:t>
            </w:r>
          </w:p>
        </w:tc>
        <w:tc>
          <w:tcPr>
            <w:tcW w:w="6983" w:type="dxa"/>
          </w:tcPr>
          <w:p w14:paraId="1417D29B" w14:textId="77777777" w:rsidR="00D91622" w:rsidRDefault="00D91622" w:rsidP="00D91622">
            <w:pPr>
              <w:pStyle w:val="Heading3"/>
            </w:pPr>
            <w:r>
              <w:t>66411.7(b)(2)</w:t>
            </w:r>
          </w:p>
          <w:p w14:paraId="70F73336" w14:textId="77777777" w:rsidR="00D91622" w:rsidRDefault="00D91622" w:rsidP="005B4F5B">
            <w:pPr>
              <w:rPr>
                <w:rFonts w:cs="Times New Roman"/>
                <w:b/>
                <w:bCs/>
                <w:szCs w:val="24"/>
              </w:rPr>
            </w:pPr>
            <w:r>
              <w:rPr>
                <w:rFonts w:cs="Times New Roman"/>
                <w:szCs w:val="24"/>
              </w:rPr>
              <w:t>The lot split will conform to all applicable objective requirements of the Subdivision Map Act.</w:t>
            </w:r>
            <w:r>
              <w:rPr>
                <w:rStyle w:val="FootnoteReference"/>
                <w:rFonts w:cs="Times New Roman"/>
                <w:szCs w:val="24"/>
              </w:rPr>
              <w:footnoteReference w:id="7"/>
            </w:r>
          </w:p>
        </w:tc>
        <w:tc>
          <w:tcPr>
            <w:tcW w:w="1923" w:type="dxa"/>
          </w:tcPr>
          <w:p w14:paraId="56749394" w14:textId="77777777" w:rsidR="00D91622" w:rsidRDefault="00D91622" w:rsidP="005B4F5B">
            <w:pPr>
              <w:rPr>
                <w:rFonts w:cs="Times New Roman"/>
                <w:szCs w:val="24"/>
              </w:rPr>
            </w:pPr>
          </w:p>
        </w:tc>
      </w:tr>
      <w:tr w:rsidR="00D91622" w14:paraId="6398D67D" w14:textId="77777777" w:rsidTr="00D91622">
        <w:trPr>
          <w:cantSplit/>
        </w:trPr>
        <w:tc>
          <w:tcPr>
            <w:tcW w:w="444" w:type="dxa"/>
          </w:tcPr>
          <w:p w14:paraId="4C151E07" w14:textId="77777777" w:rsidR="00D91622" w:rsidRDefault="00D91622" w:rsidP="005B4F5B">
            <w:pPr>
              <w:rPr>
                <w:rFonts w:cs="Times New Roman"/>
                <w:b/>
                <w:bCs/>
                <w:szCs w:val="24"/>
              </w:rPr>
            </w:pPr>
            <w:r>
              <w:rPr>
                <w:rFonts w:cs="Times New Roman"/>
                <w:b/>
                <w:bCs/>
                <w:szCs w:val="24"/>
              </w:rPr>
              <w:lastRenderedPageBreak/>
              <w:t>B</w:t>
            </w:r>
          </w:p>
        </w:tc>
        <w:tc>
          <w:tcPr>
            <w:tcW w:w="6983" w:type="dxa"/>
          </w:tcPr>
          <w:p w14:paraId="612DD12D" w14:textId="77777777" w:rsidR="00D91622" w:rsidRDefault="00D91622" w:rsidP="00D91622">
            <w:pPr>
              <w:pStyle w:val="Heading3"/>
            </w:pPr>
            <w:r>
              <w:t>66411.7(c)(1)-(3)</w:t>
            </w:r>
          </w:p>
          <w:p w14:paraId="35BE94FF" w14:textId="77777777" w:rsidR="00D91622" w:rsidRPr="00F03ED7" w:rsidRDefault="00D91622" w:rsidP="005B4F5B">
            <w:pPr>
              <w:rPr>
                <w:rFonts w:cs="Times New Roman"/>
                <w:szCs w:val="24"/>
              </w:rPr>
            </w:pPr>
            <w:r>
              <w:rPr>
                <w:rFonts w:cs="Times New Roman"/>
                <w:szCs w:val="24"/>
              </w:rPr>
              <w:t>The lot split will conform to all applicable objective zoning, subdivision, and design review standards so long as they do not physically preclude two units on each lot of 800 sf each and allow a setback of at least four feet</w:t>
            </w:r>
            <w:r>
              <w:rPr>
                <w:rStyle w:val="FootnoteReference"/>
                <w:rFonts w:cs="Times New Roman"/>
                <w:szCs w:val="24"/>
              </w:rPr>
              <w:footnoteReference w:id="8"/>
            </w:r>
            <w:r>
              <w:rPr>
                <w:rFonts w:cs="Times New Roman"/>
                <w:szCs w:val="24"/>
              </w:rPr>
              <w:t xml:space="preserve"> from the rear and side property lines (or none if in an existing structure or new structure built to the same dimensions).</w:t>
            </w:r>
            <w:r>
              <w:rPr>
                <w:rStyle w:val="FootnoteReference"/>
                <w:rFonts w:cs="Times New Roman"/>
                <w:szCs w:val="24"/>
              </w:rPr>
              <w:footnoteReference w:id="9"/>
            </w:r>
            <w:r>
              <w:rPr>
                <w:rFonts w:cs="Times New Roman"/>
                <w:szCs w:val="24"/>
              </w:rPr>
              <w:t xml:space="preserve"> </w:t>
            </w:r>
          </w:p>
        </w:tc>
        <w:tc>
          <w:tcPr>
            <w:tcW w:w="1923" w:type="dxa"/>
          </w:tcPr>
          <w:p w14:paraId="6B66D8D2" w14:textId="77777777" w:rsidR="00D91622" w:rsidRDefault="00D91622" w:rsidP="005B4F5B">
            <w:pPr>
              <w:rPr>
                <w:rFonts w:cs="Times New Roman"/>
                <w:szCs w:val="24"/>
              </w:rPr>
            </w:pPr>
          </w:p>
        </w:tc>
      </w:tr>
      <w:tr w:rsidR="00D91622" w14:paraId="1023450D" w14:textId="77777777" w:rsidTr="00D91622">
        <w:trPr>
          <w:cantSplit/>
        </w:trPr>
        <w:tc>
          <w:tcPr>
            <w:tcW w:w="444" w:type="dxa"/>
          </w:tcPr>
          <w:p w14:paraId="79697051" w14:textId="77777777" w:rsidR="00D91622" w:rsidRDefault="00D91622" w:rsidP="005B4F5B">
            <w:pPr>
              <w:rPr>
                <w:rFonts w:cs="Times New Roman"/>
                <w:b/>
                <w:bCs/>
                <w:szCs w:val="24"/>
              </w:rPr>
            </w:pPr>
            <w:r>
              <w:rPr>
                <w:rFonts w:cs="Times New Roman"/>
                <w:b/>
                <w:bCs/>
                <w:szCs w:val="24"/>
              </w:rPr>
              <w:t>C</w:t>
            </w:r>
          </w:p>
        </w:tc>
        <w:tc>
          <w:tcPr>
            <w:tcW w:w="6983" w:type="dxa"/>
          </w:tcPr>
          <w:p w14:paraId="5D06DDBE" w14:textId="77777777" w:rsidR="00D91622" w:rsidRDefault="00D91622" w:rsidP="00D91622">
            <w:pPr>
              <w:pStyle w:val="Heading3"/>
            </w:pPr>
            <w:r>
              <w:t>66411.7(k)</w:t>
            </w:r>
          </w:p>
          <w:p w14:paraId="6B75A7D9" w14:textId="77777777" w:rsidR="00D91622" w:rsidRPr="00B55289" w:rsidRDefault="00D91622" w:rsidP="005B4F5B">
            <w:pPr>
              <w:rPr>
                <w:rFonts w:cs="Times New Roman"/>
                <w:szCs w:val="24"/>
              </w:rPr>
            </w:pPr>
            <w:r>
              <w:rPr>
                <w:rFonts w:cs="Times New Roman"/>
                <w:szCs w:val="24"/>
              </w:rPr>
              <w:t>If adjacent or connected structures are proposed, the structures meet building code standards and are sufficient to allow separate conveyance.</w:t>
            </w:r>
          </w:p>
        </w:tc>
        <w:tc>
          <w:tcPr>
            <w:tcW w:w="1923" w:type="dxa"/>
          </w:tcPr>
          <w:p w14:paraId="1BB52A44" w14:textId="77777777" w:rsidR="00D91622" w:rsidRDefault="00D91622" w:rsidP="005B4F5B">
            <w:pPr>
              <w:rPr>
                <w:rFonts w:cs="Times New Roman"/>
                <w:szCs w:val="24"/>
              </w:rPr>
            </w:pPr>
          </w:p>
        </w:tc>
      </w:tr>
      <w:tr w:rsidR="00D91622" w14:paraId="47D4CD7F" w14:textId="77777777" w:rsidTr="00D91622">
        <w:trPr>
          <w:cantSplit/>
        </w:trPr>
        <w:tc>
          <w:tcPr>
            <w:tcW w:w="444" w:type="dxa"/>
          </w:tcPr>
          <w:p w14:paraId="341CCF1A" w14:textId="77777777" w:rsidR="00D91622" w:rsidRPr="00570837" w:rsidRDefault="00D91622" w:rsidP="005B4F5B">
            <w:pPr>
              <w:rPr>
                <w:rFonts w:cs="Times New Roman"/>
                <w:b/>
                <w:bCs/>
                <w:szCs w:val="24"/>
              </w:rPr>
            </w:pPr>
            <w:r>
              <w:rPr>
                <w:rFonts w:cs="Times New Roman"/>
                <w:b/>
                <w:bCs/>
                <w:szCs w:val="24"/>
              </w:rPr>
              <w:t>D</w:t>
            </w:r>
          </w:p>
        </w:tc>
        <w:tc>
          <w:tcPr>
            <w:tcW w:w="6983" w:type="dxa"/>
          </w:tcPr>
          <w:p w14:paraId="5041E7F2" w14:textId="77777777" w:rsidR="00D91622" w:rsidRDefault="00D91622" w:rsidP="00D91622">
            <w:pPr>
              <w:pStyle w:val="Heading3"/>
            </w:pPr>
            <w:r>
              <w:t>66411.7(e)(3)</w:t>
            </w:r>
          </w:p>
          <w:p w14:paraId="0B6BFE0B" w14:textId="77777777" w:rsidR="00D91622" w:rsidRDefault="00D91622" w:rsidP="005B4F5B">
            <w:pPr>
              <w:rPr>
                <w:rFonts w:cs="Times New Roman"/>
                <w:szCs w:val="24"/>
              </w:rPr>
            </w:pPr>
            <w:r>
              <w:rPr>
                <w:rFonts w:cs="Times New Roman"/>
                <w:b/>
                <w:bCs/>
                <w:szCs w:val="24"/>
              </w:rPr>
              <w:t>Parking.</w:t>
            </w:r>
            <w:r>
              <w:rPr>
                <w:rFonts w:cs="Times New Roman"/>
                <w:szCs w:val="24"/>
              </w:rPr>
              <w:t xml:space="preserve"> The project provides at least one off-street parking space per unit</w:t>
            </w:r>
            <w:r>
              <w:rPr>
                <w:rStyle w:val="FootnoteReference"/>
                <w:rFonts w:cs="Times New Roman"/>
                <w:szCs w:val="24"/>
              </w:rPr>
              <w:footnoteReference w:id="10"/>
            </w:r>
            <w:r>
              <w:rPr>
                <w:rFonts w:cs="Times New Roman"/>
                <w:szCs w:val="24"/>
              </w:rPr>
              <w:t xml:space="preserve"> unless:</w:t>
            </w:r>
          </w:p>
          <w:p w14:paraId="48FD9847" w14:textId="77777777" w:rsidR="00D91622" w:rsidRDefault="00D91622" w:rsidP="005B4F5B">
            <w:pPr>
              <w:pStyle w:val="ListParagraph"/>
              <w:numPr>
                <w:ilvl w:val="0"/>
                <w:numId w:val="7"/>
              </w:numPr>
              <w:rPr>
                <w:rFonts w:cs="Times New Roman"/>
                <w:szCs w:val="24"/>
              </w:rPr>
            </w:pPr>
            <w:r>
              <w:rPr>
                <w:rFonts w:cs="Times New Roman"/>
                <w:szCs w:val="24"/>
              </w:rPr>
              <w:t>The parcel located within one-half walking distance of either a high-quality transit corridor, or major transit stop; or</w:t>
            </w:r>
          </w:p>
          <w:p w14:paraId="43C7C30B" w14:textId="77777777" w:rsidR="00D91622" w:rsidRPr="00EF32D2" w:rsidRDefault="00D91622" w:rsidP="005B4F5B">
            <w:pPr>
              <w:pStyle w:val="ListParagraph"/>
              <w:numPr>
                <w:ilvl w:val="0"/>
                <w:numId w:val="7"/>
              </w:numPr>
              <w:rPr>
                <w:rFonts w:cs="Times New Roman"/>
                <w:szCs w:val="24"/>
              </w:rPr>
            </w:pPr>
            <w:r>
              <w:rPr>
                <w:rFonts w:cs="Times New Roman"/>
                <w:szCs w:val="24"/>
              </w:rPr>
              <w:t>The parcel is located within one block of a car share vehicle.</w:t>
            </w:r>
          </w:p>
        </w:tc>
        <w:tc>
          <w:tcPr>
            <w:tcW w:w="1923" w:type="dxa"/>
          </w:tcPr>
          <w:p w14:paraId="6192625F" w14:textId="77777777" w:rsidR="00D91622" w:rsidRDefault="00D91622" w:rsidP="005B4F5B">
            <w:pPr>
              <w:rPr>
                <w:rFonts w:cs="Times New Roman"/>
                <w:szCs w:val="24"/>
              </w:rPr>
            </w:pPr>
          </w:p>
        </w:tc>
      </w:tr>
      <w:tr w:rsidR="00D91622" w14:paraId="4954FAEE" w14:textId="77777777" w:rsidTr="00D91622">
        <w:trPr>
          <w:cantSplit/>
        </w:trPr>
        <w:tc>
          <w:tcPr>
            <w:tcW w:w="444" w:type="dxa"/>
          </w:tcPr>
          <w:p w14:paraId="49DC6C0F" w14:textId="77777777" w:rsidR="00D91622" w:rsidRPr="00D253BE" w:rsidRDefault="00D91622" w:rsidP="005B4F5B">
            <w:pPr>
              <w:rPr>
                <w:rFonts w:cs="Times New Roman"/>
                <w:b/>
                <w:bCs/>
                <w:szCs w:val="24"/>
              </w:rPr>
            </w:pPr>
            <w:r>
              <w:rPr>
                <w:rFonts w:cs="Times New Roman"/>
                <w:b/>
                <w:bCs/>
                <w:szCs w:val="24"/>
              </w:rPr>
              <w:t>E</w:t>
            </w:r>
          </w:p>
        </w:tc>
        <w:tc>
          <w:tcPr>
            <w:tcW w:w="6983" w:type="dxa"/>
          </w:tcPr>
          <w:p w14:paraId="282A5D02" w14:textId="77777777" w:rsidR="00D91622" w:rsidRDefault="00D91622" w:rsidP="00D91622">
            <w:pPr>
              <w:pStyle w:val="Heading3"/>
            </w:pPr>
            <w:r>
              <w:t>66411.7(e)(2)</w:t>
            </w:r>
          </w:p>
          <w:p w14:paraId="7C3EDC3B" w14:textId="77777777" w:rsidR="00D91622" w:rsidRPr="00EF32D2" w:rsidRDefault="00D91622" w:rsidP="005B4F5B">
            <w:pPr>
              <w:rPr>
                <w:rFonts w:cs="Times New Roman"/>
                <w:b/>
                <w:bCs/>
                <w:szCs w:val="24"/>
              </w:rPr>
            </w:pPr>
            <w:r>
              <w:rPr>
                <w:rFonts w:cs="Times New Roman"/>
                <w:b/>
                <w:bCs/>
                <w:szCs w:val="24"/>
              </w:rPr>
              <w:t>Access to Right-of-Way.</w:t>
            </w:r>
            <w:r>
              <w:rPr>
                <w:rFonts w:cs="Times New Roman"/>
                <w:szCs w:val="24"/>
              </w:rPr>
              <w:t xml:space="preserve"> Both of the resulting parcels will either have access to, provide access to, or adjoin the public right-of-way.</w:t>
            </w:r>
            <w:r>
              <w:rPr>
                <w:rStyle w:val="FootnoteReference"/>
                <w:rFonts w:cs="Times New Roman"/>
                <w:szCs w:val="24"/>
              </w:rPr>
              <w:footnoteReference w:id="11"/>
            </w:r>
          </w:p>
        </w:tc>
        <w:tc>
          <w:tcPr>
            <w:tcW w:w="1923" w:type="dxa"/>
          </w:tcPr>
          <w:p w14:paraId="1293C0B7" w14:textId="77777777" w:rsidR="00D91622" w:rsidRDefault="00D91622" w:rsidP="005B4F5B">
            <w:pPr>
              <w:rPr>
                <w:rFonts w:cs="Times New Roman"/>
                <w:szCs w:val="24"/>
              </w:rPr>
            </w:pPr>
          </w:p>
        </w:tc>
      </w:tr>
    </w:tbl>
    <w:p w14:paraId="7F9AD7C8" w14:textId="78E3E173" w:rsidR="00D91622" w:rsidRDefault="00D91622" w:rsidP="00894973">
      <w:pPr>
        <w:rPr>
          <w:rFonts w:cs="Times New Roman"/>
          <w:b/>
          <w:bCs/>
          <w:i/>
          <w:iCs/>
          <w:szCs w:val="24"/>
        </w:rPr>
        <w:sectPr w:rsidR="00D91622">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3E7D301B" w14:textId="24B638C0" w:rsidR="00894973" w:rsidRPr="00F81483" w:rsidRDefault="00521977" w:rsidP="005745A0">
      <w:pPr>
        <w:pStyle w:val="Heading1"/>
      </w:pPr>
      <w:r>
        <w:lastRenderedPageBreak/>
        <w:t>GOVERNMENT</w:t>
      </w:r>
      <w:r w:rsidRPr="00F81483">
        <w:t xml:space="preserve"> CODE </w:t>
      </w:r>
      <w:r w:rsidR="005745A0">
        <w:t>Section</w:t>
      </w:r>
      <w:r w:rsidRPr="00F81483">
        <w:t xml:space="preserve"> 65852.21: </w:t>
      </w:r>
      <w:r w:rsidR="006641C8" w:rsidRPr="00F81483">
        <w:t>TWO-UNIT DEVELOPMENTS</w:t>
      </w:r>
    </w:p>
    <w:p w14:paraId="75F39943" w14:textId="72F93281" w:rsidR="006641C8" w:rsidRDefault="00000000" w:rsidP="005745A0">
      <w:pPr>
        <w:pStyle w:val="Heading2"/>
      </w:pPr>
      <w:r>
        <w:t>Preliminary Questions</w:t>
      </w:r>
    </w:p>
    <w:p w14:paraId="4BC2D1C1" w14:textId="40F70471" w:rsidR="002A7965" w:rsidRDefault="00000000" w:rsidP="002A7965">
      <w:pPr>
        <w:pStyle w:val="ListParagraph"/>
        <w:numPr>
          <w:ilvl w:val="0"/>
          <w:numId w:val="4"/>
        </w:numPr>
        <w:spacing w:line="360" w:lineRule="auto"/>
        <w:rPr>
          <w:rFonts w:cs="Times New Roman"/>
          <w:szCs w:val="24"/>
        </w:rPr>
      </w:pPr>
      <w:r>
        <w:rPr>
          <w:rFonts w:cs="Times New Roman"/>
          <w:szCs w:val="24"/>
        </w:rPr>
        <w:t xml:space="preserve">Street address: </w:t>
      </w:r>
    </w:p>
    <w:p w14:paraId="0BF5AD30" w14:textId="3C798288" w:rsidR="002A7965" w:rsidRDefault="00000000" w:rsidP="002A7965">
      <w:pPr>
        <w:pStyle w:val="ListParagraph"/>
        <w:numPr>
          <w:ilvl w:val="0"/>
          <w:numId w:val="4"/>
        </w:numPr>
        <w:spacing w:line="360" w:lineRule="auto"/>
        <w:rPr>
          <w:rFonts w:cs="Times New Roman"/>
          <w:szCs w:val="24"/>
        </w:rPr>
      </w:pPr>
      <w:r>
        <w:rPr>
          <w:rFonts w:cs="Times New Roman"/>
          <w:szCs w:val="24"/>
        </w:rPr>
        <w:t xml:space="preserve">Assessor's Parcel Number (APN): </w:t>
      </w:r>
    </w:p>
    <w:p w14:paraId="6B01B645" w14:textId="25AE103E" w:rsidR="002A7965" w:rsidRDefault="00000000" w:rsidP="002A7965">
      <w:pPr>
        <w:pStyle w:val="ListParagraph"/>
        <w:numPr>
          <w:ilvl w:val="0"/>
          <w:numId w:val="4"/>
        </w:numPr>
        <w:spacing w:line="360" w:lineRule="auto"/>
        <w:rPr>
          <w:rFonts w:cs="Times New Roman"/>
          <w:szCs w:val="24"/>
        </w:rPr>
      </w:pPr>
      <w:r>
        <w:rPr>
          <w:rFonts w:cs="Times New Roman"/>
          <w:szCs w:val="24"/>
        </w:rPr>
        <w:t xml:space="preserve">Owner/applicant name: </w:t>
      </w:r>
    </w:p>
    <w:p w14:paraId="3BBA58DF" w14:textId="0CC0959E" w:rsidR="002A7965" w:rsidRDefault="00000000" w:rsidP="002A7965">
      <w:pPr>
        <w:pStyle w:val="ListParagraph"/>
        <w:numPr>
          <w:ilvl w:val="0"/>
          <w:numId w:val="4"/>
        </w:numPr>
        <w:spacing w:line="360" w:lineRule="auto"/>
        <w:rPr>
          <w:rFonts w:cs="Times New Roman"/>
          <w:szCs w:val="24"/>
        </w:rPr>
      </w:pPr>
      <w:r>
        <w:rPr>
          <w:rFonts w:cs="Times New Roman"/>
          <w:szCs w:val="24"/>
        </w:rPr>
        <w:t xml:space="preserve">Parcel zoning designation: </w:t>
      </w:r>
    </w:p>
    <w:p w14:paraId="26501BBE" w14:textId="24941660" w:rsidR="002A7965" w:rsidRDefault="00000000" w:rsidP="002A7965">
      <w:pPr>
        <w:pStyle w:val="ListParagraph"/>
        <w:numPr>
          <w:ilvl w:val="0"/>
          <w:numId w:val="4"/>
        </w:numPr>
        <w:spacing w:line="360" w:lineRule="auto"/>
        <w:rPr>
          <w:rFonts w:cs="Times New Roman"/>
          <w:szCs w:val="24"/>
        </w:rPr>
      </w:pPr>
      <w:r>
        <w:rPr>
          <w:rFonts w:cs="Times New Roman"/>
          <w:szCs w:val="24"/>
        </w:rPr>
        <w:t xml:space="preserve">Parcel size:  </w:t>
      </w:r>
      <w:r w:rsidR="00D91622">
        <w:rPr>
          <w:rFonts w:cs="Times New Roman"/>
          <w:szCs w:val="24"/>
        </w:rPr>
        <w:t>square feet</w:t>
      </w:r>
      <w:r>
        <w:rPr>
          <w:rFonts w:cs="Times New Roman"/>
          <w:szCs w:val="24"/>
        </w:rPr>
        <w:t xml:space="preserve"> </w:t>
      </w:r>
    </w:p>
    <w:p w14:paraId="4284356C" w14:textId="77777777" w:rsidR="004D3CD2" w:rsidRPr="00B32BEE" w:rsidRDefault="00000000" w:rsidP="004D3CD2">
      <w:pPr>
        <w:pStyle w:val="ListParagraph"/>
        <w:numPr>
          <w:ilvl w:val="0"/>
          <w:numId w:val="4"/>
        </w:numPr>
        <w:spacing w:line="360" w:lineRule="auto"/>
        <w:rPr>
          <w:rFonts w:cs="Times New Roman"/>
          <w:szCs w:val="24"/>
        </w:rPr>
      </w:pPr>
      <w:r>
        <w:rPr>
          <w:rFonts w:cs="Times New Roman"/>
          <w:szCs w:val="24"/>
        </w:rPr>
        <w:t>Number of units existing on the parcel (indicate whether owner or renter occupied for last three years):</w:t>
      </w:r>
    </w:p>
    <w:p w14:paraId="65024ECB" w14:textId="79947F19" w:rsidR="004D3CD2" w:rsidRDefault="00000000" w:rsidP="004D3CD2">
      <w:pPr>
        <w:pStyle w:val="ListParagraph"/>
        <w:numPr>
          <w:ilvl w:val="1"/>
          <w:numId w:val="4"/>
        </w:numPr>
        <w:spacing w:line="360" w:lineRule="auto"/>
        <w:rPr>
          <w:rFonts w:cs="Times New Roman"/>
          <w:szCs w:val="24"/>
        </w:rPr>
      </w:pPr>
      <w:r>
        <w:rPr>
          <w:rFonts w:cs="Times New Roman"/>
          <w:szCs w:val="24"/>
        </w:rPr>
        <w:t xml:space="preserve">Primary dwelling units: </w:t>
      </w:r>
    </w:p>
    <w:p w14:paraId="2495A46E" w14:textId="3676B0F9" w:rsidR="004D3CD2" w:rsidRDefault="00000000" w:rsidP="004D3CD2">
      <w:pPr>
        <w:pStyle w:val="ListParagraph"/>
        <w:numPr>
          <w:ilvl w:val="1"/>
          <w:numId w:val="4"/>
        </w:numPr>
        <w:spacing w:line="360" w:lineRule="auto"/>
        <w:rPr>
          <w:rFonts w:cs="Times New Roman"/>
          <w:szCs w:val="24"/>
        </w:rPr>
      </w:pPr>
      <w:r>
        <w:rPr>
          <w:rFonts w:cs="Times New Roman"/>
          <w:szCs w:val="24"/>
        </w:rPr>
        <w:t>Accessory dwelling unit</w:t>
      </w:r>
      <w:r w:rsidR="0050728C">
        <w:rPr>
          <w:rFonts w:cs="Times New Roman"/>
          <w:szCs w:val="24"/>
        </w:rPr>
        <w:t>(s):</w:t>
      </w:r>
      <w:r w:rsidR="00D22C00">
        <w:rPr>
          <w:rFonts w:cs="Times New Roman"/>
          <w:szCs w:val="24"/>
        </w:rPr>
        <w:t xml:space="preserve"> </w:t>
      </w:r>
    </w:p>
    <w:p w14:paraId="43CD7A29" w14:textId="3479F43A" w:rsidR="004D3CD2" w:rsidRDefault="00000000" w:rsidP="004D3CD2">
      <w:pPr>
        <w:pStyle w:val="ListParagraph"/>
        <w:numPr>
          <w:ilvl w:val="1"/>
          <w:numId w:val="4"/>
        </w:numPr>
        <w:spacing w:line="360" w:lineRule="auto"/>
        <w:rPr>
          <w:rFonts w:cs="Times New Roman"/>
          <w:szCs w:val="24"/>
        </w:rPr>
      </w:pPr>
      <w:r>
        <w:rPr>
          <w:rFonts w:cs="Times New Roman"/>
          <w:szCs w:val="24"/>
        </w:rPr>
        <w:t>Junior accessory dwelling unit(s)</w:t>
      </w:r>
      <w:r w:rsidR="00D22C00">
        <w:rPr>
          <w:rFonts w:cs="Times New Roman"/>
          <w:szCs w:val="24"/>
        </w:rPr>
        <w:t xml:space="preserve">: </w:t>
      </w:r>
    </w:p>
    <w:p w14:paraId="38A0775C" w14:textId="1F6419F5" w:rsidR="004D3CD2" w:rsidRDefault="00000000" w:rsidP="004D3CD2">
      <w:pPr>
        <w:pStyle w:val="ListParagraph"/>
        <w:numPr>
          <w:ilvl w:val="0"/>
          <w:numId w:val="4"/>
        </w:numPr>
        <w:spacing w:line="360" w:lineRule="auto"/>
        <w:rPr>
          <w:rFonts w:cs="Times New Roman"/>
          <w:szCs w:val="24"/>
        </w:rPr>
      </w:pPr>
      <w:r>
        <w:rPr>
          <w:rFonts w:cs="Times New Roman"/>
          <w:szCs w:val="24"/>
        </w:rPr>
        <w:t xml:space="preserve">Number of existing units to be demolished: </w:t>
      </w:r>
    </w:p>
    <w:p w14:paraId="7F0FD797" w14:textId="0B430B3E" w:rsidR="004D3CD2" w:rsidRDefault="00000000" w:rsidP="004D3CD2">
      <w:pPr>
        <w:pStyle w:val="ListParagraph"/>
        <w:numPr>
          <w:ilvl w:val="0"/>
          <w:numId w:val="4"/>
        </w:numPr>
        <w:spacing w:line="360" w:lineRule="auto"/>
        <w:rPr>
          <w:rFonts w:cs="Times New Roman"/>
          <w:szCs w:val="24"/>
        </w:rPr>
      </w:pPr>
      <w:r>
        <w:rPr>
          <w:rFonts w:cs="Times New Roman"/>
          <w:szCs w:val="24"/>
        </w:rPr>
        <w:t>If units are to be demolished</w:t>
      </w:r>
      <w:r w:rsidR="00A019C5">
        <w:rPr>
          <w:rFonts w:cs="Times New Roman"/>
          <w:szCs w:val="24"/>
        </w:rPr>
        <w:t xml:space="preserve"> or altered</w:t>
      </w:r>
      <w:r>
        <w:rPr>
          <w:rFonts w:cs="Times New Roman"/>
          <w:szCs w:val="24"/>
        </w:rPr>
        <w:t xml:space="preserve">: </w:t>
      </w:r>
    </w:p>
    <w:p w14:paraId="1DCEAD86" w14:textId="7DA3BDB6" w:rsidR="004D3CD2" w:rsidRDefault="00000000" w:rsidP="004D3CD2">
      <w:pPr>
        <w:pStyle w:val="ListParagraph"/>
        <w:numPr>
          <w:ilvl w:val="1"/>
          <w:numId w:val="4"/>
        </w:numPr>
        <w:spacing w:line="360" w:lineRule="auto"/>
        <w:rPr>
          <w:rFonts w:cs="Times New Roman"/>
          <w:szCs w:val="24"/>
        </w:rPr>
      </w:pPr>
      <w:r>
        <w:rPr>
          <w:rFonts w:cs="Times New Roman"/>
          <w:szCs w:val="24"/>
        </w:rPr>
        <w:t>Indicate whether owner or renter occupied for last five</w:t>
      </w:r>
      <w:r>
        <w:rPr>
          <w:rStyle w:val="FootnoteReference"/>
          <w:rFonts w:cs="Times New Roman"/>
          <w:szCs w:val="24"/>
        </w:rPr>
        <w:footnoteReference w:id="12"/>
      </w:r>
      <w:r>
        <w:rPr>
          <w:rFonts w:cs="Times New Roman"/>
          <w:szCs w:val="24"/>
        </w:rPr>
        <w:t xml:space="preserve"> years: </w:t>
      </w:r>
    </w:p>
    <w:p w14:paraId="4F35FDD5" w14:textId="0FB7A870" w:rsidR="004D3CD2" w:rsidRPr="004D3CD2" w:rsidRDefault="00000000" w:rsidP="004D3CD2">
      <w:pPr>
        <w:pStyle w:val="ListParagraph"/>
        <w:numPr>
          <w:ilvl w:val="1"/>
          <w:numId w:val="4"/>
        </w:numPr>
        <w:spacing w:line="360" w:lineRule="auto"/>
        <w:rPr>
          <w:rFonts w:cs="Times New Roman"/>
          <w:szCs w:val="24"/>
        </w:rPr>
      </w:pPr>
      <w:r>
        <w:rPr>
          <w:rFonts w:cs="Times New Roman"/>
          <w:szCs w:val="24"/>
        </w:rPr>
        <w:t xml:space="preserve">Income of existing tenant or last tenant in occupancy, if known: </w:t>
      </w:r>
    </w:p>
    <w:p w14:paraId="6CF3B70A" w14:textId="1DB3A495" w:rsidR="004D3CD2" w:rsidRDefault="00000000" w:rsidP="002A7965">
      <w:pPr>
        <w:pStyle w:val="ListParagraph"/>
        <w:numPr>
          <w:ilvl w:val="0"/>
          <w:numId w:val="4"/>
        </w:numPr>
        <w:spacing w:line="360" w:lineRule="auto"/>
        <w:rPr>
          <w:rFonts w:cs="Times New Roman"/>
          <w:szCs w:val="24"/>
        </w:rPr>
      </w:pPr>
      <w:r>
        <w:rPr>
          <w:rFonts w:cs="Times New Roman"/>
          <w:szCs w:val="24"/>
        </w:rPr>
        <w:t xml:space="preserve">Number and size of units being proposed: </w:t>
      </w:r>
    </w:p>
    <w:p w14:paraId="44843D40" w14:textId="4687AD9F" w:rsidR="002A7965" w:rsidRPr="004D3CD2" w:rsidRDefault="00000000" w:rsidP="004D3CD2">
      <w:pPr>
        <w:rPr>
          <w:rFonts w:cs="Times New Roman"/>
          <w:szCs w:val="24"/>
        </w:rPr>
      </w:pPr>
      <w:r>
        <w:rPr>
          <w:rFonts w:cs="Times New Roman"/>
          <w:szCs w:val="24"/>
        </w:rPr>
        <w:br w:type="page"/>
      </w:r>
    </w:p>
    <w:p w14:paraId="5D1362D1" w14:textId="230AE41F" w:rsidR="002A7965" w:rsidRPr="002A7965" w:rsidRDefault="00D91622" w:rsidP="00D91622">
      <w:pPr>
        <w:pStyle w:val="Heading2"/>
      </w:pPr>
      <w:r>
        <w:lastRenderedPageBreak/>
        <w:t>Required Criteria</w:t>
      </w:r>
    </w:p>
    <w:tbl>
      <w:tblPr>
        <w:tblStyle w:val="TableGrid"/>
        <w:tblW w:w="9350" w:type="dxa"/>
        <w:tblLook w:val="0620" w:firstRow="1" w:lastRow="0" w:firstColumn="0" w:lastColumn="0" w:noHBand="1" w:noVBand="1"/>
      </w:tblPr>
      <w:tblGrid>
        <w:gridCol w:w="440"/>
        <w:gridCol w:w="6667"/>
        <w:gridCol w:w="2243"/>
      </w:tblGrid>
      <w:tr w:rsidR="00D91622" w14:paraId="726063B6" w14:textId="77777777" w:rsidTr="00F86CC3">
        <w:trPr>
          <w:cantSplit/>
          <w:trHeight w:val="260"/>
          <w:tblHeader/>
        </w:trPr>
        <w:tc>
          <w:tcPr>
            <w:tcW w:w="440" w:type="dxa"/>
          </w:tcPr>
          <w:p w14:paraId="2F7A4B94" w14:textId="2075FCFA" w:rsidR="00D91622" w:rsidRDefault="00D91622" w:rsidP="00D91622">
            <w:pPr>
              <w:jc w:val="center"/>
              <w:rPr>
                <w:rFonts w:cs="Times New Roman"/>
                <w:b/>
                <w:bCs/>
                <w:szCs w:val="24"/>
              </w:rPr>
            </w:pPr>
          </w:p>
        </w:tc>
        <w:tc>
          <w:tcPr>
            <w:tcW w:w="6667" w:type="dxa"/>
          </w:tcPr>
          <w:p w14:paraId="7B1293FF" w14:textId="54CC9F93" w:rsidR="00D91622" w:rsidRDefault="0085256E" w:rsidP="00D91622">
            <w:pPr>
              <w:jc w:val="center"/>
              <w:rPr>
                <w:rFonts w:cs="Times New Roman"/>
                <w:b/>
                <w:bCs/>
                <w:szCs w:val="24"/>
              </w:rPr>
            </w:pPr>
            <w:r>
              <w:rPr>
                <w:rFonts w:cs="Times New Roman"/>
                <w:b/>
                <w:bCs/>
                <w:szCs w:val="24"/>
              </w:rPr>
              <w:t>1</w:t>
            </w:r>
            <w:r w:rsidR="00D91622">
              <w:rPr>
                <w:rFonts w:cs="Times New Roman"/>
                <w:b/>
                <w:bCs/>
                <w:szCs w:val="24"/>
              </w:rPr>
              <w:t xml:space="preserve">. Project Location </w:t>
            </w:r>
          </w:p>
        </w:tc>
        <w:tc>
          <w:tcPr>
            <w:tcW w:w="2243" w:type="dxa"/>
          </w:tcPr>
          <w:p w14:paraId="40D62543" w14:textId="1313074F" w:rsidR="00D91622" w:rsidRPr="00F46C95" w:rsidRDefault="00D91622" w:rsidP="00D91622">
            <w:pPr>
              <w:jc w:val="center"/>
              <w:rPr>
                <w:rFonts w:cs="Times New Roman"/>
                <w:b/>
                <w:bCs/>
                <w:szCs w:val="24"/>
              </w:rPr>
            </w:pPr>
            <w:r w:rsidRPr="00F46C95">
              <w:rPr>
                <w:rFonts w:cs="Times New Roman"/>
                <w:b/>
                <w:bCs/>
                <w:szCs w:val="24"/>
              </w:rPr>
              <w:t>Y</w:t>
            </w:r>
            <w:r>
              <w:rPr>
                <w:rFonts w:cs="Times New Roman"/>
                <w:b/>
                <w:bCs/>
                <w:szCs w:val="24"/>
              </w:rPr>
              <w:t>es</w:t>
            </w:r>
            <w:r w:rsidRPr="00F46C95">
              <w:rPr>
                <w:rFonts w:cs="Times New Roman"/>
                <w:b/>
                <w:bCs/>
                <w:szCs w:val="24"/>
              </w:rPr>
              <w:t>/N</w:t>
            </w:r>
            <w:r w:rsidR="00F86CC3">
              <w:rPr>
                <w:rFonts w:cs="Times New Roman"/>
                <w:b/>
                <w:bCs/>
                <w:szCs w:val="24"/>
              </w:rPr>
              <w:t>o</w:t>
            </w:r>
            <w:r>
              <w:rPr>
                <w:rFonts w:cs="Times New Roman"/>
                <w:b/>
                <w:bCs/>
                <w:szCs w:val="24"/>
              </w:rPr>
              <w:t>/Comments</w:t>
            </w:r>
            <w:r w:rsidR="00F86CC3">
              <w:rPr>
                <w:rFonts w:cs="Times New Roman"/>
                <w:b/>
                <w:bCs/>
                <w:szCs w:val="24"/>
              </w:rPr>
              <w:t>?</w:t>
            </w:r>
          </w:p>
        </w:tc>
      </w:tr>
      <w:tr w:rsidR="00D91622" w14:paraId="5E21B654" w14:textId="77777777" w:rsidTr="00F86CC3">
        <w:trPr>
          <w:cantSplit/>
        </w:trPr>
        <w:tc>
          <w:tcPr>
            <w:tcW w:w="440" w:type="dxa"/>
          </w:tcPr>
          <w:p w14:paraId="76DE3E4A" w14:textId="77777777" w:rsidR="00D91622" w:rsidRDefault="00D91622" w:rsidP="00D91622">
            <w:pPr>
              <w:rPr>
                <w:rFonts w:cs="Times New Roman"/>
                <w:b/>
                <w:bCs/>
                <w:szCs w:val="24"/>
              </w:rPr>
            </w:pPr>
            <w:r>
              <w:rPr>
                <w:rFonts w:cs="Times New Roman"/>
                <w:b/>
                <w:bCs/>
                <w:szCs w:val="24"/>
              </w:rPr>
              <w:t>A</w:t>
            </w:r>
          </w:p>
        </w:tc>
        <w:tc>
          <w:tcPr>
            <w:tcW w:w="6667" w:type="dxa"/>
          </w:tcPr>
          <w:p w14:paraId="4708A2C8" w14:textId="49A85182" w:rsidR="00D91622" w:rsidRDefault="00D91622" w:rsidP="00F86CC3">
            <w:pPr>
              <w:pStyle w:val="Heading3"/>
            </w:pPr>
            <w:r>
              <w:t>65852.1(a)</w:t>
            </w:r>
          </w:p>
          <w:p w14:paraId="31599CE9" w14:textId="14E6DACB" w:rsidR="00D91622" w:rsidRPr="00034218" w:rsidRDefault="00D91622" w:rsidP="00D91622">
            <w:pPr>
              <w:rPr>
                <w:rFonts w:cs="Times New Roman"/>
                <w:szCs w:val="24"/>
              </w:rPr>
            </w:pPr>
            <w:r>
              <w:rPr>
                <w:rFonts w:cs="Times New Roman"/>
                <w:szCs w:val="24"/>
              </w:rPr>
              <w:t xml:space="preserve">The proposed development is located in a single-family residential zone. </w:t>
            </w:r>
          </w:p>
        </w:tc>
        <w:tc>
          <w:tcPr>
            <w:tcW w:w="2243" w:type="dxa"/>
          </w:tcPr>
          <w:p w14:paraId="55E570B5" w14:textId="77777777" w:rsidR="00D91622" w:rsidRDefault="00D91622" w:rsidP="00D91622">
            <w:pPr>
              <w:rPr>
                <w:rFonts w:cs="Times New Roman"/>
                <w:szCs w:val="24"/>
              </w:rPr>
            </w:pPr>
          </w:p>
        </w:tc>
      </w:tr>
      <w:tr w:rsidR="00D91622" w14:paraId="2C4A04D2" w14:textId="77777777" w:rsidTr="00F86CC3">
        <w:trPr>
          <w:cantSplit/>
        </w:trPr>
        <w:tc>
          <w:tcPr>
            <w:tcW w:w="440" w:type="dxa"/>
          </w:tcPr>
          <w:p w14:paraId="4E5CA7E8" w14:textId="77777777" w:rsidR="00D91622" w:rsidRDefault="00D91622" w:rsidP="00D91622">
            <w:pPr>
              <w:rPr>
                <w:rFonts w:cs="Times New Roman"/>
                <w:b/>
                <w:bCs/>
                <w:szCs w:val="24"/>
              </w:rPr>
            </w:pPr>
            <w:r>
              <w:rPr>
                <w:rFonts w:cs="Times New Roman"/>
                <w:b/>
                <w:bCs/>
                <w:szCs w:val="24"/>
              </w:rPr>
              <w:t>B</w:t>
            </w:r>
          </w:p>
        </w:tc>
        <w:tc>
          <w:tcPr>
            <w:tcW w:w="6667" w:type="dxa"/>
          </w:tcPr>
          <w:p w14:paraId="53A23EA1" w14:textId="193F86F6" w:rsidR="00D91622" w:rsidRDefault="00D91622" w:rsidP="00F86CC3">
            <w:pPr>
              <w:pStyle w:val="Heading3"/>
            </w:pPr>
            <w:r>
              <w:t>65852.1(a)(1)</w:t>
            </w:r>
          </w:p>
          <w:p w14:paraId="12498E0B" w14:textId="7D65DD17" w:rsidR="00D91622" w:rsidRPr="00034218" w:rsidRDefault="00D91622" w:rsidP="00D91622">
            <w:pPr>
              <w:rPr>
                <w:rFonts w:cs="Times New Roman"/>
                <w:szCs w:val="24"/>
              </w:rPr>
            </w:pPr>
            <w:r>
              <w:rPr>
                <w:rFonts w:cs="Times New Roman"/>
                <w:szCs w:val="24"/>
              </w:rPr>
              <w:t>The proposed development is located within a city, the boundaries of which include some portion of either an urbanized area or urban cluster, as designated by the U.S. Census Bureau, or for unincorporated areas, wholly within the boundaries of an urbanized area or urban cluster, as designated by the U.S. Census Bureau.</w:t>
            </w:r>
            <w:r>
              <w:rPr>
                <w:rStyle w:val="FootnoteReference"/>
                <w:rFonts w:cs="Times New Roman"/>
                <w:szCs w:val="24"/>
              </w:rPr>
              <w:footnoteReference w:id="13"/>
            </w:r>
          </w:p>
        </w:tc>
        <w:tc>
          <w:tcPr>
            <w:tcW w:w="2243" w:type="dxa"/>
          </w:tcPr>
          <w:p w14:paraId="2ADAF086" w14:textId="77777777" w:rsidR="00D91622" w:rsidRDefault="00D91622" w:rsidP="00D91622">
            <w:pPr>
              <w:rPr>
                <w:rFonts w:cs="Times New Roman"/>
                <w:szCs w:val="24"/>
              </w:rPr>
            </w:pPr>
          </w:p>
        </w:tc>
      </w:tr>
      <w:tr w:rsidR="00D91622" w14:paraId="4EC91D18" w14:textId="77777777" w:rsidTr="00F86CC3">
        <w:trPr>
          <w:cantSplit/>
        </w:trPr>
        <w:tc>
          <w:tcPr>
            <w:tcW w:w="440" w:type="dxa"/>
          </w:tcPr>
          <w:p w14:paraId="2EA7B259" w14:textId="77777777" w:rsidR="00D91622" w:rsidRDefault="00D91622" w:rsidP="00D91622">
            <w:pPr>
              <w:rPr>
                <w:rFonts w:cs="Times New Roman"/>
                <w:b/>
                <w:bCs/>
                <w:szCs w:val="24"/>
              </w:rPr>
            </w:pPr>
            <w:r>
              <w:rPr>
                <w:rFonts w:cs="Times New Roman"/>
                <w:b/>
                <w:bCs/>
                <w:szCs w:val="24"/>
              </w:rPr>
              <w:t>C</w:t>
            </w:r>
          </w:p>
        </w:tc>
        <w:tc>
          <w:tcPr>
            <w:tcW w:w="6667" w:type="dxa"/>
          </w:tcPr>
          <w:p w14:paraId="6199DC0D" w14:textId="451EA8DC" w:rsidR="00D91622" w:rsidRDefault="00D91622" w:rsidP="00F86CC3">
            <w:pPr>
              <w:pStyle w:val="Heading3"/>
            </w:pPr>
            <w:r>
              <w:t>65852.1(a</w:t>
            </w:r>
            <w:r w:rsidRPr="00F86CC3">
              <w:t>)(</w:t>
            </w:r>
            <w:r>
              <w:t>2)</w:t>
            </w:r>
          </w:p>
          <w:p w14:paraId="669BC8AB" w14:textId="4961462A" w:rsidR="00D91622" w:rsidRDefault="00D91622" w:rsidP="00D91622">
            <w:pPr>
              <w:rPr>
                <w:rFonts w:cs="Times New Roman"/>
                <w:b/>
                <w:bCs/>
                <w:szCs w:val="24"/>
              </w:rPr>
            </w:pPr>
            <w:r>
              <w:rPr>
                <w:rFonts w:cs="Times New Roman"/>
                <w:szCs w:val="24"/>
              </w:rPr>
              <w:t>The parcel does not contain any of following (listed at G.C. Section 65913.4(a)(6)((B), (C), (I), (J), (K))</w:t>
            </w:r>
            <w:r>
              <w:rPr>
                <w:rStyle w:val="FootnoteReference"/>
                <w:rFonts w:cs="Times New Roman"/>
                <w:szCs w:val="24"/>
              </w:rPr>
              <w:footnoteReference w:id="14"/>
            </w:r>
            <w:r>
              <w:rPr>
                <w:rFonts w:cs="Times New Roman"/>
                <w:b/>
                <w:bCs/>
                <w:szCs w:val="24"/>
              </w:rPr>
              <w:t>:</w:t>
            </w:r>
          </w:p>
          <w:p w14:paraId="016E422F" w14:textId="77777777" w:rsidR="00D91622" w:rsidRPr="00884FD7" w:rsidRDefault="00D91622" w:rsidP="00D91622">
            <w:pPr>
              <w:pStyle w:val="ListParagraph"/>
              <w:numPr>
                <w:ilvl w:val="0"/>
                <w:numId w:val="5"/>
              </w:numPr>
              <w:rPr>
                <w:rFonts w:cs="Times New Roman"/>
                <w:b/>
                <w:bCs/>
                <w:szCs w:val="24"/>
              </w:rPr>
            </w:pPr>
            <w:r>
              <w:rPr>
                <w:rFonts w:cs="Times New Roman"/>
                <w:szCs w:val="24"/>
              </w:rPr>
              <w:t>Prime farmland, farmland of statewide importance, or land designated for agricultural protection by local voters</w:t>
            </w:r>
          </w:p>
          <w:p w14:paraId="7DEDB46D" w14:textId="77777777" w:rsidR="00D91622" w:rsidRPr="00884FD7" w:rsidRDefault="00D91622" w:rsidP="00D91622">
            <w:pPr>
              <w:pStyle w:val="ListParagraph"/>
              <w:numPr>
                <w:ilvl w:val="0"/>
                <w:numId w:val="5"/>
              </w:numPr>
              <w:rPr>
                <w:rFonts w:cs="Times New Roman"/>
                <w:b/>
                <w:bCs/>
                <w:szCs w:val="24"/>
              </w:rPr>
            </w:pPr>
            <w:r>
              <w:rPr>
                <w:rFonts w:cs="Times New Roman"/>
                <w:szCs w:val="24"/>
              </w:rPr>
              <w:t>Wetlands</w:t>
            </w:r>
          </w:p>
          <w:p w14:paraId="232FB203" w14:textId="77777777" w:rsidR="00D91622" w:rsidRPr="00884FD7" w:rsidRDefault="00D91622" w:rsidP="00D91622">
            <w:pPr>
              <w:pStyle w:val="ListParagraph"/>
              <w:numPr>
                <w:ilvl w:val="0"/>
                <w:numId w:val="5"/>
              </w:numPr>
              <w:rPr>
                <w:rFonts w:cs="Times New Roman"/>
                <w:b/>
                <w:bCs/>
                <w:szCs w:val="24"/>
              </w:rPr>
            </w:pPr>
            <w:r>
              <w:rPr>
                <w:rFonts w:cs="Times New Roman"/>
                <w:szCs w:val="24"/>
              </w:rPr>
              <w:t xml:space="preserve">Lands designated for conservation in an adopted natural community conservation plan, habitat conservation plan, or other adopted natural resource protection plan. </w:t>
            </w:r>
          </w:p>
          <w:p w14:paraId="77CCD835" w14:textId="77777777" w:rsidR="00D91622" w:rsidRDefault="00D91622" w:rsidP="00D91622">
            <w:pPr>
              <w:pStyle w:val="ListParagraph"/>
              <w:numPr>
                <w:ilvl w:val="0"/>
                <w:numId w:val="5"/>
              </w:numPr>
              <w:rPr>
                <w:rFonts w:cs="Times New Roman"/>
                <w:szCs w:val="24"/>
              </w:rPr>
            </w:pPr>
            <w:r w:rsidRPr="00884FD7">
              <w:rPr>
                <w:rFonts w:cs="Times New Roman"/>
                <w:szCs w:val="24"/>
              </w:rPr>
              <w:t xml:space="preserve">Habitat </w:t>
            </w:r>
            <w:r>
              <w:rPr>
                <w:rFonts w:cs="Times New Roman"/>
                <w:szCs w:val="24"/>
              </w:rPr>
              <w:t>for species identified as candidate, sensitive, or species of special status by state or federal agencies, full protected species, or plant or animal species protected by state or federal law.</w:t>
            </w:r>
          </w:p>
          <w:p w14:paraId="13D746A7" w14:textId="088F4F29" w:rsidR="00D91622" w:rsidRPr="004D3CD2" w:rsidRDefault="00D91622" w:rsidP="00D91622">
            <w:pPr>
              <w:pStyle w:val="ListParagraph"/>
              <w:numPr>
                <w:ilvl w:val="0"/>
                <w:numId w:val="5"/>
              </w:numPr>
              <w:rPr>
                <w:rFonts w:cs="Times New Roman"/>
                <w:szCs w:val="24"/>
              </w:rPr>
            </w:pPr>
            <w:r w:rsidRPr="004D3CD2">
              <w:rPr>
                <w:rFonts w:cs="Times New Roman"/>
                <w:szCs w:val="24"/>
              </w:rPr>
              <w:t xml:space="preserve">Lands under conservation easement. </w:t>
            </w:r>
          </w:p>
        </w:tc>
        <w:tc>
          <w:tcPr>
            <w:tcW w:w="2243" w:type="dxa"/>
          </w:tcPr>
          <w:p w14:paraId="44BE2CCA" w14:textId="77777777" w:rsidR="00D91622" w:rsidRDefault="00D91622" w:rsidP="00D91622">
            <w:pPr>
              <w:rPr>
                <w:rFonts w:cs="Times New Roman"/>
                <w:szCs w:val="24"/>
              </w:rPr>
            </w:pPr>
          </w:p>
        </w:tc>
      </w:tr>
      <w:tr w:rsidR="00D91622" w14:paraId="7F6498DC" w14:textId="77777777" w:rsidTr="00F86CC3">
        <w:trPr>
          <w:cantSplit/>
        </w:trPr>
        <w:tc>
          <w:tcPr>
            <w:tcW w:w="440" w:type="dxa"/>
          </w:tcPr>
          <w:p w14:paraId="5770C9EB" w14:textId="51492E2D" w:rsidR="00D91622" w:rsidRDefault="00D91622" w:rsidP="00D91622">
            <w:pPr>
              <w:rPr>
                <w:rFonts w:cs="Times New Roman"/>
                <w:b/>
                <w:bCs/>
                <w:szCs w:val="24"/>
              </w:rPr>
            </w:pPr>
            <w:r>
              <w:rPr>
                <w:rFonts w:cs="Times New Roman"/>
                <w:b/>
                <w:bCs/>
                <w:szCs w:val="24"/>
              </w:rPr>
              <w:lastRenderedPageBreak/>
              <w:t>D</w:t>
            </w:r>
          </w:p>
        </w:tc>
        <w:tc>
          <w:tcPr>
            <w:tcW w:w="6667" w:type="dxa"/>
          </w:tcPr>
          <w:p w14:paraId="5D1A70D8" w14:textId="77777777" w:rsidR="00D91622" w:rsidRDefault="00D91622" w:rsidP="00F86CC3">
            <w:pPr>
              <w:pStyle w:val="Heading3"/>
            </w:pPr>
            <w:r>
              <w:t>65852.1(a)(2)</w:t>
            </w:r>
          </w:p>
          <w:p w14:paraId="678A6E39" w14:textId="6FBF2131" w:rsidR="00D91622" w:rsidRDefault="00D91622" w:rsidP="00D91622">
            <w:pPr>
              <w:rPr>
                <w:rFonts w:cs="Times New Roman"/>
                <w:szCs w:val="24"/>
              </w:rPr>
            </w:pPr>
            <w:r>
              <w:rPr>
                <w:rFonts w:cs="Times New Roman"/>
                <w:szCs w:val="24"/>
              </w:rPr>
              <w:t>If the parcel contains any of the following, the project conforms with the required measures to reduce hazards ((listed at G.C. Section 65913.4(a)(6)(D) – (H)):</w:t>
            </w:r>
            <w:r>
              <w:rPr>
                <w:rStyle w:val="FootnoteReference"/>
                <w:rFonts w:cs="Times New Roman"/>
                <w:szCs w:val="24"/>
              </w:rPr>
              <w:footnoteReference w:id="15"/>
            </w:r>
          </w:p>
          <w:p w14:paraId="44B36D47" w14:textId="77777777" w:rsidR="00D91622" w:rsidRDefault="00D91622" w:rsidP="00D91622">
            <w:pPr>
              <w:pStyle w:val="ListParagraph"/>
              <w:numPr>
                <w:ilvl w:val="0"/>
                <w:numId w:val="6"/>
              </w:numPr>
              <w:rPr>
                <w:rFonts w:cs="Times New Roman"/>
                <w:szCs w:val="24"/>
              </w:rPr>
            </w:pPr>
            <w:r>
              <w:rPr>
                <w:rFonts w:cs="Times New Roman"/>
                <w:szCs w:val="24"/>
              </w:rPr>
              <w:t>High or very high fire hazard severity zone</w:t>
            </w:r>
          </w:p>
          <w:p w14:paraId="32741E33" w14:textId="77777777" w:rsidR="00D91622" w:rsidRDefault="00D91622" w:rsidP="00D91622">
            <w:pPr>
              <w:pStyle w:val="ListParagraph"/>
              <w:numPr>
                <w:ilvl w:val="0"/>
                <w:numId w:val="6"/>
              </w:numPr>
              <w:rPr>
                <w:rFonts w:cs="Times New Roman"/>
                <w:szCs w:val="24"/>
              </w:rPr>
            </w:pPr>
            <w:r>
              <w:rPr>
                <w:rFonts w:cs="Times New Roman"/>
                <w:szCs w:val="24"/>
              </w:rPr>
              <w:t>Hazardous waste site</w:t>
            </w:r>
          </w:p>
          <w:p w14:paraId="2BB76977" w14:textId="77777777" w:rsidR="00D91622" w:rsidRDefault="00D91622" w:rsidP="00D91622">
            <w:pPr>
              <w:pStyle w:val="ListParagraph"/>
              <w:numPr>
                <w:ilvl w:val="0"/>
                <w:numId w:val="6"/>
              </w:numPr>
              <w:rPr>
                <w:rFonts w:cs="Times New Roman"/>
                <w:szCs w:val="24"/>
              </w:rPr>
            </w:pPr>
            <w:r>
              <w:rPr>
                <w:rFonts w:cs="Times New Roman"/>
                <w:szCs w:val="24"/>
              </w:rPr>
              <w:t>Earthquake fault zone</w:t>
            </w:r>
          </w:p>
          <w:p w14:paraId="3655B307" w14:textId="77777777" w:rsidR="00D91622" w:rsidRDefault="00D91622" w:rsidP="00D91622">
            <w:pPr>
              <w:pStyle w:val="ListParagraph"/>
              <w:numPr>
                <w:ilvl w:val="0"/>
                <w:numId w:val="6"/>
              </w:numPr>
              <w:rPr>
                <w:rFonts w:cs="Times New Roman"/>
                <w:szCs w:val="24"/>
              </w:rPr>
            </w:pPr>
            <w:r>
              <w:rPr>
                <w:rFonts w:cs="Times New Roman"/>
                <w:szCs w:val="24"/>
              </w:rPr>
              <w:t>Flood hazard area subject to inundation by the 1 percent flood</w:t>
            </w:r>
          </w:p>
          <w:p w14:paraId="1CFF2F2A" w14:textId="10C1E13F" w:rsidR="00D91622" w:rsidRPr="004D3CD2" w:rsidRDefault="00D91622" w:rsidP="00D91622">
            <w:pPr>
              <w:pStyle w:val="ListParagraph"/>
              <w:numPr>
                <w:ilvl w:val="0"/>
                <w:numId w:val="6"/>
              </w:numPr>
              <w:rPr>
                <w:rFonts w:cs="Times New Roman"/>
                <w:b/>
                <w:bCs/>
                <w:szCs w:val="24"/>
              </w:rPr>
            </w:pPr>
            <w:r w:rsidRPr="004D3CD2">
              <w:rPr>
                <w:rFonts w:cs="Times New Roman"/>
                <w:szCs w:val="24"/>
              </w:rPr>
              <w:t>Regulatory floodway</w:t>
            </w:r>
          </w:p>
        </w:tc>
        <w:tc>
          <w:tcPr>
            <w:tcW w:w="2243" w:type="dxa"/>
          </w:tcPr>
          <w:p w14:paraId="04C11C3A" w14:textId="77777777" w:rsidR="00D91622" w:rsidRDefault="00D91622" w:rsidP="00D91622">
            <w:pPr>
              <w:rPr>
                <w:rFonts w:cs="Times New Roman"/>
                <w:szCs w:val="24"/>
              </w:rPr>
            </w:pPr>
          </w:p>
        </w:tc>
      </w:tr>
      <w:tr w:rsidR="00D91622" w14:paraId="09428D70" w14:textId="77777777" w:rsidTr="00F86CC3">
        <w:trPr>
          <w:cantSplit/>
        </w:trPr>
        <w:tc>
          <w:tcPr>
            <w:tcW w:w="440" w:type="dxa"/>
          </w:tcPr>
          <w:p w14:paraId="146E0826" w14:textId="44A27489" w:rsidR="00D91622" w:rsidRDefault="00D91622" w:rsidP="00D91622">
            <w:pPr>
              <w:rPr>
                <w:rFonts w:cs="Times New Roman"/>
                <w:b/>
                <w:bCs/>
                <w:szCs w:val="24"/>
              </w:rPr>
            </w:pPr>
            <w:r>
              <w:rPr>
                <w:rFonts w:cs="Times New Roman"/>
                <w:b/>
                <w:bCs/>
                <w:szCs w:val="24"/>
              </w:rPr>
              <w:t>E</w:t>
            </w:r>
          </w:p>
        </w:tc>
        <w:tc>
          <w:tcPr>
            <w:tcW w:w="6667" w:type="dxa"/>
          </w:tcPr>
          <w:p w14:paraId="5C3B58E5" w14:textId="657818D8" w:rsidR="00D91622" w:rsidRDefault="00D91622" w:rsidP="00F86CC3">
            <w:pPr>
              <w:pStyle w:val="Heading3"/>
            </w:pPr>
            <w:r>
              <w:t>65852.1(a)(6)</w:t>
            </w:r>
          </w:p>
          <w:p w14:paraId="6BCE20C8" w14:textId="601EC2D0" w:rsidR="00D91622" w:rsidRPr="00326329" w:rsidRDefault="00D91622" w:rsidP="00D91622">
            <w:pPr>
              <w:rPr>
                <w:rFonts w:cs="Times New Roman"/>
                <w:szCs w:val="24"/>
              </w:rPr>
            </w:pPr>
            <w:r>
              <w:rPr>
                <w:rFonts w:cs="Times New Roman"/>
                <w:szCs w:val="24"/>
              </w:rPr>
              <w:t>The proposed development is not located in a historic district or property included on the State Historic Resources Inventory, or within a side that is designated or list as a city or county landmark or historic property or district per city or county ordinance.</w:t>
            </w:r>
          </w:p>
        </w:tc>
        <w:tc>
          <w:tcPr>
            <w:tcW w:w="2243" w:type="dxa"/>
          </w:tcPr>
          <w:p w14:paraId="5DCC7F75" w14:textId="77777777" w:rsidR="00D91622" w:rsidRDefault="00D91622" w:rsidP="00D91622">
            <w:pPr>
              <w:rPr>
                <w:rFonts w:cs="Times New Roman"/>
                <w:szCs w:val="24"/>
              </w:rPr>
            </w:pPr>
          </w:p>
        </w:tc>
      </w:tr>
    </w:tbl>
    <w:p w14:paraId="6B2B5F66" w14:textId="79F7AE5B" w:rsidR="00F86CC3" w:rsidRDefault="00F86CC3" w:rsidP="00894973">
      <w:pPr>
        <w:rPr>
          <w:rFonts w:cs="Times New Roman"/>
          <w:b/>
          <w:bCs/>
          <w:i/>
          <w:iCs/>
          <w:szCs w:val="24"/>
        </w:rPr>
      </w:pPr>
    </w:p>
    <w:tbl>
      <w:tblPr>
        <w:tblStyle w:val="TableGrid"/>
        <w:tblW w:w="9350" w:type="dxa"/>
        <w:tblLook w:val="0620" w:firstRow="1" w:lastRow="0" w:firstColumn="0" w:lastColumn="0" w:noHBand="1" w:noVBand="1"/>
      </w:tblPr>
      <w:tblGrid>
        <w:gridCol w:w="440"/>
        <w:gridCol w:w="6667"/>
        <w:gridCol w:w="2243"/>
      </w:tblGrid>
      <w:tr w:rsidR="00F86CC3" w14:paraId="048A8EA5" w14:textId="77777777" w:rsidTr="00F86CC3">
        <w:trPr>
          <w:cantSplit/>
          <w:trHeight w:val="260"/>
          <w:tblHeader/>
        </w:trPr>
        <w:tc>
          <w:tcPr>
            <w:tcW w:w="440" w:type="dxa"/>
          </w:tcPr>
          <w:p w14:paraId="5AAF9C65" w14:textId="77777777" w:rsidR="00F86CC3" w:rsidRDefault="00F86CC3" w:rsidP="00F86CC3">
            <w:pPr>
              <w:jc w:val="center"/>
              <w:rPr>
                <w:rFonts w:cs="Times New Roman"/>
                <w:b/>
                <w:bCs/>
                <w:szCs w:val="24"/>
              </w:rPr>
            </w:pPr>
          </w:p>
        </w:tc>
        <w:tc>
          <w:tcPr>
            <w:tcW w:w="6667" w:type="dxa"/>
          </w:tcPr>
          <w:p w14:paraId="1E0FA7DC" w14:textId="7E48AD80" w:rsidR="00F86CC3" w:rsidRDefault="0085256E" w:rsidP="00F86CC3">
            <w:pPr>
              <w:jc w:val="center"/>
              <w:rPr>
                <w:rFonts w:cs="Times New Roman"/>
                <w:b/>
                <w:bCs/>
                <w:szCs w:val="24"/>
              </w:rPr>
            </w:pPr>
            <w:r>
              <w:rPr>
                <w:rFonts w:cs="Times New Roman"/>
                <w:b/>
                <w:bCs/>
                <w:szCs w:val="24"/>
              </w:rPr>
              <w:t>2</w:t>
            </w:r>
            <w:r w:rsidR="00F86CC3">
              <w:rPr>
                <w:rFonts w:cs="Times New Roman"/>
                <w:b/>
                <w:bCs/>
                <w:szCs w:val="24"/>
              </w:rPr>
              <w:t>. Housing Development Project Impacts &amp; Outcomes</w:t>
            </w:r>
          </w:p>
        </w:tc>
        <w:tc>
          <w:tcPr>
            <w:tcW w:w="2243" w:type="dxa"/>
          </w:tcPr>
          <w:p w14:paraId="59A75C3E" w14:textId="77777777" w:rsidR="00F86CC3" w:rsidRPr="00F46C95" w:rsidRDefault="00F86CC3" w:rsidP="00F86CC3">
            <w:pPr>
              <w:jc w:val="center"/>
              <w:rPr>
                <w:rFonts w:cs="Times New Roman"/>
                <w:b/>
                <w:bCs/>
                <w:szCs w:val="24"/>
              </w:rPr>
            </w:pPr>
            <w:r w:rsidRPr="00F46C95">
              <w:rPr>
                <w:rFonts w:cs="Times New Roman"/>
                <w:b/>
                <w:bCs/>
                <w:szCs w:val="24"/>
              </w:rPr>
              <w:t>Y</w:t>
            </w:r>
            <w:r>
              <w:rPr>
                <w:rFonts w:cs="Times New Roman"/>
                <w:b/>
                <w:bCs/>
                <w:szCs w:val="24"/>
              </w:rPr>
              <w:t>es</w:t>
            </w:r>
            <w:r w:rsidRPr="00F46C95">
              <w:rPr>
                <w:rFonts w:cs="Times New Roman"/>
                <w:b/>
                <w:bCs/>
                <w:szCs w:val="24"/>
              </w:rPr>
              <w:t>/N</w:t>
            </w:r>
            <w:r>
              <w:rPr>
                <w:rFonts w:cs="Times New Roman"/>
                <w:b/>
                <w:bCs/>
                <w:szCs w:val="24"/>
              </w:rPr>
              <w:t>o/Comments?</w:t>
            </w:r>
          </w:p>
        </w:tc>
      </w:tr>
      <w:tr w:rsidR="00F86CC3" w14:paraId="15D15EB4" w14:textId="77777777" w:rsidTr="00F86CC3">
        <w:trPr>
          <w:cantSplit/>
        </w:trPr>
        <w:tc>
          <w:tcPr>
            <w:tcW w:w="440" w:type="dxa"/>
          </w:tcPr>
          <w:p w14:paraId="20CBAAC0" w14:textId="77777777" w:rsidR="00F86CC3" w:rsidRDefault="00F86CC3" w:rsidP="00F86CC3">
            <w:pPr>
              <w:rPr>
                <w:rFonts w:cs="Times New Roman"/>
                <w:b/>
                <w:bCs/>
                <w:szCs w:val="24"/>
              </w:rPr>
            </w:pPr>
            <w:r>
              <w:rPr>
                <w:rFonts w:cs="Times New Roman"/>
                <w:b/>
                <w:bCs/>
                <w:szCs w:val="24"/>
              </w:rPr>
              <w:t>A</w:t>
            </w:r>
          </w:p>
        </w:tc>
        <w:tc>
          <w:tcPr>
            <w:tcW w:w="6667" w:type="dxa"/>
          </w:tcPr>
          <w:p w14:paraId="40624531" w14:textId="77777777" w:rsidR="00F86CC3" w:rsidRDefault="00F86CC3" w:rsidP="00F86CC3">
            <w:pPr>
              <w:pStyle w:val="Heading3"/>
            </w:pPr>
            <w:r>
              <w:t>65852.21(a);(</w:t>
            </w:r>
            <w:proofErr w:type="spellStart"/>
            <w:r>
              <w:t>i</w:t>
            </w:r>
            <w:proofErr w:type="spellEnd"/>
            <w:r>
              <w:t>)(1)</w:t>
            </w:r>
          </w:p>
          <w:p w14:paraId="1505408B" w14:textId="77777777" w:rsidR="00F86CC3" w:rsidRPr="00891BD4" w:rsidRDefault="00F86CC3" w:rsidP="00F86CC3">
            <w:pPr>
              <w:rPr>
                <w:rFonts w:cs="Times New Roman"/>
                <w:szCs w:val="24"/>
              </w:rPr>
            </w:pPr>
            <w:r>
              <w:rPr>
                <w:rFonts w:cs="Times New Roman"/>
                <w:szCs w:val="24"/>
              </w:rPr>
              <w:t>The project proposes no more than two new units or proposes to add one new unit to an existing unit.</w:t>
            </w:r>
          </w:p>
        </w:tc>
        <w:tc>
          <w:tcPr>
            <w:tcW w:w="2243" w:type="dxa"/>
          </w:tcPr>
          <w:p w14:paraId="0589E2E0" w14:textId="77777777" w:rsidR="00F86CC3" w:rsidRDefault="00F86CC3" w:rsidP="00F86CC3">
            <w:pPr>
              <w:rPr>
                <w:rFonts w:cs="Times New Roman"/>
                <w:szCs w:val="24"/>
              </w:rPr>
            </w:pPr>
          </w:p>
        </w:tc>
      </w:tr>
      <w:tr w:rsidR="00F86CC3" w14:paraId="736EEB39" w14:textId="77777777" w:rsidTr="00F86CC3">
        <w:trPr>
          <w:cantSplit/>
        </w:trPr>
        <w:tc>
          <w:tcPr>
            <w:tcW w:w="440" w:type="dxa"/>
          </w:tcPr>
          <w:p w14:paraId="1C2AE321" w14:textId="77777777" w:rsidR="00F86CC3" w:rsidRDefault="00F86CC3" w:rsidP="00F86CC3">
            <w:pPr>
              <w:rPr>
                <w:rFonts w:cs="Times New Roman"/>
                <w:b/>
                <w:bCs/>
                <w:szCs w:val="24"/>
              </w:rPr>
            </w:pPr>
            <w:r>
              <w:rPr>
                <w:rFonts w:cs="Times New Roman"/>
                <w:b/>
                <w:bCs/>
                <w:szCs w:val="24"/>
              </w:rPr>
              <w:t>B</w:t>
            </w:r>
          </w:p>
        </w:tc>
        <w:tc>
          <w:tcPr>
            <w:tcW w:w="6667" w:type="dxa"/>
          </w:tcPr>
          <w:p w14:paraId="34582442" w14:textId="77777777" w:rsidR="00F86CC3" w:rsidRDefault="00F86CC3" w:rsidP="00F86CC3">
            <w:pPr>
              <w:pStyle w:val="Heading3"/>
            </w:pPr>
            <w:r>
              <w:t>65852.21(a)(3)-(4)</w:t>
            </w:r>
          </w:p>
          <w:p w14:paraId="3473C574" w14:textId="47F01CEB" w:rsidR="00F86CC3" w:rsidRDefault="00F86CC3" w:rsidP="00F86CC3">
            <w:pPr>
              <w:rPr>
                <w:rFonts w:cs="Times New Roman"/>
                <w:szCs w:val="24"/>
              </w:rPr>
            </w:pPr>
            <w:r>
              <w:rPr>
                <w:rFonts w:cs="Times New Roman"/>
                <w:szCs w:val="24"/>
              </w:rPr>
              <w:t>The proposed housing will not result in the demolition or alteration of affordable housing, rent-controlled housing, housing which has been removed from the rental market in the last 15 years (</w:t>
            </w:r>
            <w:r>
              <w:rPr>
                <w:rFonts w:cs="Times New Roman"/>
                <w:i/>
                <w:iCs/>
                <w:szCs w:val="24"/>
              </w:rPr>
              <w:t>see</w:t>
            </w:r>
            <w:r>
              <w:rPr>
                <w:rFonts w:cs="Times New Roman"/>
                <w:szCs w:val="24"/>
              </w:rPr>
              <w:t xml:space="preserve"> </w:t>
            </w:r>
            <w:r w:rsidR="00521977">
              <w:rPr>
                <w:rFonts w:cs="Times New Roman"/>
                <w:szCs w:val="24"/>
              </w:rPr>
              <w:t>Government</w:t>
            </w:r>
            <w:r>
              <w:rPr>
                <w:rFonts w:cs="Times New Roman"/>
                <w:szCs w:val="24"/>
              </w:rPr>
              <w:t xml:space="preserve"> Code Section), or housing that has been occupied by a tenant in the last 3 years.</w:t>
            </w:r>
          </w:p>
          <w:p w14:paraId="586AC5EF" w14:textId="77777777" w:rsidR="00F86CC3" w:rsidRPr="00F0683D" w:rsidRDefault="00F86CC3" w:rsidP="00F86CC3">
            <w:pPr>
              <w:pStyle w:val="ListParagraph"/>
              <w:numPr>
                <w:ilvl w:val="0"/>
                <w:numId w:val="8"/>
              </w:numPr>
              <w:rPr>
                <w:rFonts w:cs="Times New Roman"/>
                <w:b/>
                <w:bCs/>
                <w:szCs w:val="24"/>
              </w:rPr>
            </w:pPr>
            <w:r>
              <w:rPr>
                <w:rFonts w:cs="Times New Roman"/>
                <w:szCs w:val="24"/>
              </w:rPr>
              <w:t>(</w:t>
            </w:r>
            <w:r>
              <w:rPr>
                <w:rFonts w:cs="Times New Roman"/>
                <w:i/>
                <w:iCs/>
                <w:szCs w:val="24"/>
              </w:rPr>
              <w:t xml:space="preserve">If required by the locality) </w:t>
            </w:r>
            <w:r>
              <w:rPr>
                <w:rFonts w:cs="Times New Roman"/>
                <w:szCs w:val="24"/>
              </w:rPr>
              <w:t>The property owner has signed an affidavit indicating whether or not the existing housing on the property has been occupied by a tenant in the last three years.</w:t>
            </w:r>
          </w:p>
        </w:tc>
        <w:tc>
          <w:tcPr>
            <w:tcW w:w="2243" w:type="dxa"/>
          </w:tcPr>
          <w:p w14:paraId="13385704" w14:textId="77777777" w:rsidR="00F86CC3" w:rsidRDefault="00F86CC3" w:rsidP="00F86CC3">
            <w:pPr>
              <w:rPr>
                <w:rFonts w:cs="Times New Roman"/>
                <w:szCs w:val="24"/>
              </w:rPr>
            </w:pPr>
          </w:p>
        </w:tc>
      </w:tr>
      <w:tr w:rsidR="00F86CC3" w14:paraId="390640B7" w14:textId="77777777" w:rsidTr="00F86CC3">
        <w:trPr>
          <w:cantSplit/>
        </w:trPr>
        <w:tc>
          <w:tcPr>
            <w:tcW w:w="440" w:type="dxa"/>
          </w:tcPr>
          <w:p w14:paraId="0142E172" w14:textId="77777777" w:rsidR="00F86CC3" w:rsidRDefault="00F86CC3" w:rsidP="00F86CC3">
            <w:pPr>
              <w:rPr>
                <w:rFonts w:cs="Times New Roman"/>
                <w:b/>
                <w:bCs/>
                <w:szCs w:val="24"/>
              </w:rPr>
            </w:pPr>
            <w:r>
              <w:rPr>
                <w:rFonts w:cs="Times New Roman"/>
                <w:b/>
                <w:bCs/>
                <w:szCs w:val="24"/>
              </w:rPr>
              <w:t>C</w:t>
            </w:r>
          </w:p>
        </w:tc>
        <w:tc>
          <w:tcPr>
            <w:tcW w:w="6667" w:type="dxa"/>
          </w:tcPr>
          <w:p w14:paraId="7DCF9014" w14:textId="77777777" w:rsidR="00F86CC3" w:rsidRDefault="00F86CC3" w:rsidP="00F86CC3">
            <w:pPr>
              <w:pStyle w:val="Heading3"/>
            </w:pPr>
            <w:r>
              <w:t>65852.21(a)(5)</w:t>
            </w:r>
          </w:p>
          <w:p w14:paraId="1ED73BEA" w14:textId="77777777" w:rsidR="00F86CC3" w:rsidRPr="00AB53EE" w:rsidRDefault="00F86CC3" w:rsidP="00F86CC3">
            <w:pPr>
              <w:rPr>
                <w:rFonts w:cs="Times New Roman"/>
                <w:szCs w:val="24"/>
              </w:rPr>
            </w:pPr>
            <w:r>
              <w:rPr>
                <w:rFonts w:cs="Times New Roman"/>
                <w:szCs w:val="24"/>
              </w:rPr>
              <w:t>The proposed housing will not demolish more than 25 percent of the existing exterior structural walls, unless either the local ordinance allows, or the site has not been occupied by a tenant in the last three years.</w:t>
            </w:r>
          </w:p>
        </w:tc>
        <w:tc>
          <w:tcPr>
            <w:tcW w:w="2243" w:type="dxa"/>
          </w:tcPr>
          <w:p w14:paraId="42224D8F" w14:textId="77777777" w:rsidR="00F86CC3" w:rsidRDefault="00F86CC3" w:rsidP="00F86CC3">
            <w:pPr>
              <w:rPr>
                <w:rFonts w:cs="Times New Roman"/>
                <w:szCs w:val="24"/>
              </w:rPr>
            </w:pPr>
          </w:p>
        </w:tc>
      </w:tr>
      <w:tr w:rsidR="00F86CC3" w14:paraId="4AA0051B" w14:textId="77777777" w:rsidTr="00F86CC3">
        <w:trPr>
          <w:cantSplit/>
        </w:trPr>
        <w:tc>
          <w:tcPr>
            <w:tcW w:w="440" w:type="dxa"/>
          </w:tcPr>
          <w:p w14:paraId="3FED772F" w14:textId="77777777" w:rsidR="00F86CC3" w:rsidRPr="00B8467A" w:rsidRDefault="00F86CC3" w:rsidP="00F86CC3">
            <w:pPr>
              <w:rPr>
                <w:rFonts w:cs="Times New Roman"/>
                <w:b/>
                <w:bCs/>
                <w:szCs w:val="24"/>
              </w:rPr>
            </w:pPr>
            <w:r>
              <w:rPr>
                <w:rFonts w:cs="Times New Roman"/>
                <w:b/>
                <w:bCs/>
                <w:szCs w:val="24"/>
              </w:rPr>
              <w:lastRenderedPageBreak/>
              <w:t>D</w:t>
            </w:r>
          </w:p>
        </w:tc>
        <w:tc>
          <w:tcPr>
            <w:tcW w:w="6667" w:type="dxa"/>
          </w:tcPr>
          <w:p w14:paraId="14022396" w14:textId="77777777" w:rsidR="00F86CC3" w:rsidRDefault="00F86CC3" w:rsidP="00F86CC3">
            <w:pPr>
              <w:pStyle w:val="Heading3"/>
            </w:pPr>
            <w:r>
              <w:t>66300(d)</w:t>
            </w:r>
          </w:p>
          <w:p w14:paraId="311BFF58" w14:textId="77777777" w:rsidR="00F86CC3" w:rsidRDefault="00F86CC3" w:rsidP="00F86CC3">
            <w:pPr>
              <w:rPr>
                <w:rFonts w:cs="Times New Roman"/>
                <w:szCs w:val="24"/>
              </w:rPr>
            </w:pPr>
            <w:r>
              <w:rPr>
                <w:rFonts w:cs="Times New Roman"/>
                <w:szCs w:val="24"/>
              </w:rPr>
              <w:t>If housing will be demolished, the project complies with the replacement housing provisions of the Housing Crisis Act of 2019.</w:t>
            </w:r>
          </w:p>
        </w:tc>
        <w:tc>
          <w:tcPr>
            <w:tcW w:w="2243" w:type="dxa"/>
          </w:tcPr>
          <w:p w14:paraId="1A1FA23F" w14:textId="77777777" w:rsidR="00F86CC3" w:rsidRDefault="00F86CC3" w:rsidP="00F86CC3">
            <w:pPr>
              <w:rPr>
                <w:rFonts w:cs="Times New Roman"/>
                <w:szCs w:val="24"/>
              </w:rPr>
            </w:pPr>
          </w:p>
        </w:tc>
      </w:tr>
      <w:tr w:rsidR="00F86CC3" w14:paraId="54B6ACB9" w14:textId="77777777" w:rsidTr="00F86CC3">
        <w:trPr>
          <w:cantSplit/>
        </w:trPr>
        <w:tc>
          <w:tcPr>
            <w:tcW w:w="440" w:type="dxa"/>
          </w:tcPr>
          <w:p w14:paraId="77F0BBD1" w14:textId="77777777" w:rsidR="00F86CC3" w:rsidRDefault="00F86CC3" w:rsidP="00F86CC3">
            <w:pPr>
              <w:rPr>
                <w:rFonts w:cs="Times New Roman"/>
                <w:b/>
                <w:bCs/>
                <w:i/>
                <w:iCs/>
                <w:szCs w:val="24"/>
              </w:rPr>
            </w:pPr>
          </w:p>
          <w:p w14:paraId="6962270D" w14:textId="77777777" w:rsidR="00F86CC3" w:rsidRDefault="00F86CC3" w:rsidP="00F86CC3">
            <w:pPr>
              <w:rPr>
                <w:rFonts w:cs="Times New Roman"/>
                <w:b/>
                <w:bCs/>
                <w:szCs w:val="24"/>
              </w:rPr>
            </w:pPr>
            <w:r>
              <w:rPr>
                <w:rFonts w:cs="Times New Roman"/>
                <w:b/>
                <w:bCs/>
                <w:szCs w:val="24"/>
              </w:rPr>
              <w:t>E</w:t>
            </w:r>
          </w:p>
        </w:tc>
        <w:tc>
          <w:tcPr>
            <w:tcW w:w="6667" w:type="dxa"/>
          </w:tcPr>
          <w:p w14:paraId="75810DBD" w14:textId="77777777" w:rsidR="00F86CC3" w:rsidRDefault="00F86CC3" w:rsidP="00F86CC3">
            <w:pPr>
              <w:rPr>
                <w:rFonts w:cs="Times New Roman"/>
                <w:szCs w:val="24"/>
              </w:rPr>
            </w:pPr>
            <w:r>
              <w:rPr>
                <w:rFonts w:cs="Times New Roman"/>
                <w:szCs w:val="24"/>
              </w:rPr>
              <w:t>The applicant has agreed to record a covenant restricting the units to residential uses and  requiring that the units are rented only for a period of longer than 30 days.</w:t>
            </w:r>
          </w:p>
        </w:tc>
        <w:tc>
          <w:tcPr>
            <w:tcW w:w="2243" w:type="dxa"/>
          </w:tcPr>
          <w:p w14:paraId="72F8FAB3" w14:textId="77777777" w:rsidR="00F86CC3" w:rsidRDefault="00F86CC3" w:rsidP="00F86CC3">
            <w:pPr>
              <w:rPr>
                <w:rFonts w:cs="Times New Roman"/>
                <w:szCs w:val="24"/>
              </w:rPr>
            </w:pPr>
          </w:p>
        </w:tc>
      </w:tr>
    </w:tbl>
    <w:p w14:paraId="2DE8E540" w14:textId="20C2CB5C" w:rsidR="00F86CC3" w:rsidRDefault="00F86CC3" w:rsidP="00894973">
      <w:pPr>
        <w:rPr>
          <w:rFonts w:cs="Times New Roman"/>
          <w:b/>
          <w:bCs/>
          <w:i/>
          <w:iCs/>
          <w:szCs w:val="24"/>
        </w:rPr>
      </w:pPr>
    </w:p>
    <w:tbl>
      <w:tblPr>
        <w:tblStyle w:val="TableGrid"/>
        <w:tblW w:w="9350" w:type="dxa"/>
        <w:tblLook w:val="0620" w:firstRow="1" w:lastRow="0" w:firstColumn="0" w:lastColumn="0" w:noHBand="1" w:noVBand="1"/>
      </w:tblPr>
      <w:tblGrid>
        <w:gridCol w:w="440"/>
        <w:gridCol w:w="6667"/>
        <w:gridCol w:w="2243"/>
      </w:tblGrid>
      <w:tr w:rsidR="00F86CC3" w14:paraId="1A1326DB" w14:textId="77777777" w:rsidTr="005B4F5B">
        <w:trPr>
          <w:cantSplit/>
          <w:trHeight w:val="260"/>
          <w:tblHeader/>
        </w:trPr>
        <w:tc>
          <w:tcPr>
            <w:tcW w:w="440" w:type="dxa"/>
          </w:tcPr>
          <w:p w14:paraId="647BE4E2" w14:textId="77777777" w:rsidR="00F86CC3" w:rsidRDefault="00F86CC3" w:rsidP="00F86CC3">
            <w:pPr>
              <w:jc w:val="center"/>
              <w:rPr>
                <w:rFonts w:cs="Times New Roman"/>
                <w:b/>
                <w:bCs/>
                <w:szCs w:val="24"/>
              </w:rPr>
            </w:pPr>
          </w:p>
        </w:tc>
        <w:tc>
          <w:tcPr>
            <w:tcW w:w="6667" w:type="dxa"/>
          </w:tcPr>
          <w:p w14:paraId="00089922" w14:textId="1C560EA8" w:rsidR="00F86CC3" w:rsidRDefault="0085256E" w:rsidP="00F86CC3">
            <w:pPr>
              <w:jc w:val="center"/>
              <w:rPr>
                <w:rFonts w:cs="Times New Roman"/>
                <w:b/>
                <w:bCs/>
                <w:szCs w:val="24"/>
              </w:rPr>
            </w:pPr>
            <w:r>
              <w:rPr>
                <w:rFonts w:cs="Times New Roman"/>
                <w:b/>
                <w:bCs/>
                <w:szCs w:val="24"/>
              </w:rPr>
              <w:t>3.</w:t>
            </w:r>
            <w:r w:rsidR="00F86CC3">
              <w:rPr>
                <w:rFonts w:cs="Times New Roman"/>
                <w:b/>
                <w:bCs/>
                <w:szCs w:val="24"/>
              </w:rPr>
              <w:t xml:space="preserve"> </w:t>
            </w:r>
            <w:r w:rsidR="00F86CC3" w:rsidRPr="00BE0BAC">
              <w:rPr>
                <w:rFonts w:cs="Times New Roman"/>
                <w:b/>
                <w:bCs/>
                <w:szCs w:val="24"/>
              </w:rPr>
              <w:t>O</w:t>
            </w:r>
            <w:r w:rsidR="00F86CC3">
              <w:rPr>
                <w:rFonts w:cs="Times New Roman"/>
                <w:b/>
                <w:bCs/>
                <w:szCs w:val="24"/>
              </w:rPr>
              <w:t>bjective Standards</w:t>
            </w:r>
          </w:p>
        </w:tc>
        <w:tc>
          <w:tcPr>
            <w:tcW w:w="2243" w:type="dxa"/>
          </w:tcPr>
          <w:p w14:paraId="64E75776" w14:textId="77777777" w:rsidR="00F86CC3" w:rsidRPr="00F46C95" w:rsidRDefault="00F86CC3" w:rsidP="00F86CC3">
            <w:pPr>
              <w:jc w:val="center"/>
              <w:rPr>
                <w:rFonts w:cs="Times New Roman"/>
                <w:b/>
                <w:bCs/>
                <w:szCs w:val="24"/>
              </w:rPr>
            </w:pPr>
            <w:r w:rsidRPr="00F46C95">
              <w:rPr>
                <w:rFonts w:cs="Times New Roman"/>
                <w:b/>
                <w:bCs/>
                <w:szCs w:val="24"/>
              </w:rPr>
              <w:t>Y</w:t>
            </w:r>
            <w:r>
              <w:rPr>
                <w:rFonts w:cs="Times New Roman"/>
                <w:b/>
                <w:bCs/>
                <w:szCs w:val="24"/>
              </w:rPr>
              <w:t>es</w:t>
            </w:r>
            <w:r w:rsidRPr="00F46C95">
              <w:rPr>
                <w:rFonts w:cs="Times New Roman"/>
                <w:b/>
                <w:bCs/>
                <w:szCs w:val="24"/>
              </w:rPr>
              <w:t>/N</w:t>
            </w:r>
            <w:r>
              <w:rPr>
                <w:rFonts w:cs="Times New Roman"/>
                <w:b/>
                <w:bCs/>
                <w:szCs w:val="24"/>
              </w:rPr>
              <w:t>o/Comments?</w:t>
            </w:r>
          </w:p>
        </w:tc>
      </w:tr>
      <w:tr w:rsidR="00F86CC3" w14:paraId="30015E10" w14:textId="77777777" w:rsidTr="005B4F5B">
        <w:trPr>
          <w:cantSplit/>
        </w:trPr>
        <w:tc>
          <w:tcPr>
            <w:tcW w:w="440" w:type="dxa"/>
          </w:tcPr>
          <w:p w14:paraId="2E90D582" w14:textId="77777777" w:rsidR="00F86CC3" w:rsidRPr="00BE0BAC" w:rsidRDefault="00F86CC3" w:rsidP="00F86CC3">
            <w:pPr>
              <w:rPr>
                <w:rFonts w:cs="Times New Roman"/>
                <w:b/>
                <w:bCs/>
                <w:szCs w:val="24"/>
              </w:rPr>
            </w:pPr>
            <w:r>
              <w:rPr>
                <w:rFonts w:cs="Times New Roman"/>
                <w:b/>
                <w:bCs/>
                <w:szCs w:val="24"/>
              </w:rPr>
              <w:t>A</w:t>
            </w:r>
          </w:p>
        </w:tc>
        <w:tc>
          <w:tcPr>
            <w:tcW w:w="6667" w:type="dxa"/>
          </w:tcPr>
          <w:p w14:paraId="055BAEBA" w14:textId="77777777" w:rsidR="00F86CC3" w:rsidRDefault="00F86CC3" w:rsidP="00F86CC3">
            <w:pPr>
              <w:pStyle w:val="Heading3"/>
            </w:pPr>
            <w:r>
              <w:t xml:space="preserve">65852.21(b). </w:t>
            </w:r>
          </w:p>
          <w:p w14:paraId="294AC886" w14:textId="77777777" w:rsidR="00F86CC3" w:rsidRPr="00413ECF" w:rsidRDefault="00F86CC3" w:rsidP="00F86CC3">
            <w:pPr>
              <w:rPr>
                <w:rFonts w:cs="Times New Roman"/>
                <w:szCs w:val="24"/>
              </w:rPr>
            </w:pPr>
            <w:r>
              <w:rPr>
                <w:rFonts w:cs="Times New Roman"/>
                <w:szCs w:val="24"/>
              </w:rPr>
              <w:t>The housing will conform to all applicable objective zoning, subdivision, and design review standards so long as they do not physically preclude two units on each lot of 800 sf each and allow a setback of at least four feet</w:t>
            </w:r>
            <w:r>
              <w:rPr>
                <w:rStyle w:val="FootnoteReference"/>
                <w:rFonts w:cs="Times New Roman"/>
                <w:szCs w:val="24"/>
              </w:rPr>
              <w:footnoteReference w:id="16"/>
            </w:r>
            <w:r>
              <w:rPr>
                <w:rFonts w:cs="Times New Roman"/>
                <w:szCs w:val="24"/>
              </w:rPr>
              <w:t xml:space="preserve"> from the rear and side property lines (or none if in an existing structure or new structure built to the same dimensions).</w:t>
            </w:r>
            <w:r>
              <w:rPr>
                <w:rStyle w:val="FootnoteReference"/>
                <w:rFonts w:cs="Times New Roman"/>
                <w:szCs w:val="24"/>
              </w:rPr>
              <w:footnoteReference w:id="17"/>
            </w:r>
          </w:p>
        </w:tc>
        <w:tc>
          <w:tcPr>
            <w:tcW w:w="2243" w:type="dxa"/>
          </w:tcPr>
          <w:p w14:paraId="34FB83F0" w14:textId="77777777" w:rsidR="00F86CC3" w:rsidRDefault="00F86CC3" w:rsidP="00F86CC3">
            <w:pPr>
              <w:rPr>
                <w:rFonts w:cs="Times New Roman"/>
                <w:szCs w:val="24"/>
              </w:rPr>
            </w:pPr>
          </w:p>
        </w:tc>
      </w:tr>
      <w:tr w:rsidR="00F86CC3" w14:paraId="5C830835" w14:textId="77777777" w:rsidTr="005B4F5B">
        <w:trPr>
          <w:cantSplit/>
        </w:trPr>
        <w:tc>
          <w:tcPr>
            <w:tcW w:w="440" w:type="dxa"/>
          </w:tcPr>
          <w:p w14:paraId="3F82576A" w14:textId="77777777" w:rsidR="00F86CC3" w:rsidRDefault="00F86CC3" w:rsidP="00F86CC3">
            <w:pPr>
              <w:rPr>
                <w:rFonts w:cs="Times New Roman"/>
                <w:b/>
                <w:bCs/>
                <w:szCs w:val="24"/>
              </w:rPr>
            </w:pPr>
            <w:r>
              <w:rPr>
                <w:rFonts w:cs="Times New Roman"/>
                <w:b/>
                <w:bCs/>
                <w:szCs w:val="24"/>
              </w:rPr>
              <w:t>B</w:t>
            </w:r>
          </w:p>
        </w:tc>
        <w:tc>
          <w:tcPr>
            <w:tcW w:w="6667" w:type="dxa"/>
          </w:tcPr>
          <w:p w14:paraId="066061EA" w14:textId="77777777" w:rsidR="00F86CC3" w:rsidRDefault="00F86CC3" w:rsidP="00F86CC3">
            <w:pPr>
              <w:pStyle w:val="Heading3"/>
            </w:pPr>
            <w:r>
              <w:t>65852.21(c)</w:t>
            </w:r>
          </w:p>
          <w:p w14:paraId="3A9910C5" w14:textId="77777777" w:rsidR="00F86CC3" w:rsidRDefault="00F86CC3" w:rsidP="00F86CC3">
            <w:pPr>
              <w:rPr>
                <w:rFonts w:cs="Times New Roman"/>
                <w:szCs w:val="24"/>
              </w:rPr>
            </w:pPr>
            <w:r>
              <w:rPr>
                <w:rFonts w:cs="Times New Roman"/>
                <w:b/>
                <w:bCs/>
                <w:szCs w:val="24"/>
              </w:rPr>
              <w:t>Parking.</w:t>
            </w:r>
            <w:r>
              <w:rPr>
                <w:rFonts w:cs="Times New Roman"/>
                <w:szCs w:val="24"/>
              </w:rPr>
              <w:t xml:space="preserve"> The project provides at least one off-street parking space per unit</w:t>
            </w:r>
            <w:r>
              <w:rPr>
                <w:rStyle w:val="FootnoteReference"/>
                <w:rFonts w:cs="Times New Roman"/>
                <w:szCs w:val="24"/>
              </w:rPr>
              <w:footnoteReference w:id="18"/>
            </w:r>
            <w:r>
              <w:rPr>
                <w:rFonts w:cs="Times New Roman"/>
                <w:szCs w:val="24"/>
              </w:rPr>
              <w:t xml:space="preserve"> unless:</w:t>
            </w:r>
          </w:p>
          <w:p w14:paraId="1D252957" w14:textId="77777777" w:rsidR="00F86CC3" w:rsidRDefault="00F86CC3" w:rsidP="00F86CC3">
            <w:pPr>
              <w:pStyle w:val="ListParagraph"/>
              <w:numPr>
                <w:ilvl w:val="0"/>
                <w:numId w:val="7"/>
              </w:numPr>
              <w:rPr>
                <w:rFonts w:cs="Times New Roman"/>
                <w:szCs w:val="24"/>
              </w:rPr>
            </w:pPr>
            <w:r>
              <w:rPr>
                <w:rFonts w:cs="Times New Roman"/>
                <w:szCs w:val="24"/>
              </w:rPr>
              <w:t>The parcel located within one-half walking distance of either a high-quality transit corridor, or major transit stop; or</w:t>
            </w:r>
          </w:p>
          <w:p w14:paraId="35AFA4EE" w14:textId="77777777" w:rsidR="00F86CC3" w:rsidRPr="00D56E5E" w:rsidRDefault="00F86CC3" w:rsidP="00F86CC3">
            <w:pPr>
              <w:pStyle w:val="ListParagraph"/>
              <w:numPr>
                <w:ilvl w:val="0"/>
                <w:numId w:val="7"/>
              </w:numPr>
              <w:rPr>
                <w:rFonts w:cs="Times New Roman"/>
                <w:b/>
                <w:bCs/>
                <w:szCs w:val="24"/>
              </w:rPr>
            </w:pPr>
            <w:r w:rsidRPr="00D56E5E">
              <w:rPr>
                <w:rFonts w:cs="Times New Roman"/>
                <w:szCs w:val="24"/>
              </w:rPr>
              <w:t>The parcel is located within one block of a car share vehicle.</w:t>
            </w:r>
          </w:p>
        </w:tc>
        <w:tc>
          <w:tcPr>
            <w:tcW w:w="2243" w:type="dxa"/>
          </w:tcPr>
          <w:p w14:paraId="2E570C63" w14:textId="77777777" w:rsidR="00F86CC3" w:rsidRDefault="00F86CC3" w:rsidP="00F86CC3">
            <w:pPr>
              <w:rPr>
                <w:rFonts w:cs="Times New Roman"/>
                <w:szCs w:val="24"/>
              </w:rPr>
            </w:pPr>
          </w:p>
        </w:tc>
      </w:tr>
      <w:tr w:rsidR="00F86CC3" w14:paraId="00309F36" w14:textId="77777777" w:rsidTr="005B4F5B">
        <w:trPr>
          <w:cantSplit/>
        </w:trPr>
        <w:tc>
          <w:tcPr>
            <w:tcW w:w="440" w:type="dxa"/>
          </w:tcPr>
          <w:p w14:paraId="29DEB5B8" w14:textId="77777777" w:rsidR="00F86CC3" w:rsidRDefault="00F86CC3" w:rsidP="00F86CC3">
            <w:pPr>
              <w:rPr>
                <w:rFonts w:cs="Times New Roman"/>
                <w:b/>
                <w:bCs/>
                <w:szCs w:val="24"/>
              </w:rPr>
            </w:pPr>
            <w:r>
              <w:rPr>
                <w:rFonts w:cs="Times New Roman"/>
                <w:b/>
                <w:bCs/>
                <w:szCs w:val="24"/>
              </w:rPr>
              <w:t>C</w:t>
            </w:r>
          </w:p>
        </w:tc>
        <w:tc>
          <w:tcPr>
            <w:tcW w:w="6667" w:type="dxa"/>
          </w:tcPr>
          <w:p w14:paraId="5FEE0CDD" w14:textId="77777777" w:rsidR="00F86CC3" w:rsidRDefault="00F86CC3" w:rsidP="00F86CC3">
            <w:pPr>
              <w:pStyle w:val="Heading3"/>
            </w:pPr>
            <w:r>
              <w:t xml:space="preserve">65852.21(g). </w:t>
            </w:r>
          </w:p>
          <w:p w14:paraId="4A705CE4" w14:textId="77777777" w:rsidR="00F86CC3" w:rsidRPr="00DB2724" w:rsidRDefault="00F86CC3" w:rsidP="00F86CC3">
            <w:pPr>
              <w:rPr>
                <w:rFonts w:cs="Times New Roman"/>
                <w:szCs w:val="24"/>
              </w:rPr>
            </w:pPr>
            <w:r>
              <w:rPr>
                <w:rFonts w:cs="Times New Roman"/>
                <w:szCs w:val="24"/>
              </w:rPr>
              <w:t>If adjacent or connected structures are proposed, the structures meet building code standards and are sufficient to allow separate conveyance.</w:t>
            </w:r>
          </w:p>
        </w:tc>
        <w:tc>
          <w:tcPr>
            <w:tcW w:w="2243" w:type="dxa"/>
          </w:tcPr>
          <w:p w14:paraId="53A8722A" w14:textId="77777777" w:rsidR="00F86CC3" w:rsidRDefault="00F86CC3" w:rsidP="00F86CC3">
            <w:pPr>
              <w:rPr>
                <w:rFonts w:cs="Times New Roman"/>
                <w:szCs w:val="24"/>
              </w:rPr>
            </w:pPr>
          </w:p>
        </w:tc>
      </w:tr>
      <w:tr w:rsidR="00F86CC3" w14:paraId="5216670A" w14:textId="77777777" w:rsidTr="005B4F5B">
        <w:trPr>
          <w:cantSplit/>
        </w:trPr>
        <w:tc>
          <w:tcPr>
            <w:tcW w:w="440" w:type="dxa"/>
          </w:tcPr>
          <w:p w14:paraId="645887F2" w14:textId="77777777" w:rsidR="00F86CC3" w:rsidRPr="00D253BE" w:rsidRDefault="00F86CC3" w:rsidP="00F86CC3">
            <w:pPr>
              <w:rPr>
                <w:rFonts w:cs="Times New Roman"/>
                <w:b/>
                <w:bCs/>
                <w:szCs w:val="24"/>
              </w:rPr>
            </w:pPr>
            <w:r>
              <w:rPr>
                <w:rFonts w:cs="Times New Roman"/>
                <w:b/>
                <w:bCs/>
                <w:szCs w:val="24"/>
              </w:rPr>
              <w:t>D</w:t>
            </w:r>
          </w:p>
        </w:tc>
        <w:tc>
          <w:tcPr>
            <w:tcW w:w="6667" w:type="dxa"/>
          </w:tcPr>
          <w:p w14:paraId="33644AFF" w14:textId="77777777" w:rsidR="00F86CC3" w:rsidRPr="00D56E5E" w:rsidRDefault="00F86CC3" w:rsidP="00F86CC3">
            <w:pPr>
              <w:pStyle w:val="Heading3"/>
            </w:pPr>
            <w:r>
              <w:t>65852.21(c)(2)</w:t>
            </w:r>
          </w:p>
          <w:p w14:paraId="299DF912" w14:textId="77777777" w:rsidR="00F86CC3" w:rsidRPr="00462A17" w:rsidRDefault="00F86CC3" w:rsidP="00F86CC3">
            <w:pPr>
              <w:rPr>
                <w:rFonts w:cs="Times New Roman"/>
                <w:szCs w:val="24"/>
              </w:rPr>
            </w:pPr>
            <w:r>
              <w:rPr>
                <w:rFonts w:cs="Times New Roman"/>
                <w:b/>
                <w:bCs/>
                <w:szCs w:val="24"/>
              </w:rPr>
              <w:t>Percolation Test.</w:t>
            </w:r>
            <w:r>
              <w:rPr>
                <w:rFonts w:cs="Times New Roman"/>
                <w:szCs w:val="24"/>
              </w:rPr>
              <w:t xml:space="preserve"> If the unit is connected to an onsite wastewater treatment system, a percolation test been completed within the last 5 years, or within the last 10 years for a recertified percolation test.</w:t>
            </w:r>
            <w:r>
              <w:rPr>
                <w:rStyle w:val="FootnoteReference"/>
                <w:rFonts w:cs="Times New Roman"/>
                <w:szCs w:val="24"/>
              </w:rPr>
              <w:footnoteReference w:id="19"/>
            </w:r>
          </w:p>
        </w:tc>
        <w:tc>
          <w:tcPr>
            <w:tcW w:w="2243" w:type="dxa"/>
          </w:tcPr>
          <w:p w14:paraId="2C68F89D" w14:textId="77777777" w:rsidR="00F86CC3" w:rsidRDefault="00F86CC3" w:rsidP="00F86CC3">
            <w:pPr>
              <w:rPr>
                <w:rFonts w:cs="Times New Roman"/>
                <w:szCs w:val="24"/>
              </w:rPr>
            </w:pPr>
          </w:p>
        </w:tc>
      </w:tr>
    </w:tbl>
    <w:p w14:paraId="6C0059A4" w14:textId="77777777" w:rsidR="00F86CC3" w:rsidRPr="006641C8" w:rsidRDefault="00F86CC3" w:rsidP="00894973">
      <w:pPr>
        <w:rPr>
          <w:rFonts w:cs="Times New Roman"/>
          <w:b/>
          <w:bCs/>
          <w:i/>
          <w:iCs/>
          <w:szCs w:val="24"/>
        </w:rPr>
      </w:pPr>
    </w:p>
    <w:sectPr w:rsidR="00F86CC3" w:rsidRPr="006641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CF72" w14:textId="77777777" w:rsidR="00282284" w:rsidRDefault="00282284">
      <w:pPr>
        <w:spacing w:after="0" w:line="240" w:lineRule="auto"/>
      </w:pPr>
      <w:r>
        <w:separator/>
      </w:r>
    </w:p>
  </w:endnote>
  <w:endnote w:type="continuationSeparator" w:id="0">
    <w:p w14:paraId="6C6C636C" w14:textId="77777777" w:rsidR="00282284" w:rsidRDefault="0028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B56A" w14:textId="77777777" w:rsidR="00F0611F" w:rsidRDefault="00F0611F">
    <w:pPr>
      <w:pStyle w:val="Footer"/>
    </w:pPr>
  </w:p>
  <w:p w14:paraId="67C23BD2" w14:textId="523C5FE0" w:rsidR="00F0611F" w:rsidRDefault="00000000" w:rsidP="00035118">
    <w:pPr>
      <w:pStyle w:val="DocID"/>
    </w:pPr>
    <w:r>
      <w:t>2089\03\3237733.1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428873"/>
      <w:docPartObj>
        <w:docPartGallery w:val="Page Numbers (Bottom of Page)"/>
        <w:docPartUnique/>
      </w:docPartObj>
    </w:sdtPr>
    <w:sdtEndPr>
      <w:rPr>
        <w:noProof/>
      </w:rPr>
    </w:sdtEndPr>
    <w:sdtContent>
      <w:p w14:paraId="7263D421" w14:textId="4A05EC00" w:rsidR="009A4DA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D65" w14:textId="77777777" w:rsidR="00F0611F" w:rsidRDefault="00F0611F">
    <w:pPr>
      <w:pStyle w:val="Footer"/>
    </w:pPr>
  </w:p>
  <w:p w14:paraId="7B6DB1CF" w14:textId="3BD85E06" w:rsidR="00F0611F" w:rsidRDefault="00000000" w:rsidP="00035118">
    <w:pPr>
      <w:pStyle w:val="DocID"/>
    </w:pPr>
    <w:r>
      <w:t>2089\03\3237733.1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C25D" w14:textId="77777777" w:rsidR="00282284" w:rsidRDefault="00282284" w:rsidP="00F0611F">
      <w:pPr>
        <w:spacing w:after="0" w:line="240" w:lineRule="auto"/>
      </w:pPr>
      <w:r>
        <w:separator/>
      </w:r>
    </w:p>
  </w:footnote>
  <w:footnote w:type="continuationSeparator" w:id="0">
    <w:p w14:paraId="78928EAD" w14:textId="77777777" w:rsidR="00282284" w:rsidRDefault="00282284" w:rsidP="00F0611F">
      <w:pPr>
        <w:spacing w:after="0" w:line="240" w:lineRule="auto"/>
      </w:pPr>
      <w:r>
        <w:continuationSeparator/>
      </w:r>
    </w:p>
  </w:footnote>
  <w:footnote w:id="1">
    <w:p w14:paraId="3406F2DE" w14:textId="7931BAEF" w:rsidR="001C39C7" w:rsidRDefault="00000000">
      <w:pPr>
        <w:pStyle w:val="FootnoteText"/>
      </w:pPr>
      <w:r>
        <w:rPr>
          <w:rStyle w:val="FootnoteReference"/>
        </w:rPr>
        <w:footnoteRef/>
      </w:r>
      <w:r>
        <w:t xml:space="preserve"> </w:t>
      </w:r>
      <w:r w:rsidR="00F543F4">
        <w:t xml:space="preserve">Units that were occupied by a tenant in the past three years cannot  be altered or demolished. Any units rented by lower income households in the past five years </w:t>
      </w:r>
      <w:r w:rsidR="00D60B6B">
        <w:t xml:space="preserve">that are to be demolished </w:t>
      </w:r>
      <w:r w:rsidR="00F543F4">
        <w:t xml:space="preserve">must be </w:t>
      </w:r>
      <w:r w:rsidR="00D60B6B">
        <w:t>replaced with deed-restricted lower income units as provided under the Housing Crisis Act of 2019. (G.C. Section 66300(d).)</w:t>
      </w:r>
    </w:p>
  </w:footnote>
  <w:footnote w:id="2">
    <w:p w14:paraId="5870CABD" w14:textId="6A25694C" w:rsidR="00D91622" w:rsidRDefault="00D91622">
      <w:pPr>
        <w:pStyle w:val="FootnoteText"/>
      </w:pPr>
      <w:r>
        <w:rPr>
          <w:rStyle w:val="FootnoteReference"/>
        </w:rPr>
        <w:footnoteRef/>
      </w:r>
      <w:r>
        <w:t xml:space="preserve"> This item is needed primarily in counties; if in a city that is partially urbanized, can be deleted.</w:t>
      </w:r>
    </w:p>
  </w:footnote>
  <w:footnote w:id="3">
    <w:p w14:paraId="0110882C" w14:textId="420C4633" w:rsidR="00D91622" w:rsidRDefault="00D91622">
      <w:pPr>
        <w:pStyle w:val="FootnoteText"/>
      </w:pPr>
      <w:r>
        <w:rPr>
          <w:rStyle w:val="FootnoteReference"/>
        </w:rPr>
        <w:footnoteRef/>
      </w:r>
      <w:r>
        <w:t xml:space="preserve"> Please refer to the referenced code sections for more precise definitions of each of these categories.</w:t>
      </w:r>
    </w:p>
  </w:footnote>
  <w:footnote w:id="4">
    <w:p w14:paraId="46D34CB6" w14:textId="32B564A4" w:rsidR="00D91622" w:rsidRDefault="00D91622">
      <w:pPr>
        <w:pStyle w:val="FootnoteText"/>
      </w:pPr>
      <w:r>
        <w:rPr>
          <w:rStyle w:val="FootnoteReference"/>
        </w:rPr>
        <w:footnoteRef/>
      </w:r>
      <w:r>
        <w:t xml:space="preserve"> Please refer to the referenced code sections for more precise definitions of each of these hazard categories and required mitigation. Localities may wish to list, or provide a link or reference to, the required mitigation standards. </w:t>
      </w:r>
    </w:p>
  </w:footnote>
  <w:footnote w:id="5">
    <w:p w14:paraId="4E4FFA6E" w14:textId="77777777" w:rsidR="00D91622" w:rsidRDefault="00D91622" w:rsidP="00D91622">
      <w:pPr>
        <w:pStyle w:val="FootnoteText"/>
      </w:pPr>
      <w:r>
        <w:rPr>
          <w:rStyle w:val="FootnoteReference"/>
        </w:rPr>
        <w:footnoteRef/>
      </w:r>
      <w:r>
        <w:t xml:space="preserve"> Unless the locality elects to allow smaller parcels.</w:t>
      </w:r>
    </w:p>
  </w:footnote>
  <w:footnote w:id="6">
    <w:p w14:paraId="6D47368F" w14:textId="77777777" w:rsidR="00D91622" w:rsidRDefault="00D91622" w:rsidP="00D91622">
      <w:pPr>
        <w:pStyle w:val="FootnoteText"/>
      </w:pPr>
      <w:r>
        <w:rPr>
          <w:rStyle w:val="FootnoteReference"/>
        </w:rPr>
        <w:footnoteRef/>
      </w:r>
      <w:r>
        <w:t xml:space="preserve"> The locality may elect to allow more than two units on each lot. </w:t>
      </w:r>
    </w:p>
  </w:footnote>
  <w:footnote w:id="7">
    <w:p w14:paraId="4A0CCC62" w14:textId="77777777" w:rsidR="00D91622" w:rsidRDefault="00D91622" w:rsidP="00D91622">
      <w:pPr>
        <w:pStyle w:val="FootnoteText"/>
      </w:pPr>
      <w:r>
        <w:rPr>
          <w:rStyle w:val="FootnoteReference"/>
        </w:rPr>
        <w:footnoteRef/>
      </w:r>
      <w:r>
        <w:t xml:space="preserve"> Localities may have separate checklists for subdivision approvals. </w:t>
      </w:r>
    </w:p>
  </w:footnote>
  <w:footnote w:id="8">
    <w:p w14:paraId="6809958E" w14:textId="77777777" w:rsidR="00D91622" w:rsidRDefault="00D91622" w:rsidP="00D91622">
      <w:pPr>
        <w:pStyle w:val="FootnoteText"/>
      </w:pPr>
      <w:r>
        <w:rPr>
          <w:rStyle w:val="FootnoteReference"/>
        </w:rPr>
        <w:footnoteRef/>
      </w:r>
      <w:r>
        <w:t xml:space="preserve"> Local agencies may allow smaller setbacks. </w:t>
      </w:r>
    </w:p>
  </w:footnote>
  <w:footnote w:id="9">
    <w:p w14:paraId="52BB4D24" w14:textId="77777777" w:rsidR="00D91622" w:rsidRDefault="00D91622" w:rsidP="00D91622">
      <w:pPr>
        <w:pStyle w:val="FootnoteText"/>
      </w:pPr>
      <w:r>
        <w:rPr>
          <w:rStyle w:val="FootnoteReference"/>
        </w:rPr>
        <w:footnoteRef/>
      </w:r>
      <w:r>
        <w:t xml:space="preserve"> Localities may have separate zoning and design review checklists. </w:t>
      </w:r>
    </w:p>
  </w:footnote>
  <w:footnote w:id="10">
    <w:p w14:paraId="768B2EC6" w14:textId="77777777" w:rsidR="00D91622" w:rsidRDefault="00D91622" w:rsidP="00D91622">
      <w:pPr>
        <w:pStyle w:val="FootnoteText"/>
      </w:pPr>
      <w:r>
        <w:rPr>
          <w:rStyle w:val="FootnoteReference"/>
        </w:rPr>
        <w:footnoteRef/>
      </w:r>
      <w:r>
        <w:t xml:space="preserve"> Agencies may require less parking.</w:t>
      </w:r>
    </w:p>
  </w:footnote>
  <w:footnote w:id="11">
    <w:p w14:paraId="548E53D2" w14:textId="77777777" w:rsidR="00D91622" w:rsidRDefault="00D91622" w:rsidP="00D91622">
      <w:pPr>
        <w:pStyle w:val="FootnoteText"/>
      </w:pPr>
      <w:r>
        <w:rPr>
          <w:rStyle w:val="FootnoteReference"/>
        </w:rPr>
        <w:footnoteRef/>
      </w:r>
      <w:r>
        <w:t xml:space="preserve"> Localities may wish to include their access standards here. </w:t>
      </w:r>
    </w:p>
  </w:footnote>
  <w:footnote w:id="12">
    <w:p w14:paraId="129DB856" w14:textId="05D86BB7" w:rsidR="00A019C5" w:rsidRDefault="00000000">
      <w:pPr>
        <w:pStyle w:val="FootnoteText"/>
      </w:pPr>
      <w:r>
        <w:rPr>
          <w:rStyle w:val="FootnoteReference"/>
        </w:rPr>
        <w:footnoteRef/>
      </w:r>
      <w:r>
        <w:t xml:space="preserve"> Units that were occupied by a tenant in the past three years cannot  be altered or demolished. Any units rented by lower income households in the past five years that are to be demolished must be replaced with deed-restricted lower income units as provided under the Housing Crisis Act of 2019. (G.C. Section 66300(d).)</w:t>
      </w:r>
    </w:p>
  </w:footnote>
  <w:footnote w:id="13">
    <w:p w14:paraId="47DFB244" w14:textId="2D8080A7" w:rsidR="00D91622" w:rsidRDefault="00D91622">
      <w:pPr>
        <w:pStyle w:val="FootnoteText"/>
      </w:pPr>
      <w:r>
        <w:rPr>
          <w:rStyle w:val="FootnoteReference"/>
        </w:rPr>
        <w:footnoteRef/>
      </w:r>
      <w:r>
        <w:t xml:space="preserve"> This item is needed primarily in counties; if in a city that is partially urbanized, can be deleted.</w:t>
      </w:r>
    </w:p>
  </w:footnote>
  <w:footnote w:id="14">
    <w:p w14:paraId="7CDC8C91" w14:textId="77777777" w:rsidR="00D91622" w:rsidRDefault="00D91622" w:rsidP="004D3CD2">
      <w:pPr>
        <w:pStyle w:val="FootnoteText"/>
      </w:pPr>
      <w:r>
        <w:rPr>
          <w:rStyle w:val="FootnoteReference"/>
        </w:rPr>
        <w:footnoteRef/>
      </w:r>
      <w:r>
        <w:t xml:space="preserve"> Please refer to the referenced code sections for more precise definitions of each of these categories.</w:t>
      </w:r>
    </w:p>
  </w:footnote>
  <w:footnote w:id="15">
    <w:p w14:paraId="78EAEF39" w14:textId="77777777" w:rsidR="00D91622" w:rsidRDefault="00D91622" w:rsidP="004D3CD2">
      <w:pPr>
        <w:pStyle w:val="FootnoteText"/>
      </w:pPr>
      <w:r>
        <w:rPr>
          <w:rStyle w:val="FootnoteReference"/>
        </w:rPr>
        <w:footnoteRef/>
      </w:r>
      <w:r>
        <w:t xml:space="preserve"> Please refer to the referenced code sections for more precise definitions of each of these hazard categories and required mitigation. Localities may wish to list, or provide a link or reference to, the required mitigation standards. </w:t>
      </w:r>
    </w:p>
  </w:footnote>
  <w:footnote w:id="16">
    <w:p w14:paraId="407BD9D4" w14:textId="77777777" w:rsidR="00F86CC3" w:rsidRDefault="00F86CC3" w:rsidP="00F86CC3">
      <w:pPr>
        <w:pStyle w:val="FootnoteText"/>
      </w:pPr>
      <w:r>
        <w:rPr>
          <w:rStyle w:val="FootnoteReference"/>
        </w:rPr>
        <w:footnoteRef/>
      </w:r>
      <w:r>
        <w:t xml:space="preserve"> Local agencies may allow smaller setbacks. </w:t>
      </w:r>
    </w:p>
  </w:footnote>
  <w:footnote w:id="17">
    <w:p w14:paraId="6A6062C5" w14:textId="77777777" w:rsidR="00F86CC3" w:rsidRDefault="00F86CC3" w:rsidP="00F86CC3">
      <w:pPr>
        <w:pStyle w:val="FootnoteText"/>
      </w:pPr>
      <w:r>
        <w:rPr>
          <w:rStyle w:val="FootnoteReference"/>
        </w:rPr>
        <w:footnoteRef/>
      </w:r>
      <w:r>
        <w:t xml:space="preserve"> Localities may have separate zoning and design review checklists. </w:t>
      </w:r>
    </w:p>
  </w:footnote>
  <w:footnote w:id="18">
    <w:p w14:paraId="0EBA07B8" w14:textId="77777777" w:rsidR="00F86CC3" w:rsidRDefault="00F86CC3" w:rsidP="00F86CC3">
      <w:pPr>
        <w:pStyle w:val="FootnoteText"/>
      </w:pPr>
      <w:r>
        <w:rPr>
          <w:rStyle w:val="FootnoteReference"/>
        </w:rPr>
        <w:footnoteRef/>
      </w:r>
      <w:r>
        <w:t xml:space="preserve"> Agencies may require less parking.</w:t>
      </w:r>
    </w:p>
  </w:footnote>
  <w:footnote w:id="19">
    <w:p w14:paraId="11C6E3C1" w14:textId="77777777" w:rsidR="00F86CC3" w:rsidRDefault="00F86CC3" w:rsidP="00F86CC3">
      <w:pPr>
        <w:pStyle w:val="FootnoteText"/>
      </w:pPr>
      <w:r>
        <w:rPr>
          <w:rStyle w:val="FootnoteReference"/>
        </w:rPr>
        <w:footnoteRef/>
      </w:r>
      <w:r>
        <w:t xml:space="preserve"> Localities may choose whether or not to require a percolation 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194"/>
    <w:multiLevelType w:val="hybridMultilevel"/>
    <w:tmpl w:val="614646C8"/>
    <w:lvl w:ilvl="0" w:tplc="34483B7A">
      <w:start w:val="1"/>
      <w:numFmt w:val="bullet"/>
      <w:lvlText w:val=""/>
      <w:lvlJc w:val="left"/>
      <w:pPr>
        <w:ind w:left="720" w:hanging="360"/>
      </w:pPr>
      <w:rPr>
        <w:rFonts w:ascii="Symbol" w:hAnsi="Symbol" w:hint="default"/>
      </w:rPr>
    </w:lvl>
    <w:lvl w:ilvl="1" w:tplc="3B2C6B46" w:tentative="1">
      <w:start w:val="1"/>
      <w:numFmt w:val="bullet"/>
      <w:lvlText w:val="o"/>
      <w:lvlJc w:val="left"/>
      <w:pPr>
        <w:ind w:left="1440" w:hanging="360"/>
      </w:pPr>
      <w:rPr>
        <w:rFonts w:ascii="Courier New" w:hAnsi="Courier New" w:cs="Courier New" w:hint="default"/>
      </w:rPr>
    </w:lvl>
    <w:lvl w:ilvl="2" w:tplc="D33A06DC" w:tentative="1">
      <w:start w:val="1"/>
      <w:numFmt w:val="bullet"/>
      <w:lvlText w:val=""/>
      <w:lvlJc w:val="left"/>
      <w:pPr>
        <w:ind w:left="2160" w:hanging="360"/>
      </w:pPr>
      <w:rPr>
        <w:rFonts w:ascii="Wingdings" w:hAnsi="Wingdings" w:hint="default"/>
      </w:rPr>
    </w:lvl>
    <w:lvl w:ilvl="3" w:tplc="604CA70C" w:tentative="1">
      <w:start w:val="1"/>
      <w:numFmt w:val="bullet"/>
      <w:lvlText w:val=""/>
      <w:lvlJc w:val="left"/>
      <w:pPr>
        <w:ind w:left="2880" w:hanging="360"/>
      </w:pPr>
      <w:rPr>
        <w:rFonts w:ascii="Symbol" w:hAnsi="Symbol" w:hint="default"/>
      </w:rPr>
    </w:lvl>
    <w:lvl w:ilvl="4" w:tplc="14EAA4CA" w:tentative="1">
      <w:start w:val="1"/>
      <w:numFmt w:val="bullet"/>
      <w:lvlText w:val="o"/>
      <w:lvlJc w:val="left"/>
      <w:pPr>
        <w:ind w:left="3600" w:hanging="360"/>
      </w:pPr>
      <w:rPr>
        <w:rFonts w:ascii="Courier New" w:hAnsi="Courier New" w:cs="Courier New" w:hint="default"/>
      </w:rPr>
    </w:lvl>
    <w:lvl w:ilvl="5" w:tplc="5E823658" w:tentative="1">
      <w:start w:val="1"/>
      <w:numFmt w:val="bullet"/>
      <w:lvlText w:val=""/>
      <w:lvlJc w:val="left"/>
      <w:pPr>
        <w:ind w:left="4320" w:hanging="360"/>
      </w:pPr>
      <w:rPr>
        <w:rFonts w:ascii="Wingdings" w:hAnsi="Wingdings" w:hint="default"/>
      </w:rPr>
    </w:lvl>
    <w:lvl w:ilvl="6" w:tplc="235AAB50" w:tentative="1">
      <w:start w:val="1"/>
      <w:numFmt w:val="bullet"/>
      <w:lvlText w:val=""/>
      <w:lvlJc w:val="left"/>
      <w:pPr>
        <w:ind w:left="5040" w:hanging="360"/>
      </w:pPr>
      <w:rPr>
        <w:rFonts w:ascii="Symbol" w:hAnsi="Symbol" w:hint="default"/>
      </w:rPr>
    </w:lvl>
    <w:lvl w:ilvl="7" w:tplc="BBEE3248" w:tentative="1">
      <w:start w:val="1"/>
      <w:numFmt w:val="bullet"/>
      <w:lvlText w:val="o"/>
      <w:lvlJc w:val="left"/>
      <w:pPr>
        <w:ind w:left="5760" w:hanging="360"/>
      </w:pPr>
      <w:rPr>
        <w:rFonts w:ascii="Courier New" w:hAnsi="Courier New" w:cs="Courier New" w:hint="default"/>
      </w:rPr>
    </w:lvl>
    <w:lvl w:ilvl="8" w:tplc="6338C3AA" w:tentative="1">
      <w:start w:val="1"/>
      <w:numFmt w:val="bullet"/>
      <w:lvlText w:val=""/>
      <w:lvlJc w:val="left"/>
      <w:pPr>
        <w:ind w:left="6480" w:hanging="360"/>
      </w:pPr>
      <w:rPr>
        <w:rFonts w:ascii="Wingdings" w:hAnsi="Wingdings" w:hint="default"/>
      </w:rPr>
    </w:lvl>
  </w:abstractNum>
  <w:abstractNum w:abstractNumId="1" w15:restartNumberingAfterBreak="0">
    <w:nsid w:val="0C4274E7"/>
    <w:multiLevelType w:val="hybridMultilevel"/>
    <w:tmpl w:val="3AD67DEA"/>
    <w:lvl w:ilvl="0" w:tplc="46CE9AA8">
      <w:start w:val="1"/>
      <w:numFmt w:val="bullet"/>
      <w:lvlText w:val=""/>
      <w:lvlJc w:val="left"/>
      <w:pPr>
        <w:ind w:left="720" w:hanging="360"/>
      </w:pPr>
      <w:rPr>
        <w:rFonts w:ascii="Symbol" w:hAnsi="Symbol" w:hint="default"/>
      </w:rPr>
    </w:lvl>
    <w:lvl w:ilvl="1" w:tplc="AA1A305E" w:tentative="1">
      <w:start w:val="1"/>
      <w:numFmt w:val="bullet"/>
      <w:lvlText w:val="o"/>
      <w:lvlJc w:val="left"/>
      <w:pPr>
        <w:ind w:left="1440" w:hanging="360"/>
      </w:pPr>
      <w:rPr>
        <w:rFonts w:ascii="Courier New" w:hAnsi="Courier New" w:cs="Courier New" w:hint="default"/>
      </w:rPr>
    </w:lvl>
    <w:lvl w:ilvl="2" w:tplc="051A353E" w:tentative="1">
      <w:start w:val="1"/>
      <w:numFmt w:val="bullet"/>
      <w:lvlText w:val=""/>
      <w:lvlJc w:val="left"/>
      <w:pPr>
        <w:ind w:left="2160" w:hanging="360"/>
      </w:pPr>
      <w:rPr>
        <w:rFonts w:ascii="Wingdings" w:hAnsi="Wingdings" w:hint="default"/>
      </w:rPr>
    </w:lvl>
    <w:lvl w:ilvl="3" w:tplc="0A361D40" w:tentative="1">
      <w:start w:val="1"/>
      <w:numFmt w:val="bullet"/>
      <w:lvlText w:val=""/>
      <w:lvlJc w:val="left"/>
      <w:pPr>
        <w:ind w:left="2880" w:hanging="360"/>
      </w:pPr>
      <w:rPr>
        <w:rFonts w:ascii="Symbol" w:hAnsi="Symbol" w:hint="default"/>
      </w:rPr>
    </w:lvl>
    <w:lvl w:ilvl="4" w:tplc="A94666EA" w:tentative="1">
      <w:start w:val="1"/>
      <w:numFmt w:val="bullet"/>
      <w:lvlText w:val="o"/>
      <w:lvlJc w:val="left"/>
      <w:pPr>
        <w:ind w:left="3600" w:hanging="360"/>
      </w:pPr>
      <w:rPr>
        <w:rFonts w:ascii="Courier New" w:hAnsi="Courier New" w:cs="Courier New" w:hint="default"/>
      </w:rPr>
    </w:lvl>
    <w:lvl w:ilvl="5" w:tplc="85D81D9C" w:tentative="1">
      <w:start w:val="1"/>
      <w:numFmt w:val="bullet"/>
      <w:lvlText w:val=""/>
      <w:lvlJc w:val="left"/>
      <w:pPr>
        <w:ind w:left="4320" w:hanging="360"/>
      </w:pPr>
      <w:rPr>
        <w:rFonts w:ascii="Wingdings" w:hAnsi="Wingdings" w:hint="default"/>
      </w:rPr>
    </w:lvl>
    <w:lvl w:ilvl="6" w:tplc="607A8250" w:tentative="1">
      <w:start w:val="1"/>
      <w:numFmt w:val="bullet"/>
      <w:lvlText w:val=""/>
      <w:lvlJc w:val="left"/>
      <w:pPr>
        <w:ind w:left="5040" w:hanging="360"/>
      </w:pPr>
      <w:rPr>
        <w:rFonts w:ascii="Symbol" w:hAnsi="Symbol" w:hint="default"/>
      </w:rPr>
    </w:lvl>
    <w:lvl w:ilvl="7" w:tplc="C27C993A" w:tentative="1">
      <w:start w:val="1"/>
      <w:numFmt w:val="bullet"/>
      <w:lvlText w:val="o"/>
      <w:lvlJc w:val="left"/>
      <w:pPr>
        <w:ind w:left="5760" w:hanging="360"/>
      </w:pPr>
      <w:rPr>
        <w:rFonts w:ascii="Courier New" w:hAnsi="Courier New" w:cs="Courier New" w:hint="default"/>
      </w:rPr>
    </w:lvl>
    <w:lvl w:ilvl="8" w:tplc="BF6AE060" w:tentative="1">
      <w:start w:val="1"/>
      <w:numFmt w:val="bullet"/>
      <w:lvlText w:val=""/>
      <w:lvlJc w:val="left"/>
      <w:pPr>
        <w:ind w:left="6480" w:hanging="360"/>
      </w:pPr>
      <w:rPr>
        <w:rFonts w:ascii="Wingdings" w:hAnsi="Wingdings" w:hint="default"/>
      </w:rPr>
    </w:lvl>
  </w:abstractNum>
  <w:abstractNum w:abstractNumId="2" w15:restartNumberingAfterBreak="0">
    <w:nsid w:val="29B254C7"/>
    <w:multiLevelType w:val="hybridMultilevel"/>
    <w:tmpl w:val="4DECE47C"/>
    <w:lvl w:ilvl="0" w:tplc="98F2EE16">
      <w:start w:val="1"/>
      <w:numFmt w:val="decimal"/>
      <w:lvlText w:val="%1."/>
      <w:lvlJc w:val="left"/>
      <w:pPr>
        <w:ind w:left="720" w:hanging="360"/>
      </w:pPr>
    </w:lvl>
    <w:lvl w:ilvl="1" w:tplc="787CBD06" w:tentative="1">
      <w:start w:val="1"/>
      <w:numFmt w:val="lowerLetter"/>
      <w:lvlText w:val="%2."/>
      <w:lvlJc w:val="left"/>
      <w:pPr>
        <w:ind w:left="1440" w:hanging="360"/>
      </w:pPr>
    </w:lvl>
    <w:lvl w:ilvl="2" w:tplc="2BA49F26" w:tentative="1">
      <w:start w:val="1"/>
      <w:numFmt w:val="lowerRoman"/>
      <w:lvlText w:val="%3."/>
      <w:lvlJc w:val="right"/>
      <w:pPr>
        <w:ind w:left="2160" w:hanging="180"/>
      </w:pPr>
    </w:lvl>
    <w:lvl w:ilvl="3" w:tplc="0C7A1626" w:tentative="1">
      <w:start w:val="1"/>
      <w:numFmt w:val="decimal"/>
      <w:lvlText w:val="%4."/>
      <w:lvlJc w:val="left"/>
      <w:pPr>
        <w:ind w:left="2880" w:hanging="360"/>
      </w:pPr>
    </w:lvl>
    <w:lvl w:ilvl="4" w:tplc="2DEC13DA" w:tentative="1">
      <w:start w:val="1"/>
      <w:numFmt w:val="lowerLetter"/>
      <w:lvlText w:val="%5."/>
      <w:lvlJc w:val="left"/>
      <w:pPr>
        <w:ind w:left="3600" w:hanging="360"/>
      </w:pPr>
    </w:lvl>
    <w:lvl w:ilvl="5" w:tplc="0C36F3B4" w:tentative="1">
      <w:start w:val="1"/>
      <w:numFmt w:val="lowerRoman"/>
      <w:lvlText w:val="%6."/>
      <w:lvlJc w:val="right"/>
      <w:pPr>
        <w:ind w:left="4320" w:hanging="180"/>
      </w:pPr>
    </w:lvl>
    <w:lvl w:ilvl="6" w:tplc="C2EA0B60" w:tentative="1">
      <w:start w:val="1"/>
      <w:numFmt w:val="decimal"/>
      <w:lvlText w:val="%7."/>
      <w:lvlJc w:val="left"/>
      <w:pPr>
        <w:ind w:left="5040" w:hanging="360"/>
      </w:pPr>
    </w:lvl>
    <w:lvl w:ilvl="7" w:tplc="A20648C6" w:tentative="1">
      <w:start w:val="1"/>
      <w:numFmt w:val="lowerLetter"/>
      <w:lvlText w:val="%8."/>
      <w:lvlJc w:val="left"/>
      <w:pPr>
        <w:ind w:left="5760" w:hanging="360"/>
      </w:pPr>
    </w:lvl>
    <w:lvl w:ilvl="8" w:tplc="43BCCEE4" w:tentative="1">
      <w:start w:val="1"/>
      <w:numFmt w:val="lowerRoman"/>
      <w:lvlText w:val="%9."/>
      <w:lvlJc w:val="right"/>
      <w:pPr>
        <w:ind w:left="6480" w:hanging="180"/>
      </w:pPr>
    </w:lvl>
  </w:abstractNum>
  <w:abstractNum w:abstractNumId="3" w15:restartNumberingAfterBreak="0">
    <w:nsid w:val="2CAA3E1C"/>
    <w:multiLevelType w:val="hybridMultilevel"/>
    <w:tmpl w:val="DE1464B2"/>
    <w:lvl w:ilvl="0" w:tplc="E8406B6A">
      <w:start w:val="1"/>
      <w:numFmt w:val="bullet"/>
      <w:lvlText w:val=""/>
      <w:lvlJc w:val="left"/>
      <w:pPr>
        <w:ind w:left="720" w:hanging="360"/>
      </w:pPr>
      <w:rPr>
        <w:rFonts w:ascii="Symbol" w:hAnsi="Symbol" w:hint="default"/>
      </w:rPr>
    </w:lvl>
    <w:lvl w:ilvl="1" w:tplc="32A09B28" w:tentative="1">
      <w:start w:val="1"/>
      <w:numFmt w:val="bullet"/>
      <w:lvlText w:val="o"/>
      <w:lvlJc w:val="left"/>
      <w:pPr>
        <w:ind w:left="1440" w:hanging="360"/>
      </w:pPr>
      <w:rPr>
        <w:rFonts w:ascii="Courier New" w:hAnsi="Courier New" w:cs="Courier New" w:hint="default"/>
      </w:rPr>
    </w:lvl>
    <w:lvl w:ilvl="2" w:tplc="CF14F1F4" w:tentative="1">
      <w:start w:val="1"/>
      <w:numFmt w:val="bullet"/>
      <w:lvlText w:val=""/>
      <w:lvlJc w:val="left"/>
      <w:pPr>
        <w:ind w:left="2160" w:hanging="360"/>
      </w:pPr>
      <w:rPr>
        <w:rFonts w:ascii="Wingdings" w:hAnsi="Wingdings" w:hint="default"/>
      </w:rPr>
    </w:lvl>
    <w:lvl w:ilvl="3" w:tplc="B9D824AA" w:tentative="1">
      <w:start w:val="1"/>
      <w:numFmt w:val="bullet"/>
      <w:lvlText w:val=""/>
      <w:lvlJc w:val="left"/>
      <w:pPr>
        <w:ind w:left="2880" w:hanging="360"/>
      </w:pPr>
      <w:rPr>
        <w:rFonts w:ascii="Symbol" w:hAnsi="Symbol" w:hint="default"/>
      </w:rPr>
    </w:lvl>
    <w:lvl w:ilvl="4" w:tplc="12F6D550" w:tentative="1">
      <w:start w:val="1"/>
      <w:numFmt w:val="bullet"/>
      <w:lvlText w:val="o"/>
      <w:lvlJc w:val="left"/>
      <w:pPr>
        <w:ind w:left="3600" w:hanging="360"/>
      </w:pPr>
      <w:rPr>
        <w:rFonts w:ascii="Courier New" w:hAnsi="Courier New" w:cs="Courier New" w:hint="default"/>
      </w:rPr>
    </w:lvl>
    <w:lvl w:ilvl="5" w:tplc="F646971C" w:tentative="1">
      <w:start w:val="1"/>
      <w:numFmt w:val="bullet"/>
      <w:lvlText w:val=""/>
      <w:lvlJc w:val="left"/>
      <w:pPr>
        <w:ind w:left="4320" w:hanging="360"/>
      </w:pPr>
      <w:rPr>
        <w:rFonts w:ascii="Wingdings" w:hAnsi="Wingdings" w:hint="default"/>
      </w:rPr>
    </w:lvl>
    <w:lvl w:ilvl="6" w:tplc="8AE63DA8" w:tentative="1">
      <w:start w:val="1"/>
      <w:numFmt w:val="bullet"/>
      <w:lvlText w:val=""/>
      <w:lvlJc w:val="left"/>
      <w:pPr>
        <w:ind w:left="5040" w:hanging="360"/>
      </w:pPr>
      <w:rPr>
        <w:rFonts w:ascii="Symbol" w:hAnsi="Symbol" w:hint="default"/>
      </w:rPr>
    </w:lvl>
    <w:lvl w:ilvl="7" w:tplc="E934FCAE" w:tentative="1">
      <w:start w:val="1"/>
      <w:numFmt w:val="bullet"/>
      <w:lvlText w:val="o"/>
      <w:lvlJc w:val="left"/>
      <w:pPr>
        <w:ind w:left="5760" w:hanging="360"/>
      </w:pPr>
      <w:rPr>
        <w:rFonts w:ascii="Courier New" w:hAnsi="Courier New" w:cs="Courier New" w:hint="default"/>
      </w:rPr>
    </w:lvl>
    <w:lvl w:ilvl="8" w:tplc="526671CE" w:tentative="1">
      <w:start w:val="1"/>
      <w:numFmt w:val="bullet"/>
      <w:lvlText w:val=""/>
      <w:lvlJc w:val="left"/>
      <w:pPr>
        <w:ind w:left="6480" w:hanging="360"/>
      </w:pPr>
      <w:rPr>
        <w:rFonts w:ascii="Wingdings" w:hAnsi="Wingdings" w:hint="default"/>
      </w:rPr>
    </w:lvl>
  </w:abstractNum>
  <w:abstractNum w:abstractNumId="4" w15:restartNumberingAfterBreak="0">
    <w:nsid w:val="2E535BC2"/>
    <w:multiLevelType w:val="hybridMultilevel"/>
    <w:tmpl w:val="BBD2FEAA"/>
    <w:lvl w:ilvl="0" w:tplc="4E30F454">
      <w:start w:val="1"/>
      <w:numFmt w:val="decimal"/>
      <w:lvlText w:val="%1."/>
      <w:lvlJc w:val="left"/>
      <w:pPr>
        <w:ind w:left="720" w:hanging="360"/>
      </w:pPr>
    </w:lvl>
    <w:lvl w:ilvl="1" w:tplc="DD161928">
      <w:start w:val="1"/>
      <w:numFmt w:val="lowerLetter"/>
      <w:lvlText w:val="%2."/>
      <w:lvlJc w:val="left"/>
      <w:pPr>
        <w:ind w:left="1440" w:hanging="360"/>
      </w:pPr>
    </w:lvl>
    <w:lvl w:ilvl="2" w:tplc="9754DEDA" w:tentative="1">
      <w:start w:val="1"/>
      <w:numFmt w:val="lowerRoman"/>
      <w:lvlText w:val="%3."/>
      <w:lvlJc w:val="right"/>
      <w:pPr>
        <w:ind w:left="2160" w:hanging="180"/>
      </w:pPr>
    </w:lvl>
    <w:lvl w:ilvl="3" w:tplc="14FA2B84" w:tentative="1">
      <w:start w:val="1"/>
      <w:numFmt w:val="decimal"/>
      <w:lvlText w:val="%4."/>
      <w:lvlJc w:val="left"/>
      <w:pPr>
        <w:ind w:left="2880" w:hanging="360"/>
      </w:pPr>
    </w:lvl>
    <w:lvl w:ilvl="4" w:tplc="CC9C18AA" w:tentative="1">
      <w:start w:val="1"/>
      <w:numFmt w:val="lowerLetter"/>
      <w:lvlText w:val="%5."/>
      <w:lvlJc w:val="left"/>
      <w:pPr>
        <w:ind w:left="3600" w:hanging="360"/>
      </w:pPr>
    </w:lvl>
    <w:lvl w:ilvl="5" w:tplc="92FE86F6" w:tentative="1">
      <w:start w:val="1"/>
      <w:numFmt w:val="lowerRoman"/>
      <w:lvlText w:val="%6."/>
      <w:lvlJc w:val="right"/>
      <w:pPr>
        <w:ind w:left="4320" w:hanging="180"/>
      </w:pPr>
    </w:lvl>
    <w:lvl w:ilvl="6" w:tplc="246834E0" w:tentative="1">
      <w:start w:val="1"/>
      <w:numFmt w:val="decimal"/>
      <w:lvlText w:val="%7."/>
      <w:lvlJc w:val="left"/>
      <w:pPr>
        <w:ind w:left="5040" w:hanging="360"/>
      </w:pPr>
    </w:lvl>
    <w:lvl w:ilvl="7" w:tplc="D74ADCE8" w:tentative="1">
      <w:start w:val="1"/>
      <w:numFmt w:val="lowerLetter"/>
      <w:lvlText w:val="%8."/>
      <w:lvlJc w:val="left"/>
      <w:pPr>
        <w:ind w:left="5760" w:hanging="360"/>
      </w:pPr>
    </w:lvl>
    <w:lvl w:ilvl="8" w:tplc="446C662E" w:tentative="1">
      <w:start w:val="1"/>
      <w:numFmt w:val="lowerRoman"/>
      <w:lvlText w:val="%9."/>
      <w:lvlJc w:val="right"/>
      <w:pPr>
        <w:ind w:left="6480" w:hanging="180"/>
      </w:pPr>
    </w:lvl>
  </w:abstractNum>
  <w:abstractNum w:abstractNumId="5" w15:restartNumberingAfterBreak="0">
    <w:nsid w:val="367279E6"/>
    <w:multiLevelType w:val="hybridMultilevel"/>
    <w:tmpl w:val="82EE8752"/>
    <w:lvl w:ilvl="0" w:tplc="5EEE4E5C">
      <w:start w:val="1"/>
      <w:numFmt w:val="decimal"/>
      <w:lvlText w:val="%1."/>
      <w:lvlJc w:val="left"/>
      <w:pPr>
        <w:ind w:left="720" w:hanging="360"/>
      </w:pPr>
    </w:lvl>
    <w:lvl w:ilvl="1" w:tplc="B8506A90">
      <w:start w:val="1"/>
      <w:numFmt w:val="lowerLetter"/>
      <w:lvlText w:val="%2."/>
      <w:lvlJc w:val="left"/>
      <w:pPr>
        <w:ind w:left="1440" w:hanging="360"/>
      </w:pPr>
    </w:lvl>
    <w:lvl w:ilvl="2" w:tplc="7CD2FF0C" w:tentative="1">
      <w:start w:val="1"/>
      <w:numFmt w:val="lowerRoman"/>
      <w:lvlText w:val="%3."/>
      <w:lvlJc w:val="right"/>
      <w:pPr>
        <w:ind w:left="2160" w:hanging="180"/>
      </w:pPr>
    </w:lvl>
    <w:lvl w:ilvl="3" w:tplc="393E5B56" w:tentative="1">
      <w:start w:val="1"/>
      <w:numFmt w:val="decimal"/>
      <w:lvlText w:val="%4."/>
      <w:lvlJc w:val="left"/>
      <w:pPr>
        <w:ind w:left="2880" w:hanging="360"/>
      </w:pPr>
    </w:lvl>
    <w:lvl w:ilvl="4" w:tplc="5EF8D342" w:tentative="1">
      <w:start w:val="1"/>
      <w:numFmt w:val="lowerLetter"/>
      <w:lvlText w:val="%5."/>
      <w:lvlJc w:val="left"/>
      <w:pPr>
        <w:ind w:left="3600" w:hanging="360"/>
      </w:pPr>
    </w:lvl>
    <w:lvl w:ilvl="5" w:tplc="2842E148" w:tentative="1">
      <w:start w:val="1"/>
      <w:numFmt w:val="lowerRoman"/>
      <w:lvlText w:val="%6."/>
      <w:lvlJc w:val="right"/>
      <w:pPr>
        <w:ind w:left="4320" w:hanging="180"/>
      </w:pPr>
    </w:lvl>
    <w:lvl w:ilvl="6" w:tplc="2482EAC4" w:tentative="1">
      <w:start w:val="1"/>
      <w:numFmt w:val="decimal"/>
      <w:lvlText w:val="%7."/>
      <w:lvlJc w:val="left"/>
      <w:pPr>
        <w:ind w:left="5040" w:hanging="360"/>
      </w:pPr>
    </w:lvl>
    <w:lvl w:ilvl="7" w:tplc="EEEA3D68" w:tentative="1">
      <w:start w:val="1"/>
      <w:numFmt w:val="lowerLetter"/>
      <w:lvlText w:val="%8."/>
      <w:lvlJc w:val="left"/>
      <w:pPr>
        <w:ind w:left="5760" w:hanging="360"/>
      </w:pPr>
    </w:lvl>
    <w:lvl w:ilvl="8" w:tplc="44BA1812" w:tentative="1">
      <w:start w:val="1"/>
      <w:numFmt w:val="lowerRoman"/>
      <w:lvlText w:val="%9."/>
      <w:lvlJc w:val="right"/>
      <w:pPr>
        <w:ind w:left="6480" w:hanging="180"/>
      </w:pPr>
    </w:lvl>
  </w:abstractNum>
  <w:abstractNum w:abstractNumId="6" w15:restartNumberingAfterBreak="0">
    <w:nsid w:val="60D939DA"/>
    <w:multiLevelType w:val="hybridMultilevel"/>
    <w:tmpl w:val="1FBAA86E"/>
    <w:lvl w:ilvl="0" w:tplc="E182B3C2">
      <w:start w:val="1"/>
      <w:numFmt w:val="bullet"/>
      <w:lvlText w:val=""/>
      <w:lvlJc w:val="left"/>
      <w:pPr>
        <w:ind w:left="720" w:hanging="360"/>
      </w:pPr>
      <w:rPr>
        <w:rFonts w:ascii="Symbol" w:hAnsi="Symbol" w:hint="default"/>
      </w:rPr>
    </w:lvl>
    <w:lvl w:ilvl="1" w:tplc="A0845756" w:tentative="1">
      <w:start w:val="1"/>
      <w:numFmt w:val="bullet"/>
      <w:lvlText w:val="o"/>
      <w:lvlJc w:val="left"/>
      <w:pPr>
        <w:ind w:left="1440" w:hanging="360"/>
      </w:pPr>
      <w:rPr>
        <w:rFonts w:ascii="Courier New" w:hAnsi="Courier New" w:cs="Courier New" w:hint="default"/>
      </w:rPr>
    </w:lvl>
    <w:lvl w:ilvl="2" w:tplc="020A9580" w:tentative="1">
      <w:start w:val="1"/>
      <w:numFmt w:val="bullet"/>
      <w:lvlText w:val=""/>
      <w:lvlJc w:val="left"/>
      <w:pPr>
        <w:ind w:left="2160" w:hanging="360"/>
      </w:pPr>
      <w:rPr>
        <w:rFonts w:ascii="Wingdings" w:hAnsi="Wingdings" w:hint="default"/>
      </w:rPr>
    </w:lvl>
    <w:lvl w:ilvl="3" w:tplc="F7E2653A" w:tentative="1">
      <w:start w:val="1"/>
      <w:numFmt w:val="bullet"/>
      <w:lvlText w:val=""/>
      <w:lvlJc w:val="left"/>
      <w:pPr>
        <w:ind w:left="2880" w:hanging="360"/>
      </w:pPr>
      <w:rPr>
        <w:rFonts w:ascii="Symbol" w:hAnsi="Symbol" w:hint="default"/>
      </w:rPr>
    </w:lvl>
    <w:lvl w:ilvl="4" w:tplc="DEFE713C" w:tentative="1">
      <w:start w:val="1"/>
      <w:numFmt w:val="bullet"/>
      <w:lvlText w:val="o"/>
      <w:lvlJc w:val="left"/>
      <w:pPr>
        <w:ind w:left="3600" w:hanging="360"/>
      </w:pPr>
      <w:rPr>
        <w:rFonts w:ascii="Courier New" w:hAnsi="Courier New" w:cs="Courier New" w:hint="default"/>
      </w:rPr>
    </w:lvl>
    <w:lvl w:ilvl="5" w:tplc="8BD01C42" w:tentative="1">
      <w:start w:val="1"/>
      <w:numFmt w:val="bullet"/>
      <w:lvlText w:val=""/>
      <w:lvlJc w:val="left"/>
      <w:pPr>
        <w:ind w:left="4320" w:hanging="360"/>
      </w:pPr>
      <w:rPr>
        <w:rFonts w:ascii="Wingdings" w:hAnsi="Wingdings" w:hint="default"/>
      </w:rPr>
    </w:lvl>
    <w:lvl w:ilvl="6" w:tplc="7C043268" w:tentative="1">
      <w:start w:val="1"/>
      <w:numFmt w:val="bullet"/>
      <w:lvlText w:val=""/>
      <w:lvlJc w:val="left"/>
      <w:pPr>
        <w:ind w:left="5040" w:hanging="360"/>
      </w:pPr>
      <w:rPr>
        <w:rFonts w:ascii="Symbol" w:hAnsi="Symbol" w:hint="default"/>
      </w:rPr>
    </w:lvl>
    <w:lvl w:ilvl="7" w:tplc="4D229E88" w:tentative="1">
      <w:start w:val="1"/>
      <w:numFmt w:val="bullet"/>
      <w:lvlText w:val="o"/>
      <w:lvlJc w:val="left"/>
      <w:pPr>
        <w:ind w:left="5760" w:hanging="360"/>
      </w:pPr>
      <w:rPr>
        <w:rFonts w:ascii="Courier New" w:hAnsi="Courier New" w:cs="Courier New" w:hint="default"/>
      </w:rPr>
    </w:lvl>
    <w:lvl w:ilvl="8" w:tplc="5C800304" w:tentative="1">
      <w:start w:val="1"/>
      <w:numFmt w:val="bullet"/>
      <w:lvlText w:val=""/>
      <w:lvlJc w:val="left"/>
      <w:pPr>
        <w:ind w:left="6480" w:hanging="360"/>
      </w:pPr>
      <w:rPr>
        <w:rFonts w:ascii="Wingdings" w:hAnsi="Wingdings" w:hint="default"/>
      </w:rPr>
    </w:lvl>
  </w:abstractNum>
  <w:abstractNum w:abstractNumId="7" w15:restartNumberingAfterBreak="0">
    <w:nsid w:val="75687167"/>
    <w:multiLevelType w:val="hybridMultilevel"/>
    <w:tmpl w:val="CD942FC8"/>
    <w:lvl w:ilvl="0" w:tplc="3E28F290">
      <w:start w:val="1"/>
      <w:numFmt w:val="bullet"/>
      <w:lvlText w:val=""/>
      <w:lvlJc w:val="left"/>
      <w:pPr>
        <w:ind w:left="720" w:hanging="360"/>
      </w:pPr>
      <w:rPr>
        <w:rFonts w:ascii="Symbol" w:hAnsi="Symbol" w:hint="default"/>
      </w:rPr>
    </w:lvl>
    <w:lvl w:ilvl="1" w:tplc="07DAB5F8" w:tentative="1">
      <w:start w:val="1"/>
      <w:numFmt w:val="bullet"/>
      <w:lvlText w:val="o"/>
      <w:lvlJc w:val="left"/>
      <w:pPr>
        <w:ind w:left="1440" w:hanging="360"/>
      </w:pPr>
      <w:rPr>
        <w:rFonts w:ascii="Courier New" w:hAnsi="Courier New" w:cs="Courier New" w:hint="default"/>
      </w:rPr>
    </w:lvl>
    <w:lvl w:ilvl="2" w:tplc="73BA1F72" w:tentative="1">
      <w:start w:val="1"/>
      <w:numFmt w:val="bullet"/>
      <w:lvlText w:val=""/>
      <w:lvlJc w:val="left"/>
      <w:pPr>
        <w:ind w:left="2160" w:hanging="360"/>
      </w:pPr>
      <w:rPr>
        <w:rFonts w:ascii="Wingdings" w:hAnsi="Wingdings" w:hint="default"/>
      </w:rPr>
    </w:lvl>
    <w:lvl w:ilvl="3" w:tplc="BA54D528" w:tentative="1">
      <w:start w:val="1"/>
      <w:numFmt w:val="bullet"/>
      <w:lvlText w:val=""/>
      <w:lvlJc w:val="left"/>
      <w:pPr>
        <w:ind w:left="2880" w:hanging="360"/>
      </w:pPr>
      <w:rPr>
        <w:rFonts w:ascii="Symbol" w:hAnsi="Symbol" w:hint="default"/>
      </w:rPr>
    </w:lvl>
    <w:lvl w:ilvl="4" w:tplc="F0E08048" w:tentative="1">
      <w:start w:val="1"/>
      <w:numFmt w:val="bullet"/>
      <w:lvlText w:val="o"/>
      <w:lvlJc w:val="left"/>
      <w:pPr>
        <w:ind w:left="3600" w:hanging="360"/>
      </w:pPr>
      <w:rPr>
        <w:rFonts w:ascii="Courier New" w:hAnsi="Courier New" w:cs="Courier New" w:hint="default"/>
      </w:rPr>
    </w:lvl>
    <w:lvl w:ilvl="5" w:tplc="CDD04B02" w:tentative="1">
      <w:start w:val="1"/>
      <w:numFmt w:val="bullet"/>
      <w:lvlText w:val=""/>
      <w:lvlJc w:val="left"/>
      <w:pPr>
        <w:ind w:left="4320" w:hanging="360"/>
      </w:pPr>
      <w:rPr>
        <w:rFonts w:ascii="Wingdings" w:hAnsi="Wingdings" w:hint="default"/>
      </w:rPr>
    </w:lvl>
    <w:lvl w:ilvl="6" w:tplc="18862738" w:tentative="1">
      <w:start w:val="1"/>
      <w:numFmt w:val="bullet"/>
      <w:lvlText w:val=""/>
      <w:lvlJc w:val="left"/>
      <w:pPr>
        <w:ind w:left="5040" w:hanging="360"/>
      </w:pPr>
      <w:rPr>
        <w:rFonts w:ascii="Symbol" w:hAnsi="Symbol" w:hint="default"/>
      </w:rPr>
    </w:lvl>
    <w:lvl w:ilvl="7" w:tplc="D2B8914C" w:tentative="1">
      <w:start w:val="1"/>
      <w:numFmt w:val="bullet"/>
      <w:lvlText w:val="o"/>
      <w:lvlJc w:val="left"/>
      <w:pPr>
        <w:ind w:left="5760" w:hanging="360"/>
      </w:pPr>
      <w:rPr>
        <w:rFonts w:ascii="Courier New" w:hAnsi="Courier New" w:cs="Courier New" w:hint="default"/>
      </w:rPr>
    </w:lvl>
    <w:lvl w:ilvl="8" w:tplc="846C98CE" w:tentative="1">
      <w:start w:val="1"/>
      <w:numFmt w:val="bullet"/>
      <w:lvlText w:val=""/>
      <w:lvlJc w:val="left"/>
      <w:pPr>
        <w:ind w:left="6480" w:hanging="360"/>
      </w:pPr>
      <w:rPr>
        <w:rFonts w:ascii="Wingdings" w:hAnsi="Wingdings" w:hint="default"/>
      </w:rPr>
    </w:lvl>
  </w:abstractNum>
  <w:num w:numId="1" w16cid:durableId="2133857874">
    <w:abstractNumId w:val="1"/>
  </w:num>
  <w:num w:numId="2" w16cid:durableId="571740361">
    <w:abstractNumId w:val="5"/>
  </w:num>
  <w:num w:numId="3" w16cid:durableId="986396587">
    <w:abstractNumId w:val="2"/>
  </w:num>
  <w:num w:numId="4" w16cid:durableId="684358461">
    <w:abstractNumId w:val="4"/>
  </w:num>
  <w:num w:numId="5" w16cid:durableId="752974743">
    <w:abstractNumId w:val="7"/>
  </w:num>
  <w:num w:numId="6" w16cid:durableId="658582341">
    <w:abstractNumId w:val="0"/>
  </w:num>
  <w:num w:numId="7" w16cid:durableId="254637671">
    <w:abstractNumId w:val="3"/>
  </w:num>
  <w:num w:numId="8" w16cid:durableId="796535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73"/>
    <w:rsid w:val="00034218"/>
    <w:rsid w:val="00035118"/>
    <w:rsid w:val="0006463C"/>
    <w:rsid w:val="0007606A"/>
    <w:rsid w:val="000D4A70"/>
    <w:rsid w:val="00107F34"/>
    <w:rsid w:val="00137EA5"/>
    <w:rsid w:val="00150D74"/>
    <w:rsid w:val="001C39C7"/>
    <w:rsid w:val="001E366B"/>
    <w:rsid w:val="001F0646"/>
    <w:rsid w:val="001F5B6E"/>
    <w:rsid w:val="00245B56"/>
    <w:rsid w:val="00252405"/>
    <w:rsid w:val="00282284"/>
    <w:rsid w:val="00292CEC"/>
    <w:rsid w:val="00294762"/>
    <w:rsid w:val="002A7965"/>
    <w:rsid w:val="002B198A"/>
    <w:rsid w:val="002B52A9"/>
    <w:rsid w:val="0030774C"/>
    <w:rsid w:val="00326329"/>
    <w:rsid w:val="003336F8"/>
    <w:rsid w:val="00372223"/>
    <w:rsid w:val="00386A28"/>
    <w:rsid w:val="00397D15"/>
    <w:rsid w:val="003B2654"/>
    <w:rsid w:val="003D435F"/>
    <w:rsid w:val="00413ECF"/>
    <w:rsid w:val="00462A17"/>
    <w:rsid w:val="00473F25"/>
    <w:rsid w:val="00492916"/>
    <w:rsid w:val="004C561F"/>
    <w:rsid w:val="004D3CD2"/>
    <w:rsid w:val="00504C4C"/>
    <w:rsid w:val="0050728C"/>
    <w:rsid w:val="00521977"/>
    <w:rsid w:val="00533B3E"/>
    <w:rsid w:val="00534B97"/>
    <w:rsid w:val="00570837"/>
    <w:rsid w:val="005745A0"/>
    <w:rsid w:val="005856B8"/>
    <w:rsid w:val="0059321B"/>
    <w:rsid w:val="005C23FB"/>
    <w:rsid w:val="005E5F54"/>
    <w:rsid w:val="00637851"/>
    <w:rsid w:val="00654B94"/>
    <w:rsid w:val="006641C8"/>
    <w:rsid w:val="00675626"/>
    <w:rsid w:val="00690CC3"/>
    <w:rsid w:val="006E1D0C"/>
    <w:rsid w:val="007260E1"/>
    <w:rsid w:val="007C12E7"/>
    <w:rsid w:val="007D6666"/>
    <w:rsid w:val="007F09B4"/>
    <w:rsid w:val="0085256E"/>
    <w:rsid w:val="008536D7"/>
    <w:rsid w:val="008632B0"/>
    <w:rsid w:val="00881900"/>
    <w:rsid w:val="00884AE8"/>
    <w:rsid w:val="00884FD7"/>
    <w:rsid w:val="00891BD4"/>
    <w:rsid w:val="00894973"/>
    <w:rsid w:val="008B7E4A"/>
    <w:rsid w:val="008F47BF"/>
    <w:rsid w:val="00900116"/>
    <w:rsid w:val="009233AC"/>
    <w:rsid w:val="00933CBD"/>
    <w:rsid w:val="009701DC"/>
    <w:rsid w:val="009A4DAB"/>
    <w:rsid w:val="009B41E5"/>
    <w:rsid w:val="00A019C5"/>
    <w:rsid w:val="00AB53EE"/>
    <w:rsid w:val="00AE26DB"/>
    <w:rsid w:val="00B32BEE"/>
    <w:rsid w:val="00B5192A"/>
    <w:rsid w:val="00B55289"/>
    <w:rsid w:val="00B717C6"/>
    <w:rsid w:val="00B81DB0"/>
    <w:rsid w:val="00B8467A"/>
    <w:rsid w:val="00BA513A"/>
    <w:rsid w:val="00BC3E81"/>
    <w:rsid w:val="00BE0BAC"/>
    <w:rsid w:val="00BE408D"/>
    <w:rsid w:val="00C01938"/>
    <w:rsid w:val="00C26A97"/>
    <w:rsid w:val="00C62722"/>
    <w:rsid w:val="00CA56E7"/>
    <w:rsid w:val="00CB07A3"/>
    <w:rsid w:val="00CC0237"/>
    <w:rsid w:val="00CD6BFD"/>
    <w:rsid w:val="00D22C00"/>
    <w:rsid w:val="00D253BE"/>
    <w:rsid w:val="00D56E5E"/>
    <w:rsid w:val="00D60B6B"/>
    <w:rsid w:val="00D86B22"/>
    <w:rsid w:val="00D91622"/>
    <w:rsid w:val="00D922CB"/>
    <w:rsid w:val="00DB2724"/>
    <w:rsid w:val="00DB2AA6"/>
    <w:rsid w:val="00DB2B97"/>
    <w:rsid w:val="00DC3AB5"/>
    <w:rsid w:val="00DE4E4D"/>
    <w:rsid w:val="00DE61AE"/>
    <w:rsid w:val="00DF3CF2"/>
    <w:rsid w:val="00DF43CF"/>
    <w:rsid w:val="00E16D78"/>
    <w:rsid w:val="00E64E64"/>
    <w:rsid w:val="00E779E2"/>
    <w:rsid w:val="00E84463"/>
    <w:rsid w:val="00EA18D7"/>
    <w:rsid w:val="00EE1BFF"/>
    <w:rsid w:val="00EF32D2"/>
    <w:rsid w:val="00F03ED7"/>
    <w:rsid w:val="00F0611F"/>
    <w:rsid w:val="00F0683D"/>
    <w:rsid w:val="00F113A3"/>
    <w:rsid w:val="00F27541"/>
    <w:rsid w:val="00F46C95"/>
    <w:rsid w:val="00F543F4"/>
    <w:rsid w:val="00F81483"/>
    <w:rsid w:val="00F86CC3"/>
    <w:rsid w:val="00FA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A0B"/>
  <w15:chartTrackingRefBased/>
  <w15:docId w15:val="{A065EB12-456A-41FF-A61C-C42E61F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0"/>
    <w:pPr>
      <w:spacing w:line="276" w:lineRule="auto"/>
    </w:pPr>
    <w:rPr>
      <w:rFonts w:ascii="Times New Roman" w:hAnsi="Times New Roman"/>
      <w:sz w:val="24"/>
    </w:rPr>
  </w:style>
  <w:style w:type="paragraph" w:styleId="Heading1">
    <w:name w:val="heading 1"/>
    <w:basedOn w:val="Normal"/>
    <w:next w:val="Normal"/>
    <w:link w:val="Heading1Char"/>
    <w:uiPriority w:val="9"/>
    <w:qFormat/>
    <w:rsid w:val="00E16D78"/>
    <w:pPr>
      <w:outlineLvl w:val="0"/>
    </w:pPr>
    <w:rPr>
      <w:rFonts w:cs="Times New Roman"/>
      <w:b/>
      <w:bCs/>
      <w:caps/>
      <w:sz w:val="36"/>
      <w:szCs w:val="36"/>
    </w:rPr>
  </w:style>
  <w:style w:type="paragraph" w:styleId="Heading2">
    <w:name w:val="heading 2"/>
    <w:basedOn w:val="Normal"/>
    <w:next w:val="Normal"/>
    <w:link w:val="Heading2Char"/>
    <w:uiPriority w:val="9"/>
    <w:unhideWhenUsed/>
    <w:qFormat/>
    <w:rsid w:val="005745A0"/>
    <w:pPr>
      <w:outlineLvl w:val="1"/>
    </w:pPr>
    <w:rPr>
      <w:rFonts w:cs="Times New Roman"/>
      <w:b/>
      <w:bCs/>
      <w:i/>
      <w:iCs/>
      <w:szCs w:val="24"/>
    </w:rPr>
  </w:style>
  <w:style w:type="paragraph" w:styleId="Heading3">
    <w:name w:val="heading 3"/>
    <w:basedOn w:val="Normal"/>
    <w:next w:val="Normal"/>
    <w:link w:val="Heading3Char"/>
    <w:uiPriority w:val="9"/>
    <w:unhideWhenUsed/>
    <w:qFormat/>
    <w:rsid w:val="00D91622"/>
    <w:pPr>
      <w:spacing w:after="0"/>
      <w:outlineLvl w:val="2"/>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41C8"/>
    <w:pPr>
      <w:ind w:left="720"/>
      <w:contextualSpacing/>
    </w:pPr>
  </w:style>
  <w:style w:type="paragraph" w:customStyle="1" w:styleId="DocID">
    <w:name w:val="Doc ID"/>
    <w:basedOn w:val="Normal"/>
    <w:link w:val="DocIDChar"/>
    <w:rsid w:val="00035118"/>
    <w:pPr>
      <w:tabs>
        <w:tab w:val="right" w:pos="9360"/>
      </w:tabs>
      <w:spacing w:after="0" w:line="200" w:lineRule="exact"/>
    </w:pPr>
    <w:rPr>
      <w:rFonts w:cs="Times New Roman"/>
      <w:sz w:val="16"/>
      <w:szCs w:val="24"/>
    </w:rPr>
  </w:style>
  <w:style w:type="character" w:customStyle="1" w:styleId="ListParagraphChar">
    <w:name w:val="List Paragraph Char"/>
    <w:basedOn w:val="DefaultParagraphFont"/>
    <w:link w:val="ListParagraph"/>
    <w:uiPriority w:val="34"/>
    <w:rsid w:val="00F0611F"/>
  </w:style>
  <w:style w:type="character" w:customStyle="1" w:styleId="DocIDChar">
    <w:name w:val="Doc ID Char"/>
    <w:basedOn w:val="ListParagraphChar"/>
    <w:link w:val="DocID"/>
    <w:rsid w:val="00035118"/>
    <w:rPr>
      <w:rFonts w:ascii="Times New Roman" w:hAnsi="Times New Roman" w:cs="Times New Roman"/>
      <w:sz w:val="16"/>
      <w:szCs w:val="24"/>
    </w:rPr>
  </w:style>
  <w:style w:type="paragraph" w:styleId="Header">
    <w:name w:val="header"/>
    <w:basedOn w:val="Normal"/>
    <w:link w:val="HeaderChar"/>
    <w:uiPriority w:val="99"/>
    <w:unhideWhenUsed/>
    <w:rsid w:val="00F0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1F"/>
  </w:style>
  <w:style w:type="paragraph" w:styleId="Footer">
    <w:name w:val="footer"/>
    <w:basedOn w:val="Normal"/>
    <w:link w:val="FooterChar"/>
    <w:uiPriority w:val="99"/>
    <w:unhideWhenUsed/>
    <w:rsid w:val="00F0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1F"/>
  </w:style>
  <w:style w:type="paragraph" w:styleId="FootnoteText">
    <w:name w:val="footnote text"/>
    <w:basedOn w:val="Normal"/>
    <w:link w:val="FootnoteTextChar"/>
    <w:uiPriority w:val="99"/>
    <w:semiHidden/>
    <w:unhideWhenUsed/>
    <w:rsid w:val="00970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1DC"/>
    <w:rPr>
      <w:sz w:val="20"/>
      <w:szCs w:val="20"/>
    </w:rPr>
  </w:style>
  <w:style w:type="character" w:styleId="FootnoteReference">
    <w:name w:val="footnote reference"/>
    <w:basedOn w:val="DefaultParagraphFont"/>
    <w:uiPriority w:val="99"/>
    <w:semiHidden/>
    <w:unhideWhenUsed/>
    <w:rsid w:val="009701DC"/>
    <w:rPr>
      <w:vertAlign w:val="superscript"/>
    </w:rPr>
  </w:style>
  <w:style w:type="character" w:styleId="CommentReference">
    <w:name w:val="annotation reference"/>
    <w:basedOn w:val="DefaultParagraphFont"/>
    <w:uiPriority w:val="99"/>
    <w:semiHidden/>
    <w:unhideWhenUsed/>
    <w:rsid w:val="000D4A70"/>
    <w:rPr>
      <w:sz w:val="16"/>
      <w:szCs w:val="16"/>
    </w:rPr>
  </w:style>
  <w:style w:type="paragraph" w:styleId="CommentText">
    <w:name w:val="annotation text"/>
    <w:basedOn w:val="Normal"/>
    <w:link w:val="CommentTextChar"/>
    <w:uiPriority w:val="99"/>
    <w:semiHidden/>
    <w:unhideWhenUsed/>
    <w:rsid w:val="000D4A70"/>
    <w:pPr>
      <w:spacing w:line="240" w:lineRule="auto"/>
    </w:pPr>
    <w:rPr>
      <w:sz w:val="20"/>
      <w:szCs w:val="20"/>
    </w:rPr>
  </w:style>
  <w:style w:type="character" w:customStyle="1" w:styleId="CommentTextChar">
    <w:name w:val="Comment Text Char"/>
    <w:basedOn w:val="DefaultParagraphFont"/>
    <w:link w:val="CommentText"/>
    <w:uiPriority w:val="99"/>
    <w:semiHidden/>
    <w:rsid w:val="000D4A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4A70"/>
    <w:rPr>
      <w:b/>
      <w:bCs/>
    </w:rPr>
  </w:style>
  <w:style w:type="character" w:customStyle="1" w:styleId="CommentSubjectChar">
    <w:name w:val="Comment Subject Char"/>
    <w:basedOn w:val="CommentTextChar"/>
    <w:link w:val="CommentSubject"/>
    <w:uiPriority w:val="99"/>
    <w:semiHidden/>
    <w:rsid w:val="000D4A70"/>
    <w:rPr>
      <w:rFonts w:ascii="Times New Roman" w:hAnsi="Times New Roman"/>
      <w:b/>
      <w:bCs/>
      <w:sz w:val="20"/>
      <w:szCs w:val="20"/>
    </w:rPr>
  </w:style>
  <w:style w:type="paragraph" w:styleId="Revision">
    <w:name w:val="Revision"/>
    <w:hidden/>
    <w:uiPriority w:val="99"/>
    <w:semiHidden/>
    <w:rsid w:val="000D4A7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E16D78"/>
    <w:rPr>
      <w:rFonts w:ascii="Times New Roman" w:hAnsi="Times New Roman" w:cs="Times New Roman"/>
      <w:b/>
      <w:bCs/>
      <w:caps/>
      <w:sz w:val="36"/>
      <w:szCs w:val="36"/>
    </w:rPr>
  </w:style>
  <w:style w:type="character" w:customStyle="1" w:styleId="Heading2Char">
    <w:name w:val="Heading 2 Char"/>
    <w:basedOn w:val="DefaultParagraphFont"/>
    <w:link w:val="Heading2"/>
    <w:uiPriority w:val="9"/>
    <w:rsid w:val="005745A0"/>
    <w:rPr>
      <w:rFonts w:ascii="Times New Roman" w:hAnsi="Times New Roman" w:cs="Times New Roman"/>
      <w:b/>
      <w:bCs/>
      <w:i/>
      <w:iCs/>
      <w:sz w:val="24"/>
      <w:szCs w:val="24"/>
    </w:rPr>
  </w:style>
  <w:style w:type="paragraph" w:styleId="Title">
    <w:name w:val="Title"/>
    <w:basedOn w:val="Normal"/>
    <w:next w:val="Normal"/>
    <w:link w:val="TitleChar"/>
    <w:uiPriority w:val="10"/>
    <w:qFormat/>
    <w:rsid w:val="005745A0"/>
    <w:pPr>
      <w:jc w:val="center"/>
    </w:pPr>
    <w:rPr>
      <w:rFonts w:cs="Times New Roman"/>
      <w:b/>
      <w:bCs/>
      <w:szCs w:val="24"/>
    </w:rPr>
  </w:style>
  <w:style w:type="character" w:customStyle="1" w:styleId="TitleChar">
    <w:name w:val="Title Char"/>
    <w:basedOn w:val="DefaultParagraphFont"/>
    <w:link w:val="Title"/>
    <w:uiPriority w:val="10"/>
    <w:rsid w:val="005745A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91622"/>
    <w:rPr>
      <w:rFonts w:ascii="Times New Roman" w:hAnsi="Times New Roman" w:cs="Times New Roman"/>
      <w:b/>
      <w:bCs/>
      <w:sz w:val="24"/>
      <w:szCs w:val="24"/>
    </w:rPr>
  </w:style>
  <w:style w:type="character" w:styleId="Hyperlink">
    <w:name w:val="Hyperlink"/>
    <w:basedOn w:val="DefaultParagraphFont"/>
    <w:uiPriority w:val="99"/>
    <w:unhideWhenUsed/>
    <w:rsid w:val="00473F25"/>
    <w:rPr>
      <w:color w:val="0563C1" w:themeColor="hyperlink"/>
      <w:u w:val="single"/>
    </w:rPr>
  </w:style>
  <w:style w:type="character" w:styleId="UnresolvedMention">
    <w:name w:val="Unresolved Mention"/>
    <w:basedOn w:val="DefaultParagraphFont"/>
    <w:uiPriority w:val="99"/>
    <w:rsid w:val="0047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bag.ca.gov/technical-assistance/2024-new-housing-laws-webin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SB 9 Qualifying Criteria Checklist</vt:lpstr>
    </vt:vector>
  </TitlesOfParts>
  <Manager/>
  <Company/>
  <LinksUpToDate>false</LinksUpToDate>
  <CharactersWithSpaces>10910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Qualifying Criteria Checklist</dc:title>
  <dc:subject/>
  <dc:creator>Bowen Close</dc:creator>
  <cp:keywords/>
  <dc:description/>
  <cp:lastModifiedBy>Kate Didech</cp:lastModifiedBy>
  <cp:revision>4</cp:revision>
  <dcterms:created xsi:type="dcterms:W3CDTF">2025-03-11T17:34:00Z</dcterms:created>
  <dcterms:modified xsi:type="dcterms:W3CDTF">2025-03-17T17:49:00Z</dcterms:modified>
  <cp:category/>
</cp:coreProperties>
</file>