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F7260" w14:textId="0E22184A" w:rsidR="004A04A0" w:rsidRDefault="00000000" w:rsidP="00737AEB">
      <w:pPr>
        <w:jc w:val="center"/>
        <w:rPr>
          <w:rFonts w:ascii="Times New Roman" w:hAnsi="Times New Roman" w:cs="Times New Roman"/>
        </w:rPr>
      </w:pPr>
      <w:r>
        <w:rPr>
          <w:rFonts w:ascii="Times New Roman" w:hAnsi="Times New Roman" w:cs="Times New Roman"/>
        </w:rPr>
        <w:t>Senate Bill 9 Summary</w:t>
      </w:r>
    </w:p>
    <w:p w14:paraId="26EA403B" w14:textId="63B9963A" w:rsidR="00235099" w:rsidRDefault="00235099" w:rsidP="00D276FA">
      <w:pPr>
        <w:shd w:val="clear" w:color="auto" w:fill="E2EFD9" w:themeFill="accent6" w:themeFillTint="33"/>
        <w:rPr>
          <w:rFonts w:ascii="Times New Roman" w:hAnsi="Times New Roman" w:cs="Times New Roman"/>
        </w:rPr>
      </w:pPr>
      <w:r w:rsidRPr="00235099">
        <w:rPr>
          <w:rFonts w:ascii="Times New Roman" w:hAnsi="Times New Roman" w:cs="Times New Roman"/>
          <w:b/>
          <w:bCs/>
        </w:rPr>
        <w:t>Content Is Outdated.</w:t>
      </w:r>
      <w:r w:rsidRPr="00235099">
        <w:rPr>
          <w:rFonts w:ascii="Times New Roman" w:hAnsi="Times New Roman" w:cs="Times New Roman"/>
        </w:rPr>
        <w:t xml:space="preserve"> This resource has not been updated with laws passed after December 202</w:t>
      </w:r>
      <w:r>
        <w:rPr>
          <w:rFonts w:ascii="Times New Roman" w:hAnsi="Times New Roman" w:cs="Times New Roman"/>
        </w:rPr>
        <w:t>1</w:t>
      </w:r>
      <w:r w:rsidRPr="00235099">
        <w:rPr>
          <w:rFonts w:ascii="Times New Roman" w:hAnsi="Times New Roman" w:cs="Times New Roman"/>
        </w:rPr>
        <w:t xml:space="preserve">. Please check the </w:t>
      </w:r>
      <w:hyperlink r:id="rId7" w:history="1">
        <w:r w:rsidRPr="00235099">
          <w:rPr>
            <w:rStyle w:val="Hyperlink"/>
            <w:rFonts w:ascii="Times New Roman" w:hAnsi="Times New Roman" w:cs="Times New Roman"/>
          </w:rPr>
          <w:t>2024 New Housing Laws Webinar and Summary</w:t>
        </w:r>
      </w:hyperlink>
      <w:r w:rsidRPr="00235099">
        <w:rPr>
          <w:rFonts w:ascii="Times New Roman" w:hAnsi="Times New Roman" w:cs="Times New Roman"/>
        </w:rPr>
        <w:t xml:space="preserve"> for more information.</w:t>
      </w:r>
    </w:p>
    <w:p w14:paraId="4D0A75D8" w14:textId="0EEFF72D" w:rsidR="00737AEB" w:rsidRDefault="00000000" w:rsidP="00737AEB">
      <w:pPr>
        <w:rPr>
          <w:rFonts w:ascii="Times New Roman" w:hAnsi="Times New Roman" w:cs="Times New Roman"/>
        </w:rPr>
      </w:pPr>
      <w:r>
        <w:rPr>
          <w:rFonts w:ascii="Times New Roman" w:hAnsi="Times New Roman" w:cs="Times New Roman"/>
        </w:rPr>
        <w:t xml:space="preserve">Senate Bill 9 adds Government Code Sections 65851.21 and 66411.7 and amends Government Code Section 66452.6 (Subdivision Map Act). The provisions of SB 9 are effective beginning January 1, 2022. Below is a summary of those provisions. </w:t>
      </w:r>
    </w:p>
    <w:p w14:paraId="6D1BE000" w14:textId="6ED93D39" w:rsidR="00737AEB" w:rsidRDefault="00000000" w:rsidP="00737AEB">
      <w:pPr>
        <w:pStyle w:val="ListParagraph"/>
        <w:numPr>
          <w:ilvl w:val="0"/>
          <w:numId w:val="1"/>
        </w:numPr>
        <w:rPr>
          <w:rFonts w:ascii="Times New Roman" w:hAnsi="Times New Roman" w:cs="Times New Roman"/>
          <w:b/>
          <w:bCs/>
        </w:rPr>
      </w:pPr>
      <w:r w:rsidRPr="00737AEB">
        <w:rPr>
          <w:rFonts w:ascii="Times New Roman" w:hAnsi="Times New Roman" w:cs="Times New Roman"/>
          <w:b/>
          <w:bCs/>
        </w:rPr>
        <w:t>Government Code Section 65851.21</w:t>
      </w:r>
      <w:r w:rsidRPr="00737AEB">
        <w:rPr>
          <w:rFonts w:ascii="Times New Roman" w:hAnsi="Times New Roman" w:cs="Times New Roman"/>
        </w:rPr>
        <w:t xml:space="preserve"> – </w:t>
      </w:r>
      <w:r w:rsidRPr="00737AEB">
        <w:rPr>
          <w:rFonts w:ascii="Times New Roman" w:hAnsi="Times New Roman" w:cs="Times New Roman"/>
          <w:b/>
          <w:bCs/>
        </w:rPr>
        <w:t>Ministerial Two-Unit Developments</w:t>
      </w:r>
    </w:p>
    <w:p w14:paraId="1F0EB64F" w14:textId="1E50D71F" w:rsidR="00737AEB" w:rsidRDefault="00000000" w:rsidP="00737AEB">
      <w:pPr>
        <w:rPr>
          <w:rFonts w:ascii="Times New Roman" w:hAnsi="Times New Roman" w:cs="Times New Roman"/>
        </w:rPr>
      </w:pPr>
      <w:r>
        <w:rPr>
          <w:rFonts w:ascii="Times New Roman" w:hAnsi="Times New Roman" w:cs="Times New Roman"/>
        </w:rPr>
        <w:t xml:space="preserve">Under SB 9, local agencies must approve in a ministerial process, without any discretionary review or hearing, </w:t>
      </w:r>
      <w:r w:rsidR="000D4896">
        <w:rPr>
          <w:rFonts w:ascii="Times New Roman" w:hAnsi="Times New Roman" w:cs="Times New Roman"/>
        </w:rPr>
        <w:t xml:space="preserve">certain two-unit developments. Two-unit developments are those </w:t>
      </w:r>
      <w:r w:rsidR="008713BB">
        <w:rPr>
          <w:rFonts w:ascii="Times New Roman" w:hAnsi="Times New Roman" w:cs="Times New Roman"/>
        </w:rPr>
        <w:t xml:space="preserve">that </w:t>
      </w:r>
      <w:r w:rsidR="000D4896">
        <w:rPr>
          <w:rFonts w:ascii="Times New Roman" w:hAnsi="Times New Roman" w:cs="Times New Roman"/>
        </w:rPr>
        <w:t xml:space="preserve">propose either the construction of no more than two new units, or the addition of one new unit to an existing unit. </w:t>
      </w:r>
    </w:p>
    <w:p w14:paraId="3831B2E5" w14:textId="44336F25" w:rsidR="000D4896" w:rsidRDefault="00000000" w:rsidP="00737AEB">
      <w:pPr>
        <w:rPr>
          <w:rFonts w:ascii="Times New Roman" w:hAnsi="Times New Roman" w:cs="Times New Roman"/>
        </w:rPr>
      </w:pPr>
      <w:r>
        <w:rPr>
          <w:rFonts w:ascii="Times New Roman" w:hAnsi="Times New Roman" w:cs="Times New Roman"/>
        </w:rPr>
        <w:t xml:space="preserve">To qualify for this ministerial process, the two-unit development must be proposed in a single-family residential zone. Other requirements that a project must satisfy to qualify for </w:t>
      </w:r>
      <w:r w:rsidR="000C7573">
        <w:rPr>
          <w:rFonts w:ascii="Times New Roman" w:hAnsi="Times New Roman" w:cs="Times New Roman"/>
        </w:rPr>
        <w:t>SB 9's benefits include:</w:t>
      </w:r>
    </w:p>
    <w:p w14:paraId="1692AFAC" w14:textId="300C8EAD" w:rsidR="000C7573" w:rsidRPr="00164C47" w:rsidRDefault="00000000" w:rsidP="008713BB">
      <w:pPr>
        <w:pStyle w:val="ListParagraph"/>
        <w:numPr>
          <w:ilvl w:val="0"/>
          <w:numId w:val="2"/>
        </w:numPr>
        <w:rPr>
          <w:rFonts w:ascii="Times New Roman" w:hAnsi="Times New Roman" w:cs="Times New Roman"/>
        </w:rPr>
      </w:pPr>
      <w:r w:rsidRPr="000C7573">
        <w:rPr>
          <w:rFonts w:ascii="Times New Roman" w:hAnsi="Times New Roman" w:cs="Times New Roman"/>
          <w:b/>
          <w:bCs/>
        </w:rPr>
        <w:t xml:space="preserve">Location. </w:t>
      </w:r>
      <w:r w:rsidRPr="000C7573">
        <w:rPr>
          <w:rFonts w:ascii="Times New Roman" w:hAnsi="Times New Roman" w:cs="Times New Roman"/>
        </w:rPr>
        <w:t>The project must be in an urbanized area or urban cluster, or within a city with boundaries in an urbanized area or urban cluster</w:t>
      </w:r>
      <w:r>
        <w:rPr>
          <w:rFonts w:ascii="Times New Roman" w:hAnsi="Times New Roman" w:cs="Times New Roman"/>
        </w:rPr>
        <w:t>, as those terms are defined by the U.S. Census Bureau</w:t>
      </w:r>
      <w:r w:rsidRPr="000C7573">
        <w:rPr>
          <w:rFonts w:ascii="Times New Roman" w:hAnsi="Times New Roman" w:cs="Times New Roman"/>
        </w:rPr>
        <w:t xml:space="preserve">. The project cannot be on a </w:t>
      </w:r>
      <w:r w:rsidR="00EB27F6">
        <w:rPr>
          <w:rFonts w:ascii="Times New Roman" w:hAnsi="Times New Roman" w:cs="Times New Roman"/>
        </w:rPr>
        <w:t xml:space="preserve">site </w:t>
      </w:r>
      <w:r w:rsidRPr="000C7573">
        <w:rPr>
          <w:rFonts w:ascii="Times New Roman" w:hAnsi="Times New Roman" w:cs="Times New Roman"/>
        </w:rPr>
        <w:t xml:space="preserve">designated </w:t>
      </w:r>
      <w:r w:rsidR="00EB27F6">
        <w:rPr>
          <w:rFonts w:ascii="Times New Roman" w:hAnsi="Times New Roman" w:cs="Times New Roman"/>
        </w:rPr>
        <w:t xml:space="preserve">as a </w:t>
      </w:r>
      <w:r w:rsidRPr="000C7573">
        <w:rPr>
          <w:rFonts w:ascii="Times New Roman" w:hAnsi="Times New Roman" w:cs="Times New Roman"/>
        </w:rPr>
        <w:t xml:space="preserve">local or state historic landmark or within a local or state historic district. </w:t>
      </w:r>
      <w:r>
        <w:rPr>
          <w:rFonts w:ascii="Times New Roman" w:hAnsi="Times New Roman" w:cs="Times New Roman"/>
        </w:rPr>
        <w:t xml:space="preserve">The </w:t>
      </w:r>
      <w:r w:rsidRPr="000C7573">
        <w:rPr>
          <w:rFonts w:ascii="Times New Roman" w:hAnsi="Times New Roman" w:cs="Times New Roman"/>
        </w:rPr>
        <w:t>project may not be on prime agricultural land, wetlands, or protected species habitat, but may be in a high or very high fire severity hazard zone, earthquake fault zone, floodplain, floodway, and site with hazardous materials so long as certain mitigation measures</w:t>
      </w:r>
      <w:r>
        <w:rPr>
          <w:rFonts w:ascii="Times New Roman" w:hAnsi="Times New Roman" w:cs="Times New Roman"/>
        </w:rPr>
        <w:t xml:space="preserve"> </w:t>
      </w:r>
      <w:r w:rsidRPr="001067A9">
        <w:rPr>
          <w:rFonts w:ascii="Times New Roman" w:hAnsi="Times New Roman" w:cs="Times New Roman"/>
        </w:rPr>
        <w:t>(</w:t>
      </w:r>
      <w:r w:rsidR="001C7E47">
        <w:rPr>
          <w:rFonts w:ascii="Times New Roman" w:hAnsi="Times New Roman" w:cs="Times New Roman"/>
        </w:rPr>
        <w:t>as</w:t>
      </w:r>
      <w:r w:rsidRPr="001067A9">
        <w:rPr>
          <w:rFonts w:ascii="Times New Roman" w:hAnsi="Times New Roman" w:cs="Times New Roman"/>
        </w:rPr>
        <w:t xml:space="preserve"> outlined in Government Code Section</w:t>
      </w:r>
      <w:r w:rsidR="00E51B71" w:rsidRPr="001067A9">
        <w:rPr>
          <w:rFonts w:ascii="Times New Roman" w:hAnsi="Times New Roman" w:cs="Times New Roman"/>
        </w:rPr>
        <w:t xml:space="preserve"> 65913.4</w:t>
      </w:r>
      <w:r w:rsidR="001067A9" w:rsidRPr="001067A9">
        <w:rPr>
          <w:rFonts w:ascii="Times New Roman" w:hAnsi="Times New Roman" w:cs="Times New Roman"/>
        </w:rPr>
        <w:t>(a)(6</w:t>
      </w:r>
      <w:r w:rsidRPr="001067A9">
        <w:rPr>
          <w:rFonts w:ascii="Times New Roman" w:hAnsi="Times New Roman" w:cs="Times New Roman"/>
        </w:rPr>
        <w:t>)</w:t>
      </w:r>
      <w:r w:rsidR="001C7E47">
        <w:rPr>
          <w:rFonts w:ascii="Times New Roman" w:hAnsi="Times New Roman" w:cs="Times New Roman"/>
        </w:rPr>
        <w:t>)</w:t>
      </w:r>
      <w:r w:rsidRPr="000C7573">
        <w:rPr>
          <w:rFonts w:ascii="Times New Roman" w:hAnsi="Times New Roman" w:cs="Times New Roman"/>
        </w:rPr>
        <w:t xml:space="preserve"> have been implemented on those sites</w:t>
      </w:r>
      <w:r>
        <w:rPr>
          <w:rFonts w:ascii="Times New Roman" w:hAnsi="Times New Roman" w:cs="Times New Roman"/>
        </w:rPr>
        <w:t xml:space="preserve">. </w:t>
      </w:r>
    </w:p>
    <w:p w14:paraId="146A08D8" w14:textId="268FA8EF" w:rsidR="000C7573" w:rsidRPr="000C7573" w:rsidRDefault="00000000" w:rsidP="000C7573">
      <w:pPr>
        <w:pStyle w:val="ListParagraph"/>
        <w:numPr>
          <w:ilvl w:val="0"/>
          <w:numId w:val="2"/>
        </w:numPr>
        <w:rPr>
          <w:rFonts w:ascii="Times New Roman" w:hAnsi="Times New Roman" w:cs="Times New Roman"/>
        </w:rPr>
      </w:pPr>
      <w:r w:rsidRPr="000C7573">
        <w:rPr>
          <w:rFonts w:ascii="Times New Roman" w:hAnsi="Times New Roman" w:cs="Times New Roman"/>
          <w:b/>
          <w:bCs/>
        </w:rPr>
        <w:t>Protected Units.</w:t>
      </w:r>
      <w:r w:rsidRPr="000C7573">
        <w:rPr>
          <w:rFonts w:ascii="Times New Roman" w:hAnsi="Times New Roman" w:cs="Times New Roman"/>
        </w:rPr>
        <w:t xml:space="preserve"> The two-unit development may not result in the demolition or alteration of affordable housing, rent-controlled housing, housing that was withdrawn from the rental market in the last 1</w:t>
      </w:r>
      <w:r w:rsidR="00164C47">
        <w:rPr>
          <w:rFonts w:ascii="Times New Roman" w:hAnsi="Times New Roman" w:cs="Times New Roman"/>
        </w:rPr>
        <w:t>5</w:t>
      </w:r>
      <w:r w:rsidRPr="000C7573">
        <w:rPr>
          <w:rFonts w:ascii="Times New Roman" w:hAnsi="Times New Roman" w:cs="Times New Roman"/>
        </w:rPr>
        <w:t xml:space="preserve"> years, or housing occupied by a tenant in the past 3 years.</w:t>
      </w:r>
    </w:p>
    <w:p w14:paraId="02EDABE9" w14:textId="7644D160" w:rsidR="00535D5D" w:rsidRPr="000C7573" w:rsidRDefault="00000000" w:rsidP="009E32A7">
      <w:pPr>
        <w:pStyle w:val="ListParagraph"/>
        <w:numPr>
          <w:ilvl w:val="0"/>
          <w:numId w:val="2"/>
        </w:numPr>
        <w:rPr>
          <w:rFonts w:ascii="Times New Roman" w:hAnsi="Times New Roman" w:cs="Times New Roman"/>
        </w:rPr>
      </w:pPr>
      <w:r w:rsidRPr="000C7573">
        <w:rPr>
          <w:rFonts w:ascii="Times New Roman" w:hAnsi="Times New Roman" w:cs="Times New Roman"/>
          <w:b/>
          <w:bCs/>
        </w:rPr>
        <w:t>Limit on Demolition.</w:t>
      </w:r>
      <w:r w:rsidRPr="000C7573">
        <w:rPr>
          <w:rFonts w:ascii="Times New Roman" w:hAnsi="Times New Roman" w:cs="Times New Roman"/>
        </w:rPr>
        <w:t xml:space="preserve"> The project may not demolish more than 25 percent of the exterior walls of an existing unit unless</w:t>
      </w:r>
      <w:r>
        <w:rPr>
          <w:rFonts w:ascii="Times New Roman" w:hAnsi="Times New Roman" w:cs="Times New Roman"/>
        </w:rPr>
        <w:t xml:space="preserve"> either</w:t>
      </w:r>
      <w:r w:rsidRPr="000C7573">
        <w:rPr>
          <w:rFonts w:ascii="Times New Roman" w:hAnsi="Times New Roman" w:cs="Times New Roman"/>
        </w:rPr>
        <w:t xml:space="preserve"> the local agency permits otherwise or the site has not been occupied by a tenant in the last 3 years.</w:t>
      </w:r>
    </w:p>
    <w:p w14:paraId="71139808" w14:textId="2A64C0B8" w:rsidR="000C7573" w:rsidRPr="000C7573" w:rsidRDefault="00000000" w:rsidP="000C7573">
      <w:pPr>
        <w:pStyle w:val="ListParagraph"/>
        <w:numPr>
          <w:ilvl w:val="0"/>
          <w:numId w:val="2"/>
        </w:numPr>
        <w:rPr>
          <w:rFonts w:ascii="Times New Roman" w:hAnsi="Times New Roman" w:cs="Times New Roman"/>
        </w:rPr>
      </w:pPr>
      <w:r w:rsidRPr="000C7573">
        <w:rPr>
          <w:rFonts w:ascii="Times New Roman" w:hAnsi="Times New Roman" w:cs="Times New Roman"/>
          <w:b/>
          <w:bCs/>
        </w:rPr>
        <w:t>Residential Uses.</w:t>
      </w:r>
      <w:r w:rsidRPr="000C7573">
        <w:rPr>
          <w:rFonts w:ascii="Times New Roman" w:hAnsi="Times New Roman" w:cs="Times New Roman"/>
        </w:rPr>
        <w:t xml:space="preserve"> Any units constructed via </w:t>
      </w:r>
      <w:r>
        <w:rPr>
          <w:rFonts w:ascii="Times New Roman" w:hAnsi="Times New Roman" w:cs="Times New Roman"/>
        </w:rPr>
        <w:t xml:space="preserve">SB 9 </w:t>
      </w:r>
      <w:r w:rsidRPr="000C7573">
        <w:rPr>
          <w:rFonts w:ascii="Times New Roman" w:hAnsi="Times New Roman" w:cs="Times New Roman"/>
        </w:rPr>
        <w:t>must be used for residential purposes and cannot be used for short-term rentals of less than 30 days.</w:t>
      </w:r>
    </w:p>
    <w:p w14:paraId="043BC193" w14:textId="1E9FD9D7" w:rsidR="000C7573" w:rsidRDefault="00000000" w:rsidP="00737AEB">
      <w:pPr>
        <w:rPr>
          <w:rFonts w:ascii="Times New Roman" w:hAnsi="Times New Roman" w:cs="Times New Roman"/>
        </w:rPr>
      </w:pPr>
      <w:r>
        <w:rPr>
          <w:rFonts w:ascii="Times New Roman" w:hAnsi="Times New Roman" w:cs="Times New Roman"/>
        </w:rPr>
        <w:t xml:space="preserve">A project that meets these criteria and otherwise qualifies </w:t>
      </w:r>
      <w:r w:rsidR="00F62C7A">
        <w:rPr>
          <w:rFonts w:ascii="Times New Roman" w:hAnsi="Times New Roman" w:cs="Times New Roman"/>
        </w:rPr>
        <w:t>for the SB 9's ministerial process is exempt from the provisions of the California Environmental Quali</w:t>
      </w:r>
      <w:r w:rsidR="0005603F">
        <w:rPr>
          <w:rFonts w:ascii="Times New Roman" w:hAnsi="Times New Roman" w:cs="Times New Roman"/>
        </w:rPr>
        <w:t>t</w:t>
      </w:r>
      <w:r w:rsidR="00F62C7A">
        <w:rPr>
          <w:rFonts w:ascii="Times New Roman" w:hAnsi="Times New Roman" w:cs="Times New Roman"/>
        </w:rPr>
        <w:t>y Act</w:t>
      </w:r>
      <w:r w:rsidR="009E32A7">
        <w:rPr>
          <w:rFonts w:ascii="Times New Roman" w:hAnsi="Times New Roman" w:cs="Times New Roman"/>
        </w:rPr>
        <w:t xml:space="preserve">, as is an ordinance implementing </w:t>
      </w:r>
      <w:r w:rsidR="00706CC1">
        <w:rPr>
          <w:rFonts w:ascii="Times New Roman" w:hAnsi="Times New Roman" w:cs="Times New Roman"/>
        </w:rPr>
        <w:t>these provisions</w:t>
      </w:r>
      <w:r w:rsidR="00F62C7A">
        <w:rPr>
          <w:rFonts w:ascii="Times New Roman" w:hAnsi="Times New Roman" w:cs="Times New Roman"/>
        </w:rPr>
        <w:t xml:space="preserve">. </w:t>
      </w:r>
      <w:r w:rsidR="00132D63">
        <w:rPr>
          <w:rFonts w:ascii="Times New Roman" w:hAnsi="Times New Roman" w:cs="Times New Roman"/>
        </w:rPr>
        <w:t xml:space="preserve">However, the provisions of the California Coastal Act </w:t>
      </w:r>
      <w:r w:rsidR="00E51B71">
        <w:rPr>
          <w:rFonts w:ascii="Times New Roman" w:hAnsi="Times New Roman" w:cs="Times New Roman"/>
        </w:rPr>
        <w:t xml:space="preserve">of 1976 </w:t>
      </w:r>
      <w:r w:rsidR="00132D63">
        <w:rPr>
          <w:rFonts w:ascii="Times New Roman" w:hAnsi="Times New Roman" w:cs="Times New Roman"/>
        </w:rPr>
        <w:t xml:space="preserve">are applicable to SB 9 two-unit developments, except that a local agency is not required to </w:t>
      </w:r>
      <w:r w:rsidR="00E51B71">
        <w:rPr>
          <w:rFonts w:ascii="Times New Roman" w:hAnsi="Times New Roman" w:cs="Times New Roman"/>
        </w:rPr>
        <w:t>hold a public hearing for coastal development permit applications.</w:t>
      </w:r>
    </w:p>
    <w:p w14:paraId="18800B67" w14:textId="6E16E270" w:rsidR="000D4896" w:rsidRDefault="00000000" w:rsidP="00737AEB">
      <w:pPr>
        <w:rPr>
          <w:rFonts w:ascii="Times New Roman" w:hAnsi="Times New Roman" w:cs="Times New Roman"/>
        </w:rPr>
      </w:pPr>
      <w:r>
        <w:rPr>
          <w:rFonts w:ascii="Times New Roman" w:hAnsi="Times New Roman" w:cs="Times New Roman"/>
        </w:rPr>
        <w:t xml:space="preserve">SB 9 provides narrow parameters </w:t>
      </w:r>
      <w:r w:rsidR="00F62C7A">
        <w:rPr>
          <w:rFonts w:ascii="Times New Roman" w:hAnsi="Times New Roman" w:cs="Times New Roman"/>
        </w:rPr>
        <w:t>for l</w:t>
      </w:r>
      <w:r w:rsidR="000C7573">
        <w:rPr>
          <w:rFonts w:ascii="Times New Roman" w:hAnsi="Times New Roman" w:cs="Times New Roman"/>
        </w:rPr>
        <w:t>ocal agencies</w:t>
      </w:r>
      <w:r w:rsidR="00837FE4">
        <w:rPr>
          <w:rFonts w:ascii="Times New Roman" w:hAnsi="Times New Roman" w:cs="Times New Roman"/>
        </w:rPr>
        <w:t xml:space="preserve"> regarding</w:t>
      </w:r>
      <w:r w:rsidR="00F62C7A">
        <w:rPr>
          <w:rFonts w:ascii="Times New Roman" w:hAnsi="Times New Roman" w:cs="Times New Roman"/>
        </w:rPr>
        <w:t xml:space="preserve"> the standards which they may apply to </w:t>
      </w:r>
      <w:r>
        <w:rPr>
          <w:rFonts w:ascii="Times New Roman" w:hAnsi="Times New Roman" w:cs="Times New Roman"/>
        </w:rPr>
        <w:t xml:space="preserve">qualifying two-unit developments and the </w:t>
      </w:r>
      <w:r w:rsidR="00F62C7A">
        <w:rPr>
          <w:rFonts w:ascii="Times New Roman" w:hAnsi="Times New Roman" w:cs="Times New Roman"/>
        </w:rPr>
        <w:t>circumstances</w:t>
      </w:r>
      <w:r w:rsidR="00837FE4">
        <w:rPr>
          <w:rFonts w:ascii="Times New Roman" w:hAnsi="Times New Roman" w:cs="Times New Roman"/>
        </w:rPr>
        <w:t xml:space="preserve"> under which they may reject</w:t>
      </w:r>
      <w:r w:rsidR="00F62C7A">
        <w:rPr>
          <w:rFonts w:ascii="Times New Roman" w:hAnsi="Times New Roman" w:cs="Times New Roman"/>
        </w:rPr>
        <w:t xml:space="preserve"> an otherwise qualifying two-unit development</w:t>
      </w:r>
      <w:r w:rsidR="00837FE4">
        <w:rPr>
          <w:rFonts w:ascii="Times New Roman" w:hAnsi="Times New Roman" w:cs="Times New Roman"/>
        </w:rPr>
        <w:t xml:space="preserve">. </w:t>
      </w:r>
      <w:r w:rsidR="00837FE4" w:rsidRPr="00837FE4">
        <w:rPr>
          <w:rFonts w:ascii="Times New Roman" w:hAnsi="Times New Roman" w:cs="Times New Roman"/>
        </w:rPr>
        <w:t xml:space="preserve">As a general matter, </w:t>
      </w:r>
      <w:r w:rsidR="00837FE4">
        <w:rPr>
          <w:rFonts w:ascii="Times New Roman" w:hAnsi="Times New Roman" w:cs="Times New Roman"/>
        </w:rPr>
        <w:t xml:space="preserve">a </w:t>
      </w:r>
      <w:r w:rsidR="00837FE4" w:rsidRPr="00837FE4">
        <w:rPr>
          <w:rFonts w:ascii="Times New Roman" w:hAnsi="Times New Roman" w:cs="Times New Roman"/>
        </w:rPr>
        <w:t>local agency may impose objective zoning standards, objective subdivision standards, and objective design review standards, so long as t</w:t>
      </w:r>
      <w:r w:rsidR="00837FE4">
        <w:rPr>
          <w:rFonts w:ascii="Times New Roman" w:hAnsi="Times New Roman" w:cs="Times New Roman"/>
        </w:rPr>
        <w:t xml:space="preserve">hose </w:t>
      </w:r>
      <w:r w:rsidR="00837FE4" w:rsidRPr="00837FE4">
        <w:rPr>
          <w:rFonts w:ascii="Times New Roman" w:hAnsi="Times New Roman" w:cs="Times New Roman"/>
        </w:rPr>
        <w:t xml:space="preserve">standards do not conflict with the limitations </w:t>
      </w:r>
      <w:r w:rsidR="00837FE4">
        <w:rPr>
          <w:rFonts w:ascii="Times New Roman" w:hAnsi="Times New Roman" w:cs="Times New Roman"/>
        </w:rPr>
        <w:t>imposed by SB</w:t>
      </w:r>
      <w:r w:rsidR="00837FE4" w:rsidRPr="00837FE4">
        <w:rPr>
          <w:rFonts w:ascii="Times New Roman" w:hAnsi="Times New Roman" w:cs="Times New Roman"/>
        </w:rPr>
        <w:t xml:space="preserve"> 9 and would not physically preclud</w:t>
      </w:r>
      <w:r w:rsidR="00837FE4">
        <w:rPr>
          <w:rFonts w:ascii="Times New Roman" w:hAnsi="Times New Roman" w:cs="Times New Roman"/>
        </w:rPr>
        <w:t>e</w:t>
      </w:r>
      <w:r w:rsidR="00837FE4" w:rsidRPr="00837FE4">
        <w:rPr>
          <w:rFonts w:ascii="Times New Roman" w:hAnsi="Times New Roman" w:cs="Times New Roman"/>
        </w:rPr>
        <w:t xml:space="preserve"> the construction of </w:t>
      </w:r>
      <w:r w:rsidR="00837FE4">
        <w:rPr>
          <w:rFonts w:ascii="Times New Roman" w:hAnsi="Times New Roman" w:cs="Times New Roman"/>
        </w:rPr>
        <w:t xml:space="preserve">up to </w:t>
      </w:r>
      <w:r w:rsidR="00837FE4" w:rsidRPr="00837FE4">
        <w:rPr>
          <w:rFonts w:ascii="Times New Roman" w:hAnsi="Times New Roman" w:cs="Times New Roman"/>
        </w:rPr>
        <w:t>two units</w:t>
      </w:r>
      <w:r w:rsidR="00837FE4">
        <w:rPr>
          <w:rFonts w:ascii="Times New Roman" w:hAnsi="Times New Roman" w:cs="Times New Roman"/>
        </w:rPr>
        <w:t xml:space="preserve"> of</w:t>
      </w:r>
      <w:r w:rsidR="00837FE4" w:rsidRPr="00837FE4">
        <w:rPr>
          <w:rFonts w:ascii="Times New Roman" w:hAnsi="Times New Roman" w:cs="Times New Roman"/>
        </w:rPr>
        <w:t xml:space="preserve"> at least 800 square feet</w:t>
      </w:r>
      <w:r w:rsidR="00837FE4">
        <w:rPr>
          <w:rFonts w:ascii="Times New Roman" w:hAnsi="Times New Roman" w:cs="Times New Roman"/>
        </w:rPr>
        <w:t xml:space="preserve"> each. Other limitations in SB 9 include:</w:t>
      </w:r>
    </w:p>
    <w:p w14:paraId="37483410" w14:textId="13F73EC2" w:rsidR="00837FE4" w:rsidRPr="00837FE4" w:rsidRDefault="00000000" w:rsidP="00837FE4">
      <w:pPr>
        <w:pStyle w:val="ListParagraph"/>
        <w:numPr>
          <w:ilvl w:val="0"/>
          <w:numId w:val="3"/>
        </w:numPr>
        <w:rPr>
          <w:rFonts w:ascii="Times New Roman" w:hAnsi="Times New Roman" w:cs="Times New Roman"/>
        </w:rPr>
      </w:pPr>
      <w:r w:rsidRPr="00837FE4">
        <w:rPr>
          <w:rFonts w:ascii="Times New Roman" w:hAnsi="Times New Roman" w:cs="Times New Roman"/>
          <w:b/>
          <w:bCs/>
        </w:rPr>
        <w:t xml:space="preserve">Setbacks. </w:t>
      </w:r>
      <w:r w:rsidR="00904D44">
        <w:rPr>
          <w:rFonts w:ascii="Times New Roman" w:hAnsi="Times New Roman" w:cs="Times New Roman"/>
        </w:rPr>
        <w:t>A local agency may require four-foot rear and side setbacks</w:t>
      </w:r>
      <w:r w:rsidR="00E10B1D">
        <w:rPr>
          <w:rFonts w:ascii="Times New Roman" w:hAnsi="Times New Roman" w:cs="Times New Roman"/>
        </w:rPr>
        <w:t xml:space="preserve"> even if they would preclude construction of an 800-sq. ft. unit.</w:t>
      </w:r>
      <w:r w:rsidR="00904D44">
        <w:rPr>
          <w:rFonts w:ascii="Times New Roman" w:hAnsi="Times New Roman" w:cs="Times New Roman"/>
        </w:rPr>
        <w:t xml:space="preserve"> However, n</w:t>
      </w:r>
      <w:r w:rsidRPr="00837FE4">
        <w:rPr>
          <w:rFonts w:ascii="Times New Roman" w:hAnsi="Times New Roman" w:cs="Times New Roman"/>
        </w:rPr>
        <w:t xml:space="preserve">o setback may be required for a unit </w:t>
      </w:r>
      <w:r w:rsidRPr="00837FE4">
        <w:rPr>
          <w:rFonts w:ascii="Times New Roman" w:hAnsi="Times New Roman" w:cs="Times New Roman"/>
        </w:rPr>
        <w:lastRenderedPageBreak/>
        <w:t>constructed (1) within an existing living area, or (2) in the same location and to the same dimensions as an existing structure.</w:t>
      </w:r>
    </w:p>
    <w:p w14:paraId="68021257" w14:textId="7050B1C3" w:rsidR="00837FE4" w:rsidRDefault="00000000" w:rsidP="00837FE4">
      <w:pPr>
        <w:pStyle w:val="ListParagraph"/>
        <w:numPr>
          <w:ilvl w:val="0"/>
          <w:numId w:val="3"/>
        </w:numPr>
        <w:rPr>
          <w:rFonts w:ascii="Times New Roman" w:hAnsi="Times New Roman" w:cs="Times New Roman"/>
        </w:rPr>
      </w:pPr>
      <w:r w:rsidRPr="00837FE4">
        <w:rPr>
          <w:rFonts w:ascii="Times New Roman" w:hAnsi="Times New Roman" w:cs="Times New Roman"/>
          <w:b/>
          <w:bCs/>
        </w:rPr>
        <w:t xml:space="preserve">Parking Requirements. </w:t>
      </w:r>
      <w:r w:rsidRPr="00837FE4">
        <w:rPr>
          <w:rFonts w:ascii="Times New Roman" w:hAnsi="Times New Roman" w:cs="Times New Roman"/>
        </w:rPr>
        <w:t>A local agency may only require one off-street parking space per unit</w:t>
      </w:r>
      <w:r w:rsidR="00132D63">
        <w:rPr>
          <w:rFonts w:ascii="Times New Roman" w:hAnsi="Times New Roman" w:cs="Times New Roman"/>
        </w:rPr>
        <w:t xml:space="preserve">. </w:t>
      </w:r>
      <w:r w:rsidRPr="00837FE4">
        <w:rPr>
          <w:rFonts w:ascii="Times New Roman" w:hAnsi="Times New Roman" w:cs="Times New Roman"/>
        </w:rPr>
        <w:t xml:space="preserve"> </w:t>
      </w:r>
      <w:r w:rsidR="00132D63">
        <w:rPr>
          <w:rFonts w:ascii="Times New Roman" w:hAnsi="Times New Roman" w:cs="Times New Roman"/>
        </w:rPr>
        <w:t xml:space="preserve">No parking requirements may be imposed </w:t>
      </w:r>
      <w:r w:rsidRPr="00837FE4">
        <w:rPr>
          <w:rFonts w:ascii="Times New Roman" w:hAnsi="Times New Roman" w:cs="Times New Roman"/>
        </w:rPr>
        <w:t xml:space="preserve">if the parcel is located within (1) one-half mile walking distance of either a </w:t>
      </w:r>
      <w:r w:rsidR="00132D63">
        <w:rPr>
          <w:rFonts w:ascii="Times New Roman" w:hAnsi="Times New Roman" w:cs="Times New Roman"/>
        </w:rPr>
        <w:t>statutorily</w:t>
      </w:r>
      <w:r w:rsidR="00535D5D">
        <w:rPr>
          <w:rFonts w:ascii="Times New Roman" w:hAnsi="Times New Roman" w:cs="Times New Roman"/>
        </w:rPr>
        <w:t xml:space="preserve"> </w:t>
      </w:r>
      <w:r w:rsidR="00132D63">
        <w:rPr>
          <w:rFonts w:ascii="Times New Roman" w:hAnsi="Times New Roman" w:cs="Times New Roman"/>
        </w:rPr>
        <w:t xml:space="preserve">defined </w:t>
      </w:r>
      <w:r w:rsidRPr="00837FE4">
        <w:rPr>
          <w:rFonts w:ascii="Times New Roman" w:hAnsi="Times New Roman" w:cs="Times New Roman"/>
        </w:rPr>
        <w:t>high-quali</w:t>
      </w:r>
      <w:r w:rsidR="008713BB">
        <w:rPr>
          <w:rFonts w:ascii="Times New Roman" w:hAnsi="Times New Roman" w:cs="Times New Roman"/>
        </w:rPr>
        <w:t>t</w:t>
      </w:r>
      <w:r w:rsidRPr="00837FE4">
        <w:rPr>
          <w:rFonts w:ascii="Times New Roman" w:hAnsi="Times New Roman" w:cs="Times New Roman"/>
        </w:rPr>
        <w:t xml:space="preserve">y transit corridor or major transit stop, or (2) one block of a car share vehicle. </w:t>
      </w:r>
    </w:p>
    <w:p w14:paraId="2B0DAAC8" w14:textId="6D610963" w:rsidR="00AB0D9F" w:rsidRPr="00AB0D9F" w:rsidRDefault="00000000" w:rsidP="00AB0D9F">
      <w:pPr>
        <w:pStyle w:val="ListParagraph"/>
        <w:numPr>
          <w:ilvl w:val="0"/>
          <w:numId w:val="3"/>
        </w:numPr>
        <w:rPr>
          <w:rFonts w:ascii="Times New Roman" w:hAnsi="Times New Roman" w:cs="Times New Roman"/>
        </w:rPr>
      </w:pPr>
      <w:r>
        <w:rPr>
          <w:rFonts w:ascii="Times New Roman" w:hAnsi="Times New Roman" w:cs="Times New Roman"/>
          <w:b/>
          <w:bCs/>
        </w:rPr>
        <w:t>Adjacent or Connected Structures.</w:t>
      </w:r>
      <w:r>
        <w:rPr>
          <w:rFonts w:ascii="Times New Roman" w:hAnsi="Times New Roman" w:cs="Times New Roman"/>
        </w:rPr>
        <w:t xml:space="preserve"> A local agency may not deny an application for a two-unit development solely because it proposes adjacent or connected structures, as long as the structures meet building code safety standards and are sufficient to allow separate conveyance.</w:t>
      </w:r>
    </w:p>
    <w:p w14:paraId="28F091AE" w14:textId="00BC43CC" w:rsidR="00132D63" w:rsidRDefault="00000000" w:rsidP="00837FE4">
      <w:pPr>
        <w:pStyle w:val="ListParagraph"/>
        <w:numPr>
          <w:ilvl w:val="0"/>
          <w:numId w:val="3"/>
        </w:numPr>
        <w:rPr>
          <w:rFonts w:ascii="Times New Roman" w:hAnsi="Times New Roman" w:cs="Times New Roman"/>
        </w:rPr>
      </w:pPr>
      <w:r>
        <w:rPr>
          <w:rFonts w:ascii="Times New Roman" w:hAnsi="Times New Roman" w:cs="Times New Roman"/>
          <w:b/>
          <w:bCs/>
        </w:rPr>
        <w:t>Percolation Test.</w:t>
      </w:r>
      <w:r>
        <w:rPr>
          <w:rFonts w:ascii="Times New Roman" w:hAnsi="Times New Roman" w:cs="Times New Roman"/>
        </w:rPr>
        <w:t xml:space="preserve"> For residential units connected to an onsite wastewater treatment system, the local agency may require a percolation test completed within the last 5 years, or if the percolation test has been recertified, within the last ten years.</w:t>
      </w:r>
    </w:p>
    <w:p w14:paraId="7EF9E74F" w14:textId="62C076FB" w:rsidR="00837FE4" w:rsidRPr="00132D63" w:rsidRDefault="00000000" w:rsidP="001067A9">
      <w:pPr>
        <w:rPr>
          <w:rFonts w:ascii="Times New Roman" w:hAnsi="Times New Roman" w:cs="Times New Roman"/>
        </w:rPr>
      </w:pPr>
      <w:r>
        <w:rPr>
          <w:rFonts w:ascii="Times New Roman" w:hAnsi="Times New Roman" w:cs="Times New Roman"/>
        </w:rPr>
        <w:t xml:space="preserve">SB 9 provides that a local agency may </w:t>
      </w:r>
      <w:r w:rsidR="009E32A7">
        <w:rPr>
          <w:rFonts w:ascii="Times New Roman" w:hAnsi="Times New Roman" w:cs="Times New Roman"/>
        </w:rPr>
        <w:t xml:space="preserve">deny </w:t>
      </w:r>
      <w:r>
        <w:rPr>
          <w:rFonts w:ascii="Times New Roman" w:hAnsi="Times New Roman" w:cs="Times New Roman"/>
        </w:rPr>
        <w:t xml:space="preserve">an otherwise qualifying two-unit development if the local building official makes a written finding, based on a preponderance of the evidence, that the proposed housing development project would have a specific, adverse impact upon public health and safety or the physical environment, and there is no feasible method by which to satisfactorily mitigate the adverse impact. </w:t>
      </w:r>
    </w:p>
    <w:p w14:paraId="5FEF7F10" w14:textId="308705F3" w:rsidR="00737AEB" w:rsidRDefault="00000000" w:rsidP="00737AEB">
      <w:pPr>
        <w:pStyle w:val="ListParagraph"/>
        <w:numPr>
          <w:ilvl w:val="0"/>
          <w:numId w:val="1"/>
        </w:numPr>
        <w:rPr>
          <w:rFonts w:ascii="Times New Roman" w:hAnsi="Times New Roman" w:cs="Times New Roman"/>
          <w:b/>
          <w:bCs/>
        </w:rPr>
      </w:pPr>
      <w:r>
        <w:rPr>
          <w:rFonts w:ascii="Times New Roman" w:hAnsi="Times New Roman" w:cs="Times New Roman"/>
          <w:b/>
          <w:bCs/>
        </w:rPr>
        <w:t>Government Code Section 66411.7 – Ministerial Urban Lot Splits</w:t>
      </w:r>
    </w:p>
    <w:p w14:paraId="46FBFC3D" w14:textId="09668762" w:rsidR="00E51B71" w:rsidRDefault="00000000" w:rsidP="00E51B71">
      <w:pPr>
        <w:rPr>
          <w:rFonts w:ascii="Times New Roman" w:hAnsi="Times New Roman" w:cs="Times New Roman"/>
        </w:rPr>
      </w:pPr>
      <w:r>
        <w:rPr>
          <w:rFonts w:ascii="Times New Roman" w:hAnsi="Times New Roman" w:cs="Times New Roman"/>
        </w:rPr>
        <w:t xml:space="preserve">Under SB 9, local agencies must also ministerially approve, without discretionary review or hearing, certain urban lot splits. To qualify for ministerial approval under SB 9, the parcel to be split must </w:t>
      </w:r>
      <w:r w:rsidR="0050200E">
        <w:rPr>
          <w:rFonts w:ascii="Times New Roman" w:hAnsi="Times New Roman" w:cs="Times New Roman"/>
        </w:rPr>
        <w:t>be in</w:t>
      </w:r>
      <w:r>
        <w:rPr>
          <w:rFonts w:ascii="Times New Roman" w:hAnsi="Times New Roman" w:cs="Times New Roman"/>
        </w:rPr>
        <w:t xml:space="preserve"> a single-family residential zone, and the parcel map for the urban lot split must meet the following requirements:</w:t>
      </w:r>
    </w:p>
    <w:p w14:paraId="394C052B" w14:textId="2466DC30" w:rsidR="0050200E" w:rsidRDefault="00000000" w:rsidP="0050200E">
      <w:pPr>
        <w:pStyle w:val="ListParagraph"/>
        <w:numPr>
          <w:ilvl w:val="0"/>
          <w:numId w:val="2"/>
        </w:numPr>
        <w:rPr>
          <w:rFonts w:ascii="Times New Roman" w:hAnsi="Times New Roman" w:cs="Times New Roman"/>
        </w:rPr>
      </w:pPr>
      <w:r w:rsidRPr="000C7573">
        <w:rPr>
          <w:rFonts w:ascii="Times New Roman" w:hAnsi="Times New Roman" w:cs="Times New Roman"/>
          <w:b/>
          <w:bCs/>
        </w:rPr>
        <w:t xml:space="preserve">Location. </w:t>
      </w:r>
      <w:r w:rsidRPr="000C7573">
        <w:rPr>
          <w:rFonts w:ascii="Times New Roman" w:hAnsi="Times New Roman" w:cs="Times New Roman"/>
        </w:rPr>
        <w:t>The project must be in an urbanized area or urban cluster, or within a city with boundaries in an urbanized area or urban cluster</w:t>
      </w:r>
      <w:r>
        <w:rPr>
          <w:rFonts w:ascii="Times New Roman" w:hAnsi="Times New Roman" w:cs="Times New Roman"/>
        </w:rPr>
        <w:t>, as those terms are defined by the U.S. Census Bureau</w:t>
      </w:r>
      <w:r w:rsidRPr="000C7573">
        <w:rPr>
          <w:rFonts w:ascii="Times New Roman" w:hAnsi="Times New Roman" w:cs="Times New Roman"/>
        </w:rPr>
        <w:t xml:space="preserve">. The project cannot be on </w:t>
      </w:r>
      <w:r w:rsidR="009E32A7">
        <w:rPr>
          <w:rFonts w:ascii="Times New Roman" w:hAnsi="Times New Roman" w:cs="Times New Roman"/>
        </w:rPr>
        <w:t xml:space="preserve">the site of </w:t>
      </w:r>
      <w:r w:rsidRPr="000C7573">
        <w:rPr>
          <w:rFonts w:ascii="Times New Roman" w:hAnsi="Times New Roman" w:cs="Times New Roman"/>
        </w:rPr>
        <w:t xml:space="preserve">a designated local or state historic landmark or within a local or state historic district. </w:t>
      </w:r>
      <w:r>
        <w:rPr>
          <w:rFonts w:ascii="Times New Roman" w:hAnsi="Times New Roman" w:cs="Times New Roman"/>
        </w:rPr>
        <w:t xml:space="preserve">The </w:t>
      </w:r>
      <w:r w:rsidRPr="000C7573">
        <w:rPr>
          <w:rFonts w:ascii="Times New Roman" w:hAnsi="Times New Roman" w:cs="Times New Roman"/>
        </w:rPr>
        <w:t>project may not be on prime agricultural land, wetlands, or protected species habitat, but may be in a high or very high fire severity hazard zone, earthquake fault zone, floodplain, floodway, and site with hazardous materials so long as certain mitigation measures</w:t>
      </w:r>
      <w:r>
        <w:rPr>
          <w:rFonts w:ascii="Times New Roman" w:hAnsi="Times New Roman" w:cs="Times New Roman"/>
        </w:rPr>
        <w:t xml:space="preserve"> </w:t>
      </w:r>
      <w:r w:rsidRPr="001067A9">
        <w:rPr>
          <w:rFonts w:ascii="Times New Roman" w:hAnsi="Times New Roman" w:cs="Times New Roman"/>
        </w:rPr>
        <w:t>(</w:t>
      </w:r>
      <w:r w:rsidR="001C7E47">
        <w:rPr>
          <w:rFonts w:ascii="Times New Roman" w:hAnsi="Times New Roman" w:cs="Times New Roman"/>
        </w:rPr>
        <w:t>as</w:t>
      </w:r>
      <w:r w:rsidRPr="001067A9">
        <w:rPr>
          <w:rFonts w:ascii="Times New Roman" w:hAnsi="Times New Roman" w:cs="Times New Roman"/>
        </w:rPr>
        <w:t xml:space="preserve"> outlined in Government Code Section 65913.4(a)(6</w:t>
      </w:r>
      <w:r w:rsidR="001C7E47">
        <w:rPr>
          <w:rFonts w:ascii="Times New Roman" w:hAnsi="Times New Roman" w:cs="Times New Roman"/>
        </w:rPr>
        <w:t>)</w:t>
      </w:r>
      <w:r w:rsidRPr="001067A9">
        <w:rPr>
          <w:rFonts w:ascii="Times New Roman" w:hAnsi="Times New Roman" w:cs="Times New Roman"/>
        </w:rPr>
        <w:t>)</w:t>
      </w:r>
      <w:r w:rsidRPr="000C7573">
        <w:rPr>
          <w:rFonts w:ascii="Times New Roman" w:hAnsi="Times New Roman" w:cs="Times New Roman"/>
        </w:rPr>
        <w:t xml:space="preserve"> have been implemented on those sites</w:t>
      </w:r>
      <w:r>
        <w:rPr>
          <w:rFonts w:ascii="Times New Roman" w:hAnsi="Times New Roman" w:cs="Times New Roman"/>
        </w:rPr>
        <w:t>.</w:t>
      </w:r>
    </w:p>
    <w:p w14:paraId="509775AC" w14:textId="3B6A2FCA" w:rsidR="0050200E" w:rsidRPr="0050200E" w:rsidRDefault="00000000" w:rsidP="0050200E">
      <w:pPr>
        <w:pStyle w:val="ListParagraph"/>
        <w:numPr>
          <w:ilvl w:val="0"/>
          <w:numId w:val="2"/>
        </w:numPr>
        <w:rPr>
          <w:rFonts w:ascii="Times New Roman" w:hAnsi="Times New Roman" w:cs="Times New Roman"/>
        </w:rPr>
      </w:pPr>
      <w:r w:rsidRPr="0050200E">
        <w:rPr>
          <w:rFonts w:ascii="Times New Roman" w:hAnsi="Times New Roman" w:cs="Times New Roman"/>
          <w:b/>
          <w:bCs/>
        </w:rPr>
        <w:t>Parcel Size.</w:t>
      </w:r>
      <w:r w:rsidRPr="0050200E">
        <w:rPr>
          <w:rFonts w:ascii="Times New Roman" w:hAnsi="Times New Roman" w:cs="Times New Roman"/>
        </w:rPr>
        <w:t xml:space="preserve"> The parcel map </w:t>
      </w:r>
      <w:r w:rsidR="009E32A7">
        <w:rPr>
          <w:rFonts w:ascii="Times New Roman" w:hAnsi="Times New Roman" w:cs="Times New Roman"/>
        </w:rPr>
        <w:t xml:space="preserve">must </w:t>
      </w:r>
      <w:r w:rsidRPr="0050200E">
        <w:rPr>
          <w:rFonts w:ascii="Times New Roman" w:hAnsi="Times New Roman" w:cs="Times New Roman"/>
        </w:rPr>
        <w:t xml:space="preserve">subdivide an existing parcel to create no more than two new parcels of approximately equal lot area, with neither resulting parcel exceeding 60 percent of the lot area of the original parcel. Additionally, both newly created parcels </w:t>
      </w:r>
      <w:r>
        <w:rPr>
          <w:rFonts w:ascii="Times New Roman" w:hAnsi="Times New Roman" w:cs="Times New Roman"/>
        </w:rPr>
        <w:t xml:space="preserve">must be at least </w:t>
      </w:r>
      <w:r w:rsidRPr="0050200E">
        <w:rPr>
          <w:rFonts w:ascii="Times New Roman" w:hAnsi="Times New Roman" w:cs="Times New Roman"/>
        </w:rPr>
        <w:t>1,200 square feet (unless the local agency adopts a smaller lot size).</w:t>
      </w:r>
    </w:p>
    <w:p w14:paraId="5D8A2465" w14:textId="799CFDB6" w:rsidR="0050200E" w:rsidRPr="0050200E" w:rsidRDefault="00000000" w:rsidP="0050200E">
      <w:pPr>
        <w:pStyle w:val="ListParagraph"/>
        <w:numPr>
          <w:ilvl w:val="0"/>
          <w:numId w:val="2"/>
        </w:numPr>
        <w:rPr>
          <w:rFonts w:ascii="Times New Roman" w:hAnsi="Times New Roman" w:cs="Times New Roman"/>
        </w:rPr>
      </w:pPr>
      <w:r w:rsidRPr="0050200E">
        <w:rPr>
          <w:rFonts w:ascii="Times New Roman" w:hAnsi="Times New Roman" w:cs="Times New Roman"/>
          <w:b/>
          <w:bCs/>
        </w:rPr>
        <w:t xml:space="preserve">No Prior SB 9 Lot Split. </w:t>
      </w:r>
      <w:r w:rsidRPr="0050200E">
        <w:rPr>
          <w:rFonts w:ascii="Times New Roman" w:hAnsi="Times New Roman" w:cs="Times New Roman"/>
        </w:rPr>
        <w:t xml:space="preserve">The </w:t>
      </w:r>
      <w:r>
        <w:rPr>
          <w:rFonts w:ascii="Times New Roman" w:hAnsi="Times New Roman" w:cs="Times New Roman"/>
        </w:rPr>
        <w:t xml:space="preserve">parcel </w:t>
      </w:r>
      <w:r w:rsidRPr="0050200E">
        <w:rPr>
          <w:rFonts w:ascii="Times New Roman" w:hAnsi="Times New Roman" w:cs="Times New Roman"/>
        </w:rPr>
        <w:t xml:space="preserve">to be split </w:t>
      </w:r>
      <w:r w:rsidR="009E32A7">
        <w:rPr>
          <w:rFonts w:ascii="Times New Roman" w:hAnsi="Times New Roman" w:cs="Times New Roman"/>
        </w:rPr>
        <w:t>may</w:t>
      </w:r>
      <w:r w:rsidR="009E32A7" w:rsidRPr="0050200E">
        <w:rPr>
          <w:rFonts w:ascii="Times New Roman" w:hAnsi="Times New Roman" w:cs="Times New Roman"/>
        </w:rPr>
        <w:t xml:space="preserve"> </w:t>
      </w:r>
      <w:r w:rsidRPr="0050200E">
        <w:rPr>
          <w:rFonts w:ascii="Times New Roman" w:hAnsi="Times New Roman" w:cs="Times New Roman"/>
        </w:rPr>
        <w:t xml:space="preserve">not </w:t>
      </w:r>
      <w:r w:rsidR="009E32A7">
        <w:rPr>
          <w:rFonts w:ascii="Times New Roman" w:hAnsi="Times New Roman" w:cs="Times New Roman"/>
        </w:rPr>
        <w:t xml:space="preserve">have been </w:t>
      </w:r>
      <w:r w:rsidRPr="0050200E">
        <w:rPr>
          <w:rFonts w:ascii="Times New Roman" w:hAnsi="Times New Roman" w:cs="Times New Roman"/>
        </w:rPr>
        <w:t xml:space="preserve">established through a prior SB 9 lot split. </w:t>
      </w:r>
      <w:r>
        <w:rPr>
          <w:rFonts w:ascii="Times New Roman" w:hAnsi="Times New Roman" w:cs="Times New Roman"/>
        </w:rPr>
        <w:t xml:space="preserve">Neither </w:t>
      </w:r>
      <w:r w:rsidRPr="0050200E">
        <w:rPr>
          <w:rFonts w:ascii="Times New Roman" w:hAnsi="Times New Roman" w:cs="Times New Roman"/>
        </w:rPr>
        <w:t xml:space="preserve">the owner nor anyone acting in concert with the owner </w:t>
      </w:r>
      <w:r w:rsidR="009E32A7">
        <w:rPr>
          <w:rFonts w:ascii="Times New Roman" w:hAnsi="Times New Roman" w:cs="Times New Roman"/>
        </w:rPr>
        <w:t>may have</w:t>
      </w:r>
      <w:r w:rsidR="009E32A7" w:rsidRPr="0050200E">
        <w:rPr>
          <w:rFonts w:ascii="Times New Roman" w:hAnsi="Times New Roman" w:cs="Times New Roman"/>
        </w:rPr>
        <w:t xml:space="preserve"> </w:t>
      </w:r>
      <w:r w:rsidRPr="0050200E">
        <w:rPr>
          <w:rFonts w:ascii="Times New Roman" w:hAnsi="Times New Roman" w:cs="Times New Roman"/>
        </w:rPr>
        <w:t xml:space="preserve">previously subdivided an adjacent parcel </w:t>
      </w:r>
      <w:r>
        <w:rPr>
          <w:rFonts w:ascii="Times New Roman" w:hAnsi="Times New Roman" w:cs="Times New Roman"/>
        </w:rPr>
        <w:t xml:space="preserve">using an </w:t>
      </w:r>
      <w:r w:rsidRPr="0050200E">
        <w:rPr>
          <w:rFonts w:ascii="Times New Roman" w:hAnsi="Times New Roman" w:cs="Times New Roman"/>
        </w:rPr>
        <w:t xml:space="preserve">SB 9 lot split. </w:t>
      </w:r>
    </w:p>
    <w:p w14:paraId="17A31986" w14:textId="16BE2056" w:rsidR="0050200E" w:rsidRPr="0050200E" w:rsidRDefault="00000000" w:rsidP="0050200E">
      <w:pPr>
        <w:pStyle w:val="ListParagraph"/>
        <w:numPr>
          <w:ilvl w:val="0"/>
          <w:numId w:val="2"/>
        </w:numPr>
        <w:rPr>
          <w:rFonts w:ascii="Times New Roman" w:hAnsi="Times New Roman" w:cs="Times New Roman"/>
        </w:rPr>
      </w:pPr>
      <w:r w:rsidRPr="0050200E">
        <w:rPr>
          <w:rFonts w:ascii="Times New Roman" w:hAnsi="Times New Roman" w:cs="Times New Roman"/>
          <w:b/>
          <w:bCs/>
        </w:rPr>
        <w:t xml:space="preserve">Subdivision Map Requirements. </w:t>
      </w:r>
      <w:r w:rsidRPr="0050200E">
        <w:rPr>
          <w:rFonts w:ascii="Times New Roman" w:hAnsi="Times New Roman" w:cs="Times New Roman"/>
        </w:rPr>
        <w:t xml:space="preserve">The urban lot split </w:t>
      </w:r>
      <w:r w:rsidR="00706CC1">
        <w:rPr>
          <w:rFonts w:ascii="Times New Roman" w:hAnsi="Times New Roman" w:cs="Times New Roman"/>
        </w:rPr>
        <w:t xml:space="preserve">must </w:t>
      </w:r>
      <w:r w:rsidRPr="0050200E">
        <w:rPr>
          <w:rFonts w:ascii="Times New Roman" w:hAnsi="Times New Roman" w:cs="Times New Roman"/>
        </w:rPr>
        <w:t xml:space="preserve">conform to all applicable objective requirements of the Subdivision Map Act, except </w:t>
      </w:r>
      <w:r w:rsidR="0005603F">
        <w:rPr>
          <w:rFonts w:ascii="Times New Roman" w:hAnsi="Times New Roman" w:cs="Times New Roman"/>
        </w:rPr>
        <w:t>those that conflict with SB 9 requirements.</w:t>
      </w:r>
    </w:p>
    <w:p w14:paraId="6716F38F" w14:textId="5821551C" w:rsidR="0050200E" w:rsidRPr="0050200E" w:rsidRDefault="00000000" w:rsidP="0050200E">
      <w:pPr>
        <w:pStyle w:val="ListParagraph"/>
        <w:numPr>
          <w:ilvl w:val="0"/>
          <w:numId w:val="2"/>
        </w:numPr>
        <w:rPr>
          <w:rFonts w:ascii="Times New Roman" w:hAnsi="Times New Roman" w:cs="Times New Roman"/>
        </w:rPr>
      </w:pPr>
      <w:r w:rsidRPr="0050200E">
        <w:rPr>
          <w:rFonts w:ascii="Times New Roman" w:hAnsi="Times New Roman" w:cs="Times New Roman"/>
          <w:b/>
          <w:bCs/>
        </w:rPr>
        <w:t>Protected Units.</w:t>
      </w:r>
      <w:r w:rsidRPr="0050200E">
        <w:rPr>
          <w:rFonts w:ascii="Times New Roman" w:hAnsi="Times New Roman" w:cs="Times New Roman"/>
        </w:rPr>
        <w:t xml:space="preserve"> The urban lot split may not result in the demolition or alteration of affordable housing, rent-controlled housing, housing that was withdrawn from the rental market in the last </w:t>
      </w:r>
      <w:r w:rsidR="00164C47" w:rsidRPr="0050200E">
        <w:rPr>
          <w:rFonts w:ascii="Times New Roman" w:hAnsi="Times New Roman" w:cs="Times New Roman"/>
        </w:rPr>
        <w:t>1</w:t>
      </w:r>
      <w:r w:rsidR="00164C47">
        <w:rPr>
          <w:rFonts w:ascii="Times New Roman" w:hAnsi="Times New Roman" w:cs="Times New Roman"/>
        </w:rPr>
        <w:t xml:space="preserve">5 </w:t>
      </w:r>
      <w:r w:rsidRPr="0050200E">
        <w:rPr>
          <w:rFonts w:ascii="Times New Roman" w:hAnsi="Times New Roman" w:cs="Times New Roman"/>
        </w:rPr>
        <w:t xml:space="preserve">years, or housing occupied by a tenant in the past 3 years. </w:t>
      </w:r>
    </w:p>
    <w:p w14:paraId="768A9288" w14:textId="7E9B2F66" w:rsidR="0050200E" w:rsidRPr="0050200E" w:rsidRDefault="00000000" w:rsidP="0050200E">
      <w:pPr>
        <w:pStyle w:val="ListParagraph"/>
        <w:numPr>
          <w:ilvl w:val="0"/>
          <w:numId w:val="2"/>
        </w:numPr>
        <w:rPr>
          <w:rFonts w:ascii="Times New Roman" w:hAnsi="Times New Roman" w:cs="Times New Roman"/>
        </w:rPr>
      </w:pPr>
      <w:r w:rsidRPr="0050200E">
        <w:rPr>
          <w:rFonts w:ascii="Times New Roman" w:hAnsi="Times New Roman" w:cs="Times New Roman"/>
          <w:b/>
          <w:bCs/>
        </w:rPr>
        <w:t>Owner-Occupancy Affidavit.</w:t>
      </w:r>
      <w:r w:rsidRPr="0050200E">
        <w:rPr>
          <w:rFonts w:ascii="Times New Roman" w:hAnsi="Times New Roman" w:cs="Times New Roman"/>
        </w:rPr>
        <w:t xml:space="preserve"> The applicant </w:t>
      </w:r>
      <w:r w:rsidR="00706CC1">
        <w:rPr>
          <w:rFonts w:ascii="Times New Roman" w:hAnsi="Times New Roman" w:cs="Times New Roman"/>
        </w:rPr>
        <w:t>must</w:t>
      </w:r>
      <w:r w:rsidR="00706CC1" w:rsidRPr="0050200E">
        <w:rPr>
          <w:rFonts w:ascii="Times New Roman" w:hAnsi="Times New Roman" w:cs="Times New Roman"/>
        </w:rPr>
        <w:t xml:space="preserve"> </w:t>
      </w:r>
      <w:r w:rsidRPr="0050200E">
        <w:rPr>
          <w:rFonts w:ascii="Times New Roman" w:hAnsi="Times New Roman" w:cs="Times New Roman"/>
        </w:rPr>
        <w:t xml:space="preserve">indicate, by affidavit, </w:t>
      </w:r>
      <w:r w:rsidR="00706CC1">
        <w:rPr>
          <w:rFonts w:ascii="Times New Roman" w:hAnsi="Times New Roman" w:cs="Times New Roman"/>
        </w:rPr>
        <w:t>the applicant’s intention</w:t>
      </w:r>
      <w:r w:rsidRPr="0050200E">
        <w:rPr>
          <w:rFonts w:ascii="Times New Roman" w:hAnsi="Times New Roman" w:cs="Times New Roman"/>
        </w:rPr>
        <w:t xml:space="preserve"> to reside in one of the units built on either parcel for at least three years. This requirement does </w:t>
      </w:r>
      <w:r w:rsidRPr="0050200E">
        <w:rPr>
          <w:rFonts w:ascii="Times New Roman" w:hAnsi="Times New Roman" w:cs="Times New Roman"/>
        </w:rPr>
        <w:lastRenderedPageBreak/>
        <w:t>not apply if the applicant is a qualified non-profit or community land trust.</w:t>
      </w:r>
      <w:r w:rsidR="00164C47">
        <w:rPr>
          <w:rFonts w:ascii="Times New Roman" w:hAnsi="Times New Roman" w:cs="Times New Roman"/>
        </w:rPr>
        <w:t xml:space="preserve"> A local agency may not impose any additional owner occupancy requirements on units built on a SB 9 lot. </w:t>
      </w:r>
    </w:p>
    <w:p w14:paraId="3D246697" w14:textId="5DDE2450" w:rsidR="0050200E" w:rsidRDefault="00000000" w:rsidP="0050200E">
      <w:pPr>
        <w:pStyle w:val="ListParagraph"/>
        <w:numPr>
          <w:ilvl w:val="0"/>
          <w:numId w:val="2"/>
        </w:numPr>
        <w:rPr>
          <w:rFonts w:ascii="Times New Roman" w:hAnsi="Times New Roman" w:cs="Times New Roman"/>
        </w:rPr>
      </w:pPr>
      <w:r w:rsidRPr="0050200E">
        <w:rPr>
          <w:rFonts w:ascii="Times New Roman" w:hAnsi="Times New Roman" w:cs="Times New Roman"/>
          <w:b/>
          <w:bCs/>
        </w:rPr>
        <w:t>Residential Uses.</w:t>
      </w:r>
      <w:r w:rsidRPr="0050200E">
        <w:rPr>
          <w:rFonts w:ascii="Times New Roman" w:hAnsi="Times New Roman" w:cs="Times New Roman"/>
        </w:rPr>
        <w:t xml:space="preserve"> Any units constructed on a parcel created through via </w:t>
      </w:r>
      <w:r w:rsidR="0005603F">
        <w:rPr>
          <w:rFonts w:ascii="Times New Roman" w:hAnsi="Times New Roman" w:cs="Times New Roman"/>
        </w:rPr>
        <w:t xml:space="preserve">SB 9 </w:t>
      </w:r>
      <w:r w:rsidRPr="0050200E">
        <w:rPr>
          <w:rFonts w:ascii="Times New Roman" w:hAnsi="Times New Roman" w:cs="Times New Roman"/>
        </w:rPr>
        <w:t>must be used for residential purposes and cannot be used for short-term rentals of less than 30 days.</w:t>
      </w:r>
    </w:p>
    <w:p w14:paraId="380EBF15" w14:textId="5F155BF5" w:rsidR="0005603F" w:rsidRPr="0005603F" w:rsidRDefault="00000000" w:rsidP="0005603F">
      <w:pPr>
        <w:rPr>
          <w:rFonts w:ascii="Times New Roman" w:hAnsi="Times New Roman" w:cs="Times New Roman"/>
        </w:rPr>
      </w:pPr>
      <w:r w:rsidRPr="0005603F">
        <w:rPr>
          <w:rFonts w:ascii="Times New Roman" w:hAnsi="Times New Roman" w:cs="Times New Roman"/>
        </w:rPr>
        <w:t xml:space="preserve">A </w:t>
      </w:r>
      <w:r>
        <w:rPr>
          <w:rFonts w:ascii="Times New Roman" w:hAnsi="Times New Roman" w:cs="Times New Roman"/>
        </w:rPr>
        <w:t>parcel map application for an urban lot split</w:t>
      </w:r>
      <w:r w:rsidRPr="0005603F">
        <w:rPr>
          <w:rFonts w:ascii="Times New Roman" w:hAnsi="Times New Roman" w:cs="Times New Roman"/>
        </w:rPr>
        <w:t xml:space="preserve"> that meets these criteria and otherwise qualifies for the SB 9's ministerial process is exempt from the provisions of the California Environmental Quality Act</w:t>
      </w:r>
      <w:r w:rsidR="00706CC1">
        <w:rPr>
          <w:rFonts w:ascii="Times New Roman" w:hAnsi="Times New Roman" w:cs="Times New Roman"/>
        </w:rPr>
        <w:t>, as is an ordinance implementing these provisions</w:t>
      </w:r>
      <w:r w:rsidRPr="0005603F">
        <w:rPr>
          <w:rFonts w:ascii="Times New Roman" w:hAnsi="Times New Roman" w:cs="Times New Roman"/>
        </w:rPr>
        <w:t xml:space="preserve">. </w:t>
      </w:r>
      <w:r>
        <w:rPr>
          <w:rFonts w:ascii="Times New Roman" w:hAnsi="Times New Roman" w:cs="Times New Roman"/>
        </w:rPr>
        <w:t xml:space="preserve">The </w:t>
      </w:r>
      <w:r w:rsidRPr="0005603F">
        <w:rPr>
          <w:rFonts w:ascii="Times New Roman" w:hAnsi="Times New Roman" w:cs="Times New Roman"/>
        </w:rPr>
        <w:t>provisions of the California Coastal Act of 1976 are applicable to SB 9</w:t>
      </w:r>
      <w:r>
        <w:rPr>
          <w:rFonts w:ascii="Times New Roman" w:hAnsi="Times New Roman" w:cs="Times New Roman"/>
        </w:rPr>
        <w:t xml:space="preserve"> urban lot splits</w:t>
      </w:r>
      <w:r w:rsidRPr="0005603F">
        <w:rPr>
          <w:rFonts w:ascii="Times New Roman" w:hAnsi="Times New Roman" w:cs="Times New Roman"/>
        </w:rPr>
        <w:t>, except that a local agency is not required to hold a public hearing for coastal development permit applications.</w:t>
      </w:r>
    </w:p>
    <w:p w14:paraId="4B05F3B2" w14:textId="35C78905" w:rsidR="0050200E" w:rsidRDefault="00000000" w:rsidP="0005603F">
      <w:pPr>
        <w:rPr>
          <w:rFonts w:ascii="Times New Roman" w:hAnsi="Times New Roman" w:cs="Times New Roman"/>
        </w:rPr>
      </w:pPr>
      <w:r>
        <w:rPr>
          <w:rFonts w:ascii="Times New Roman" w:hAnsi="Times New Roman" w:cs="Times New Roman"/>
        </w:rPr>
        <w:t>As with two-unit developments under SB 9</w:t>
      </w:r>
      <w:r w:rsidRPr="0005603F">
        <w:rPr>
          <w:rFonts w:ascii="Times New Roman" w:hAnsi="Times New Roman" w:cs="Times New Roman"/>
        </w:rPr>
        <w:t>, a local agency may impose objective zoning standards, objective subdivision standards, and objective design review standards</w:t>
      </w:r>
      <w:r>
        <w:rPr>
          <w:rFonts w:ascii="Times New Roman" w:hAnsi="Times New Roman" w:cs="Times New Roman"/>
        </w:rPr>
        <w:t xml:space="preserve"> to an SB 9 urban lot split</w:t>
      </w:r>
      <w:r w:rsidRPr="0005603F">
        <w:rPr>
          <w:rFonts w:ascii="Times New Roman" w:hAnsi="Times New Roman" w:cs="Times New Roman"/>
        </w:rPr>
        <w:t>, so long as those standards do not conflict with the limitations imposed by SB 9 and would not physically preclude the construction of up to two units of at least 800 square feet each.</w:t>
      </w:r>
      <w:r w:rsidR="001C7E47">
        <w:rPr>
          <w:rFonts w:ascii="Times New Roman" w:hAnsi="Times New Roman" w:cs="Times New Roman"/>
        </w:rPr>
        <w:t xml:space="preserve"> Other limitations in SB 9 include:</w:t>
      </w:r>
    </w:p>
    <w:p w14:paraId="470983E3" w14:textId="37935B26" w:rsidR="001C7E47" w:rsidRPr="00837FE4" w:rsidRDefault="00000000" w:rsidP="001C7E47">
      <w:pPr>
        <w:pStyle w:val="ListParagraph"/>
        <w:numPr>
          <w:ilvl w:val="0"/>
          <w:numId w:val="3"/>
        </w:numPr>
        <w:rPr>
          <w:rFonts w:ascii="Times New Roman" w:hAnsi="Times New Roman" w:cs="Times New Roman"/>
        </w:rPr>
      </w:pPr>
      <w:r w:rsidRPr="00837FE4">
        <w:rPr>
          <w:rFonts w:ascii="Times New Roman" w:hAnsi="Times New Roman" w:cs="Times New Roman"/>
          <w:b/>
          <w:bCs/>
        </w:rPr>
        <w:t xml:space="preserve">Setbacks. </w:t>
      </w:r>
      <w:r w:rsidR="00904D44">
        <w:rPr>
          <w:rFonts w:ascii="Times New Roman" w:hAnsi="Times New Roman" w:cs="Times New Roman"/>
        </w:rPr>
        <w:t xml:space="preserve">A local agency may require four-foot rear and side </w:t>
      </w:r>
      <w:proofErr w:type="gramStart"/>
      <w:r w:rsidR="00904D44">
        <w:rPr>
          <w:rFonts w:ascii="Times New Roman" w:hAnsi="Times New Roman" w:cs="Times New Roman"/>
        </w:rPr>
        <w:t>setbacks,</w:t>
      </w:r>
      <w:proofErr w:type="gramEnd"/>
      <w:r w:rsidR="00904D44">
        <w:rPr>
          <w:rFonts w:ascii="Times New Roman" w:hAnsi="Times New Roman" w:cs="Times New Roman"/>
        </w:rPr>
        <w:t xml:space="preserve"> However, n</w:t>
      </w:r>
      <w:r w:rsidR="00904D44" w:rsidRPr="00837FE4">
        <w:rPr>
          <w:rFonts w:ascii="Times New Roman" w:hAnsi="Times New Roman" w:cs="Times New Roman"/>
        </w:rPr>
        <w:t>o setback may be required for a unit constructed (1) within an existing living area, or (2) in the same location and to the same dimensions as an existing structure.</w:t>
      </w:r>
    </w:p>
    <w:p w14:paraId="53156F29" w14:textId="25E5863B" w:rsidR="001C7E47" w:rsidRDefault="00000000" w:rsidP="001C7E47">
      <w:pPr>
        <w:pStyle w:val="ListParagraph"/>
        <w:numPr>
          <w:ilvl w:val="0"/>
          <w:numId w:val="3"/>
        </w:numPr>
        <w:rPr>
          <w:rFonts w:ascii="Times New Roman" w:hAnsi="Times New Roman" w:cs="Times New Roman"/>
        </w:rPr>
      </w:pPr>
      <w:r w:rsidRPr="00837FE4">
        <w:rPr>
          <w:rFonts w:ascii="Times New Roman" w:hAnsi="Times New Roman" w:cs="Times New Roman"/>
          <w:b/>
          <w:bCs/>
        </w:rPr>
        <w:t xml:space="preserve">Parking Requirements. </w:t>
      </w:r>
      <w:r w:rsidRPr="00837FE4">
        <w:rPr>
          <w:rFonts w:ascii="Times New Roman" w:hAnsi="Times New Roman" w:cs="Times New Roman"/>
        </w:rPr>
        <w:t>A local agency may only require one off-street parking space per unit</w:t>
      </w:r>
      <w:r>
        <w:rPr>
          <w:rFonts w:ascii="Times New Roman" w:hAnsi="Times New Roman" w:cs="Times New Roman"/>
        </w:rPr>
        <w:t xml:space="preserve">. </w:t>
      </w:r>
      <w:r w:rsidRPr="00837FE4">
        <w:rPr>
          <w:rFonts w:ascii="Times New Roman" w:hAnsi="Times New Roman" w:cs="Times New Roman"/>
        </w:rPr>
        <w:t xml:space="preserve"> </w:t>
      </w:r>
      <w:r>
        <w:rPr>
          <w:rFonts w:ascii="Times New Roman" w:hAnsi="Times New Roman" w:cs="Times New Roman"/>
        </w:rPr>
        <w:t xml:space="preserve">No parking requirements may be imposed </w:t>
      </w:r>
      <w:r w:rsidRPr="00837FE4">
        <w:rPr>
          <w:rFonts w:ascii="Times New Roman" w:hAnsi="Times New Roman" w:cs="Times New Roman"/>
        </w:rPr>
        <w:t xml:space="preserve">if the parcel is located within (1) one-half mile walking distance of either a </w:t>
      </w:r>
      <w:r>
        <w:rPr>
          <w:rFonts w:ascii="Times New Roman" w:hAnsi="Times New Roman" w:cs="Times New Roman"/>
        </w:rPr>
        <w:t>statutorily</w:t>
      </w:r>
      <w:r w:rsidR="00706CC1">
        <w:rPr>
          <w:rFonts w:ascii="Times New Roman" w:hAnsi="Times New Roman" w:cs="Times New Roman"/>
        </w:rPr>
        <w:t xml:space="preserve"> </w:t>
      </w:r>
      <w:r>
        <w:rPr>
          <w:rFonts w:ascii="Times New Roman" w:hAnsi="Times New Roman" w:cs="Times New Roman"/>
        </w:rPr>
        <w:t xml:space="preserve">defined </w:t>
      </w:r>
      <w:r w:rsidRPr="00837FE4">
        <w:rPr>
          <w:rFonts w:ascii="Times New Roman" w:hAnsi="Times New Roman" w:cs="Times New Roman"/>
        </w:rPr>
        <w:t>high-quali</w:t>
      </w:r>
      <w:r w:rsidR="008713BB">
        <w:rPr>
          <w:rFonts w:ascii="Times New Roman" w:hAnsi="Times New Roman" w:cs="Times New Roman"/>
        </w:rPr>
        <w:t>t</w:t>
      </w:r>
      <w:r w:rsidRPr="00837FE4">
        <w:rPr>
          <w:rFonts w:ascii="Times New Roman" w:hAnsi="Times New Roman" w:cs="Times New Roman"/>
        </w:rPr>
        <w:t xml:space="preserve">y transit corridor or major transit stop, or (2) one block of a car share vehicle. </w:t>
      </w:r>
    </w:p>
    <w:p w14:paraId="50E7D1C8" w14:textId="3CE6476A" w:rsidR="001C7E47" w:rsidRPr="001C7E47" w:rsidRDefault="00000000" w:rsidP="001C7E47">
      <w:pPr>
        <w:pStyle w:val="ListParagraph"/>
        <w:numPr>
          <w:ilvl w:val="0"/>
          <w:numId w:val="3"/>
        </w:numPr>
        <w:rPr>
          <w:rFonts w:ascii="Times New Roman" w:hAnsi="Times New Roman" w:cs="Times New Roman"/>
        </w:rPr>
      </w:pPr>
      <w:r w:rsidRPr="001C7E47">
        <w:rPr>
          <w:rFonts w:ascii="Times New Roman" w:hAnsi="Times New Roman" w:cs="Times New Roman"/>
          <w:b/>
          <w:bCs/>
        </w:rPr>
        <w:t>Easements, Access, and Dedications.</w:t>
      </w:r>
      <w:r w:rsidRPr="001C7E47">
        <w:rPr>
          <w:rFonts w:ascii="Times New Roman" w:hAnsi="Times New Roman" w:cs="Times New Roman"/>
        </w:rPr>
        <w:t xml:space="preserve"> A local agency may require an application for a parcel map for an urban lot split to include easements necessary for the provision of public services and facilities. The local agency may also require that the resulting parcels have access to, provide access to, or adjoin the public right-of-way. The local agency may not require dedications of rights-of-way or construction of offsite improvements. </w:t>
      </w:r>
    </w:p>
    <w:p w14:paraId="7DEF350B" w14:textId="3E970242" w:rsidR="00841A69" w:rsidRDefault="00000000" w:rsidP="00841A69">
      <w:pPr>
        <w:pStyle w:val="ListParagraph"/>
        <w:numPr>
          <w:ilvl w:val="0"/>
          <w:numId w:val="3"/>
        </w:numPr>
        <w:rPr>
          <w:rFonts w:ascii="Times New Roman" w:hAnsi="Times New Roman" w:cs="Times New Roman"/>
        </w:rPr>
      </w:pPr>
      <w:r w:rsidRPr="001C7E47">
        <w:rPr>
          <w:rFonts w:ascii="Times New Roman" w:hAnsi="Times New Roman" w:cs="Times New Roman"/>
          <w:b/>
          <w:bCs/>
        </w:rPr>
        <w:t xml:space="preserve">Number of Units; ADUs and JADUs. </w:t>
      </w:r>
      <w:r w:rsidRPr="001C7E47">
        <w:rPr>
          <w:rFonts w:ascii="Times New Roman" w:hAnsi="Times New Roman" w:cs="Times New Roman"/>
        </w:rPr>
        <w:t xml:space="preserve"> Notwithstanding the provisions of Gov</w:t>
      </w:r>
      <w:r>
        <w:rPr>
          <w:rFonts w:ascii="Times New Roman" w:hAnsi="Times New Roman" w:cs="Times New Roman"/>
        </w:rPr>
        <w:t>ernment Code Sections</w:t>
      </w:r>
      <w:r w:rsidRPr="001C7E47">
        <w:rPr>
          <w:rFonts w:ascii="Times New Roman" w:hAnsi="Times New Roman" w:cs="Times New Roman"/>
        </w:rPr>
        <w:t xml:space="preserve"> 65852.1, 65852.21, 65852.22, and 65915, a local agency is not required to permit more than two units on any parcel created through the authority</w:t>
      </w:r>
      <w:r>
        <w:rPr>
          <w:rFonts w:ascii="Times New Roman" w:hAnsi="Times New Roman" w:cs="Times New Roman"/>
        </w:rPr>
        <w:t xml:space="preserve"> in SB 9, inclusive of any accessory dwelling units or junior accessory dwelling units.</w:t>
      </w:r>
    </w:p>
    <w:p w14:paraId="50142606" w14:textId="66290588" w:rsidR="00AB0D9F" w:rsidRPr="00AB0D9F" w:rsidRDefault="00000000" w:rsidP="00AB0D9F">
      <w:pPr>
        <w:pStyle w:val="ListParagraph"/>
        <w:numPr>
          <w:ilvl w:val="0"/>
          <w:numId w:val="3"/>
        </w:numPr>
        <w:rPr>
          <w:rFonts w:ascii="Times New Roman" w:hAnsi="Times New Roman" w:cs="Times New Roman"/>
        </w:rPr>
      </w:pPr>
      <w:r>
        <w:rPr>
          <w:rFonts w:ascii="Times New Roman" w:hAnsi="Times New Roman" w:cs="Times New Roman"/>
          <w:b/>
          <w:bCs/>
        </w:rPr>
        <w:t>Adjacent or Connected Structures.</w:t>
      </w:r>
      <w:r>
        <w:rPr>
          <w:rFonts w:ascii="Times New Roman" w:hAnsi="Times New Roman" w:cs="Times New Roman"/>
        </w:rPr>
        <w:t xml:space="preserve"> A local agency may not deny an application for </w:t>
      </w:r>
      <w:r w:rsidR="00572055">
        <w:rPr>
          <w:rFonts w:ascii="Times New Roman" w:hAnsi="Times New Roman" w:cs="Times New Roman"/>
        </w:rPr>
        <w:t xml:space="preserve">an urban lot split </w:t>
      </w:r>
      <w:r>
        <w:rPr>
          <w:rFonts w:ascii="Times New Roman" w:hAnsi="Times New Roman" w:cs="Times New Roman"/>
        </w:rPr>
        <w:t>solely because it proposes adjacent or connected structures, as long as the structures meet building code safety standards and are sufficient to allow separate conveyance.</w:t>
      </w:r>
    </w:p>
    <w:p w14:paraId="27591212" w14:textId="4EC61264" w:rsidR="00E51B71" w:rsidRPr="00E51B71" w:rsidRDefault="00000000" w:rsidP="00E51B71">
      <w:pPr>
        <w:rPr>
          <w:rFonts w:ascii="Times New Roman" w:hAnsi="Times New Roman" w:cs="Times New Roman"/>
        </w:rPr>
      </w:pPr>
      <w:r>
        <w:rPr>
          <w:rFonts w:ascii="Times New Roman" w:hAnsi="Times New Roman" w:cs="Times New Roman"/>
        </w:rPr>
        <w:t xml:space="preserve">The standard for denying an application for a parcel map for an urban lot split is the same as for denying an SB 9 two-unit development – the </w:t>
      </w:r>
      <w:r w:rsidRPr="00841A69">
        <w:rPr>
          <w:rFonts w:ascii="Times New Roman" w:hAnsi="Times New Roman" w:cs="Times New Roman"/>
        </w:rPr>
        <w:t>local building official m</w:t>
      </w:r>
      <w:r>
        <w:rPr>
          <w:rFonts w:ascii="Times New Roman" w:hAnsi="Times New Roman" w:cs="Times New Roman"/>
        </w:rPr>
        <w:t>ust make</w:t>
      </w:r>
      <w:r w:rsidRPr="00841A69">
        <w:rPr>
          <w:rFonts w:ascii="Times New Roman" w:hAnsi="Times New Roman" w:cs="Times New Roman"/>
        </w:rPr>
        <w:t xml:space="preserve"> a written finding, based on a preponderance of the evidence, that the proposed housing development project would have a specific, adverse impact upon public health and safety, or the physical environment, and there is no feasible method by which to satisfactorily mitigate the adverse impact. </w:t>
      </w:r>
    </w:p>
    <w:p w14:paraId="0F2EF462" w14:textId="7584485E" w:rsidR="00737AEB" w:rsidRPr="00737AEB" w:rsidRDefault="00000000" w:rsidP="005F6F8E">
      <w:pPr>
        <w:pStyle w:val="ListParagraph"/>
        <w:keepNext/>
        <w:numPr>
          <w:ilvl w:val="0"/>
          <w:numId w:val="1"/>
        </w:numPr>
        <w:rPr>
          <w:rFonts w:ascii="Times New Roman" w:hAnsi="Times New Roman" w:cs="Times New Roman"/>
          <w:b/>
          <w:bCs/>
        </w:rPr>
      </w:pPr>
      <w:r>
        <w:rPr>
          <w:rFonts w:ascii="Times New Roman" w:hAnsi="Times New Roman" w:cs="Times New Roman"/>
          <w:b/>
          <w:bCs/>
        </w:rPr>
        <w:t>Government Code Section 66452.6 – Subdivision Map Act Amendment</w:t>
      </w:r>
    </w:p>
    <w:p w14:paraId="5319A477" w14:textId="709A6BE4" w:rsidR="00737AEB" w:rsidRPr="009E32A7" w:rsidRDefault="00000000" w:rsidP="009E32A7">
      <w:pPr>
        <w:pStyle w:val="LawAlertNormal"/>
        <w:rPr>
          <w:rFonts w:ascii="Times New Roman" w:hAnsi="Times New Roman" w:cs="Times New Roman"/>
          <w:sz w:val="22"/>
          <w:szCs w:val="22"/>
        </w:rPr>
      </w:pPr>
      <w:r w:rsidRPr="00AB0D9F">
        <w:rPr>
          <w:rFonts w:ascii="Times New Roman" w:hAnsi="Times New Roman" w:cs="Times New Roman"/>
          <w:sz w:val="22"/>
          <w:szCs w:val="22"/>
        </w:rPr>
        <w:t>Currently, an approved or conditionally approved tentative map expires either 24 months after its approval, or after any additional period permitted by local ordinance, not to exceed an additional 12 months. SB 9 extends the limit on the additional period that may be provided by local ordinance from 12 to 24 months. Where local agencies adopt this change by ordinance, an approved or conditionally approved tentative map would expire up to 48 months after its approval</w:t>
      </w:r>
      <w:r w:rsidR="00706CC1">
        <w:rPr>
          <w:rFonts w:ascii="Times New Roman" w:hAnsi="Times New Roman" w:cs="Times New Roman"/>
          <w:sz w:val="22"/>
          <w:szCs w:val="22"/>
        </w:rPr>
        <w:t xml:space="preserve"> if it received a 24-month extension of approval</w:t>
      </w:r>
      <w:r w:rsidRPr="00AB0D9F">
        <w:rPr>
          <w:rFonts w:ascii="Times New Roman" w:hAnsi="Times New Roman" w:cs="Times New Roman"/>
          <w:sz w:val="22"/>
          <w:szCs w:val="22"/>
        </w:rPr>
        <w:t xml:space="preserve">. </w:t>
      </w:r>
    </w:p>
    <w:sectPr w:rsidR="00737AEB" w:rsidRPr="009E32A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5C387" w14:textId="77777777" w:rsidR="00DB512C" w:rsidRDefault="00DB512C">
      <w:pPr>
        <w:spacing w:after="0" w:line="240" w:lineRule="auto"/>
      </w:pPr>
      <w:r>
        <w:separator/>
      </w:r>
    </w:p>
  </w:endnote>
  <w:endnote w:type="continuationSeparator" w:id="0">
    <w:p w14:paraId="75CA4B14" w14:textId="77777777" w:rsidR="00DB512C" w:rsidRDefault="00DB5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otham Ligh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556F" w14:textId="77777777" w:rsidR="00572055" w:rsidRDefault="00572055">
    <w:pPr>
      <w:pStyle w:val="Footer"/>
    </w:pPr>
  </w:p>
  <w:p w14:paraId="70AE2EBB" w14:textId="0AA55698" w:rsidR="00572055" w:rsidRDefault="00000000" w:rsidP="00DF4A97">
    <w:pPr>
      <w:pStyle w:val="DocID"/>
    </w:pPr>
    <w:r>
      <w:t>2089\03\3237734.1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F6F7" w14:textId="77777777" w:rsidR="00572055" w:rsidRDefault="00572055">
    <w:pPr>
      <w:pStyle w:val="Footer"/>
    </w:pPr>
  </w:p>
  <w:p w14:paraId="717BA922" w14:textId="579BCC0D" w:rsidR="00572055" w:rsidRDefault="00235099" w:rsidP="00DF4A97">
    <w:pPr>
      <w:pStyle w:val="DocID"/>
    </w:pPr>
    <w:r>
      <w:t>Published December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27CF" w14:textId="77777777" w:rsidR="00572055" w:rsidRDefault="00572055">
    <w:pPr>
      <w:pStyle w:val="Footer"/>
    </w:pPr>
  </w:p>
  <w:p w14:paraId="6D800FF1" w14:textId="1B8F8554" w:rsidR="00572055" w:rsidRDefault="00000000" w:rsidP="00DF4A97">
    <w:pPr>
      <w:pStyle w:val="DocID"/>
    </w:pPr>
    <w:r>
      <w:t>2089\03\3237734.1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106DA" w14:textId="77777777" w:rsidR="00DB512C" w:rsidRDefault="00DB512C">
      <w:pPr>
        <w:spacing w:after="0" w:line="240" w:lineRule="auto"/>
      </w:pPr>
      <w:r>
        <w:separator/>
      </w:r>
    </w:p>
  </w:footnote>
  <w:footnote w:type="continuationSeparator" w:id="0">
    <w:p w14:paraId="7F837012" w14:textId="77777777" w:rsidR="00DB512C" w:rsidRDefault="00DB51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B392C"/>
    <w:multiLevelType w:val="hybridMultilevel"/>
    <w:tmpl w:val="271E15E8"/>
    <w:lvl w:ilvl="0" w:tplc="25A0EB30">
      <w:start w:val="1"/>
      <w:numFmt w:val="bullet"/>
      <w:lvlText w:val=""/>
      <w:lvlJc w:val="left"/>
      <w:pPr>
        <w:ind w:left="720" w:hanging="360"/>
      </w:pPr>
      <w:rPr>
        <w:rFonts w:ascii="Symbol" w:hAnsi="Symbol" w:hint="default"/>
      </w:rPr>
    </w:lvl>
    <w:lvl w:ilvl="1" w:tplc="3112098C" w:tentative="1">
      <w:start w:val="1"/>
      <w:numFmt w:val="bullet"/>
      <w:lvlText w:val="o"/>
      <w:lvlJc w:val="left"/>
      <w:pPr>
        <w:ind w:left="1440" w:hanging="360"/>
      </w:pPr>
      <w:rPr>
        <w:rFonts w:ascii="Courier New" w:hAnsi="Courier New" w:cs="Courier New" w:hint="default"/>
      </w:rPr>
    </w:lvl>
    <w:lvl w:ilvl="2" w:tplc="7A102DA6" w:tentative="1">
      <w:start w:val="1"/>
      <w:numFmt w:val="bullet"/>
      <w:lvlText w:val=""/>
      <w:lvlJc w:val="left"/>
      <w:pPr>
        <w:ind w:left="2160" w:hanging="360"/>
      </w:pPr>
      <w:rPr>
        <w:rFonts w:ascii="Wingdings" w:hAnsi="Wingdings" w:hint="default"/>
      </w:rPr>
    </w:lvl>
    <w:lvl w:ilvl="3" w:tplc="C8200592" w:tentative="1">
      <w:start w:val="1"/>
      <w:numFmt w:val="bullet"/>
      <w:lvlText w:val=""/>
      <w:lvlJc w:val="left"/>
      <w:pPr>
        <w:ind w:left="2880" w:hanging="360"/>
      </w:pPr>
      <w:rPr>
        <w:rFonts w:ascii="Symbol" w:hAnsi="Symbol" w:hint="default"/>
      </w:rPr>
    </w:lvl>
    <w:lvl w:ilvl="4" w:tplc="364ED542" w:tentative="1">
      <w:start w:val="1"/>
      <w:numFmt w:val="bullet"/>
      <w:lvlText w:val="o"/>
      <w:lvlJc w:val="left"/>
      <w:pPr>
        <w:ind w:left="3600" w:hanging="360"/>
      </w:pPr>
      <w:rPr>
        <w:rFonts w:ascii="Courier New" w:hAnsi="Courier New" w:cs="Courier New" w:hint="default"/>
      </w:rPr>
    </w:lvl>
    <w:lvl w:ilvl="5" w:tplc="BB403624" w:tentative="1">
      <w:start w:val="1"/>
      <w:numFmt w:val="bullet"/>
      <w:lvlText w:val=""/>
      <w:lvlJc w:val="left"/>
      <w:pPr>
        <w:ind w:left="4320" w:hanging="360"/>
      </w:pPr>
      <w:rPr>
        <w:rFonts w:ascii="Wingdings" w:hAnsi="Wingdings" w:hint="default"/>
      </w:rPr>
    </w:lvl>
    <w:lvl w:ilvl="6" w:tplc="63309836" w:tentative="1">
      <w:start w:val="1"/>
      <w:numFmt w:val="bullet"/>
      <w:lvlText w:val=""/>
      <w:lvlJc w:val="left"/>
      <w:pPr>
        <w:ind w:left="5040" w:hanging="360"/>
      </w:pPr>
      <w:rPr>
        <w:rFonts w:ascii="Symbol" w:hAnsi="Symbol" w:hint="default"/>
      </w:rPr>
    </w:lvl>
    <w:lvl w:ilvl="7" w:tplc="F03E13E6" w:tentative="1">
      <w:start w:val="1"/>
      <w:numFmt w:val="bullet"/>
      <w:lvlText w:val="o"/>
      <w:lvlJc w:val="left"/>
      <w:pPr>
        <w:ind w:left="5760" w:hanging="360"/>
      </w:pPr>
      <w:rPr>
        <w:rFonts w:ascii="Courier New" w:hAnsi="Courier New" w:cs="Courier New" w:hint="default"/>
      </w:rPr>
    </w:lvl>
    <w:lvl w:ilvl="8" w:tplc="DC44983A" w:tentative="1">
      <w:start w:val="1"/>
      <w:numFmt w:val="bullet"/>
      <w:lvlText w:val=""/>
      <w:lvlJc w:val="left"/>
      <w:pPr>
        <w:ind w:left="6480" w:hanging="360"/>
      </w:pPr>
      <w:rPr>
        <w:rFonts w:ascii="Wingdings" w:hAnsi="Wingdings" w:hint="default"/>
      </w:rPr>
    </w:lvl>
  </w:abstractNum>
  <w:abstractNum w:abstractNumId="1" w15:restartNumberingAfterBreak="0">
    <w:nsid w:val="40D5738E"/>
    <w:multiLevelType w:val="hybridMultilevel"/>
    <w:tmpl w:val="B7E8BA82"/>
    <w:lvl w:ilvl="0" w:tplc="391E9A7E">
      <w:start w:val="1"/>
      <w:numFmt w:val="bullet"/>
      <w:lvlText w:val=""/>
      <w:lvlJc w:val="left"/>
      <w:pPr>
        <w:ind w:left="720" w:hanging="360"/>
      </w:pPr>
      <w:rPr>
        <w:rFonts w:ascii="Symbol" w:hAnsi="Symbol" w:hint="default"/>
      </w:rPr>
    </w:lvl>
    <w:lvl w:ilvl="1" w:tplc="504C0B94" w:tentative="1">
      <w:start w:val="1"/>
      <w:numFmt w:val="bullet"/>
      <w:lvlText w:val="o"/>
      <w:lvlJc w:val="left"/>
      <w:pPr>
        <w:ind w:left="1440" w:hanging="360"/>
      </w:pPr>
      <w:rPr>
        <w:rFonts w:ascii="Courier New" w:hAnsi="Courier New" w:cs="Courier New" w:hint="default"/>
      </w:rPr>
    </w:lvl>
    <w:lvl w:ilvl="2" w:tplc="82AA1836" w:tentative="1">
      <w:start w:val="1"/>
      <w:numFmt w:val="bullet"/>
      <w:lvlText w:val=""/>
      <w:lvlJc w:val="left"/>
      <w:pPr>
        <w:ind w:left="2160" w:hanging="360"/>
      </w:pPr>
      <w:rPr>
        <w:rFonts w:ascii="Wingdings" w:hAnsi="Wingdings" w:hint="default"/>
      </w:rPr>
    </w:lvl>
    <w:lvl w:ilvl="3" w:tplc="3722A348" w:tentative="1">
      <w:start w:val="1"/>
      <w:numFmt w:val="bullet"/>
      <w:lvlText w:val=""/>
      <w:lvlJc w:val="left"/>
      <w:pPr>
        <w:ind w:left="2880" w:hanging="360"/>
      </w:pPr>
      <w:rPr>
        <w:rFonts w:ascii="Symbol" w:hAnsi="Symbol" w:hint="default"/>
      </w:rPr>
    </w:lvl>
    <w:lvl w:ilvl="4" w:tplc="9ABC84CC" w:tentative="1">
      <w:start w:val="1"/>
      <w:numFmt w:val="bullet"/>
      <w:lvlText w:val="o"/>
      <w:lvlJc w:val="left"/>
      <w:pPr>
        <w:ind w:left="3600" w:hanging="360"/>
      </w:pPr>
      <w:rPr>
        <w:rFonts w:ascii="Courier New" w:hAnsi="Courier New" w:cs="Courier New" w:hint="default"/>
      </w:rPr>
    </w:lvl>
    <w:lvl w:ilvl="5" w:tplc="F9A24D40" w:tentative="1">
      <w:start w:val="1"/>
      <w:numFmt w:val="bullet"/>
      <w:lvlText w:val=""/>
      <w:lvlJc w:val="left"/>
      <w:pPr>
        <w:ind w:left="4320" w:hanging="360"/>
      </w:pPr>
      <w:rPr>
        <w:rFonts w:ascii="Wingdings" w:hAnsi="Wingdings" w:hint="default"/>
      </w:rPr>
    </w:lvl>
    <w:lvl w:ilvl="6" w:tplc="0C14A966" w:tentative="1">
      <w:start w:val="1"/>
      <w:numFmt w:val="bullet"/>
      <w:lvlText w:val=""/>
      <w:lvlJc w:val="left"/>
      <w:pPr>
        <w:ind w:left="5040" w:hanging="360"/>
      </w:pPr>
      <w:rPr>
        <w:rFonts w:ascii="Symbol" w:hAnsi="Symbol" w:hint="default"/>
      </w:rPr>
    </w:lvl>
    <w:lvl w:ilvl="7" w:tplc="48F66652" w:tentative="1">
      <w:start w:val="1"/>
      <w:numFmt w:val="bullet"/>
      <w:lvlText w:val="o"/>
      <w:lvlJc w:val="left"/>
      <w:pPr>
        <w:ind w:left="5760" w:hanging="360"/>
      </w:pPr>
      <w:rPr>
        <w:rFonts w:ascii="Courier New" w:hAnsi="Courier New" w:cs="Courier New" w:hint="default"/>
      </w:rPr>
    </w:lvl>
    <w:lvl w:ilvl="8" w:tplc="BE50B128" w:tentative="1">
      <w:start w:val="1"/>
      <w:numFmt w:val="bullet"/>
      <w:lvlText w:val=""/>
      <w:lvlJc w:val="left"/>
      <w:pPr>
        <w:ind w:left="6480" w:hanging="360"/>
      </w:pPr>
      <w:rPr>
        <w:rFonts w:ascii="Wingdings" w:hAnsi="Wingdings" w:hint="default"/>
      </w:rPr>
    </w:lvl>
  </w:abstractNum>
  <w:abstractNum w:abstractNumId="2" w15:restartNumberingAfterBreak="0">
    <w:nsid w:val="495208A3"/>
    <w:multiLevelType w:val="hybridMultilevel"/>
    <w:tmpl w:val="F7E265FA"/>
    <w:lvl w:ilvl="0" w:tplc="F69C56CA">
      <w:start w:val="1"/>
      <w:numFmt w:val="upperRoman"/>
      <w:lvlText w:val="%1."/>
      <w:lvlJc w:val="right"/>
      <w:pPr>
        <w:ind w:left="720" w:hanging="360"/>
      </w:pPr>
    </w:lvl>
    <w:lvl w:ilvl="1" w:tplc="0D9EE040" w:tentative="1">
      <w:start w:val="1"/>
      <w:numFmt w:val="lowerLetter"/>
      <w:lvlText w:val="%2."/>
      <w:lvlJc w:val="left"/>
      <w:pPr>
        <w:ind w:left="1440" w:hanging="360"/>
      </w:pPr>
    </w:lvl>
    <w:lvl w:ilvl="2" w:tplc="BAE69D6C" w:tentative="1">
      <w:start w:val="1"/>
      <w:numFmt w:val="lowerRoman"/>
      <w:lvlText w:val="%3."/>
      <w:lvlJc w:val="right"/>
      <w:pPr>
        <w:ind w:left="2160" w:hanging="180"/>
      </w:pPr>
    </w:lvl>
    <w:lvl w:ilvl="3" w:tplc="A1C8103C" w:tentative="1">
      <w:start w:val="1"/>
      <w:numFmt w:val="decimal"/>
      <w:lvlText w:val="%4."/>
      <w:lvlJc w:val="left"/>
      <w:pPr>
        <w:ind w:left="2880" w:hanging="360"/>
      </w:pPr>
    </w:lvl>
    <w:lvl w:ilvl="4" w:tplc="2DF8EA56" w:tentative="1">
      <w:start w:val="1"/>
      <w:numFmt w:val="lowerLetter"/>
      <w:lvlText w:val="%5."/>
      <w:lvlJc w:val="left"/>
      <w:pPr>
        <w:ind w:left="3600" w:hanging="360"/>
      </w:pPr>
    </w:lvl>
    <w:lvl w:ilvl="5" w:tplc="99BC44CE" w:tentative="1">
      <w:start w:val="1"/>
      <w:numFmt w:val="lowerRoman"/>
      <w:lvlText w:val="%6."/>
      <w:lvlJc w:val="right"/>
      <w:pPr>
        <w:ind w:left="4320" w:hanging="180"/>
      </w:pPr>
    </w:lvl>
    <w:lvl w:ilvl="6" w:tplc="1CE291BC" w:tentative="1">
      <w:start w:val="1"/>
      <w:numFmt w:val="decimal"/>
      <w:lvlText w:val="%7."/>
      <w:lvlJc w:val="left"/>
      <w:pPr>
        <w:ind w:left="5040" w:hanging="360"/>
      </w:pPr>
    </w:lvl>
    <w:lvl w:ilvl="7" w:tplc="62908B24" w:tentative="1">
      <w:start w:val="1"/>
      <w:numFmt w:val="lowerLetter"/>
      <w:lvlText w:val="%8."/>
      <w:lvlJc w:val="left"/>
      <w:pPr>
        <w:ind w:left="5760" w:hanging="360"/>
      </w:pPr>
    </w:lvl>
    <w:lvl w:ilvl="8" w:tplc="854EA63A" w:tentative="1">
      <w:start w:val="1"/>
      <w:numFmt w:val="lowerRoman"/>
      <w:lvlText w:val="%9."/>
      <w:lvlJc w:val="right"/>
      <w:pPr>
        <w:ind w:left="6480" w:hanging="180"/>
      </w:pPr>
    </w:lvl>
  </w:abstractNum>
  <w:abstractNum w:abstractNumId="3" w15:restartNumberingAfterBreak="0">
    <w:nsid w:val="7F0F4869"/>
    <w:multiLevelType w:val="hybridMultilevel"/>
    <w:tmpl w:val="4078C53E"/>
    <w:lvl w:ilvl="0" w:tplc="73703392">
      <w:start w:val="1"/>
      <w:numFmt w:val="bullet"/>
      <w:lvlText w:val=""/>
      <w:lvlJc w:val="left"/>
      <w:pPr>
        <w:ind w:left="720" w:hanging="360"/>
      </w:pPr>
      <w:rPr>
        <w:rFonts w:ascii="Symbol" w:hAnsi="Symbol" w:hint="default"/>
      </w:rPr>
    </w:lvl>
    <w:lvl w:ilvl="1" w:tplc="B90C9CD4" w:tentative="1">
      <w:start w:val="1"/>
      <w:numFmt w:val="bullet"/>
      <w:lvlText w:val="o"/>
      <w:lvlJc w:val="left"/>
      <w:pPr>
        <w:ind w:left="1440" w:hanging="360"/>
      </w:pPr>
      <w:rPr>
        <w:rFonts w:ascii="Courier New" w:hAnsi="Courier New" w:cs="Courier New" w:hint="default"/>
      </w:rPr>
    </w:lvl>
    <w:lvl w:ilvl="2" w:tplc="D76AA5B0" w:tentative="1">
      <w:start w:val="1"/>
      <w:numFmt w:val="bullet"/>
      <w:lvlText w:val=""/>
      <w:lvlJc w:val="left"/>
      <w:pPr>
        <w:ind w:left="2160" w:hanging="360"/>
      </w:pPr>
      <w:rPr>
        <w:rFonts w:ascii="Wingdings" w:hAnsi="Wingdings" w:hint="default"/>
      </w:rPr>
    </w:lvl>
    <w:lvl w:ilvl="3" w:tplc="EC2E6510" w:tentative="1">
      <w:start w:val="1"/>
      <w:numFmt w:val="bullet"/>
      <w:lvlText w:val=""/>
      <w:lvlJc w:val="left"/>
      <w:pPr>
        <w:ind w:left="2880" w:hanging="360"/>
      </w:pPr>
      <w:rPr>
        <w:rFonts w:ascii="Symbol" w:hAnsi="Symbol" w:hint="default"/>
      </w:rPr>
    </w:lvl>
    <w:lvl w:ilvl="4" w:tplc="80E2EC28" w:tentative="1">
      <w:start w:val="1"/>
      <w:numFmt w:val="bullet"/>
      <w:lvlText w:val="o"/>
      <w:lvlJc w:val="left"/>
      <w:pPr>
        <w:ind w:left="3600" w:hanging="360"/>
      </w:pPr>
      <w:rPr>
        <w:rFonts w:ascii="Courier New" w:hAnsi="Courier New" w:cs="Courier New" w:hint="default"/>
      </w:rPr>
    </w:lvl>
    <w:lvl w:ilvl="5" w:tplc="7BBEC5EE" w:tentative="1">
      <w:start w:val="1"/>
      <w:numFmt w:val="bullet"/>
      <w:lvlText w:val=""/>
      <w:lvlJc w:val="left"/>
      <w:pPr>
        <w:ind w:left="4320" w:hanging="360"/>
      </w:pPr>
      <w:rPr>
        <w:rFonts w:ascii="Wingdings" w:hAnsi="Wingdings" w:hint="default"/>
      </w:rPr>
    </w:lvl>
    <w:lvl w:ilvl="6" w:tplc="E1343506" w:tentative="1">
      <w:start w:val="1"/>
      <w:numFmt w:val="bullet"/>
      <w:lvlText w:val=""/>
      <w:lvlJc w:val="left"/>
      <w:pPr>
        <w:ind w:left="5040" w:hanging="360"/>
      </w:pPr>
      <w:rPr>
        <w:rFonts w:ascii="Symbol" w:hAnsi="Symbol" w:hint="default"/>
      </w:rPr>
    </w:lvl>
    <w:lvl w:ilvl="7" w:tplc="9D7E8C94" w:tentative="1">
      <w:start w:val="1"/>
      <w:numFmt w:val="bullet"/>
      <w:lvlText w:val="o"/>
      <w:lvlJc w:val="left"/>
      <w:pPr>
        <w:ind w:left="5760" w:hanging="360"/>
      </w:pPr>
      <w:rPr>
        <w:rFonts w:ascii="Courier New" w:hAnsi="Courier New" w:cs="Courier New" w:hint="default"/>
      </w:rPr>
    </w:lvl>
    <w:lvl w:ilvl="8" w:tplc="9E90A642" w:tentative="1">
      <w:start w:val="1"/>
      <w:numFmt w:val="bullet"/>
      <w:lvlText w:val=""/>
      <w:lvlJc w:val="left"/>
      <w:pPr>
        <w:ind w:left="6480" w:hanging="360"/>
      </w:pPr>
      <w:rPr>
        <w:rFonts w:ascii="Wingdings" w:hAnsi="Wingdings" w:hint="default"/>
      </w:rPr>
    </w:lvl>
  </w:abstractNum>
  <w:num w:numId="1" w16cid:durableId="1737236702">
    <w:abstractNumId w:val="2"/>
  </w:num>
  <w:num w:numId="2" w16cid:durableId="1164541452">
    <w:abstractNumId w:val="1"/>
  </w:num>
  <w:num w:numId="3" w16cid:durableId="2142384882">
    <w:abstractNumId w:val="3"/>
  </w:num>
  <w:num w:numId="4" w16cid:durableId="199120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EB"/>
    <w:rsid w:val="0005603F"/>
    <w:rsid w:val="000A57A3"/>
    <w:rsid w:val="000C7573"/>
    <w:rsid w:val="000D4896"/>
    <w:rsid w:val="001067A9"/>
    <w:rsid w:val="00132D63"/>
    <w:rsid w:val="00164C47"/>
    <w:rsid w:val="001C7E47"/>
    <w:rsid w:val="00235099"/>
    <w:rsid w:val="00371909"/>
    <w:rsid w:val="003B2654"/>
    <w:rsid w:val="00405602"/>
    <w:rsid w:val="004A04A0"/>
    <w:rsid w:val="004B1319"/>
    <w:rsid w:val="004F4FAF"/>
    <w:rsid w:val="0050200E"/>
    <w:rsid w:val="00535D5D"/>
    <w:rsid w:val="00572055"/>
    <w:rsid w:val="005F6F8E"/>
    <w:rsid w:val="00637851"/>
    <w:rsid w:val="00706CC1"/>
    <w:rsid w:val="00737AEB"/>
    <w:rsid w:val="007B1DBF"/>
    <w:rsid w:val="007D1F3E"/>
    <w:rsid w:val="00837FE4"/>
    <w:rsid w:val="00841A69"/>
    <w:rsid w:val="008713BB"/>
    <w:rsid w:val="008C3A37"/>
    <w:rsid w:val="00904D44"/>
    <w:rsid w:val="0095524D"/>
    <w:rsid w:val="009B41E5"/>
    <w:rsid w:val="009E32A7"/>
    <w:rsid w:val="00AB0D9F"/>
    <w:rsid w:val="00B56FDA"/>
    <w:rsid w:val="00D276FA"/>
    <w:rsid w:val="00D6151A"/>
    <w:rsid w:val="00DB512C"/>
    <w:rsid w:val="00DF4A97"/>
    <w:rsid w:val="00E10B1D"/>
    <w:rsid w:val="00E51B71"/>
    <w:rsid w:val="00EB27F6"/>
    <w:rsid w:val="00ED003B"/>
    <w:rsid w:val="00F62C7A"/>
    <w:rsid w:val="00FA1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9AFEA9"/>
  <w15:chartTrackingRefBased/>
  <w15:docId w15:val="{6EF0C233-8235-476C-9B64-7A278460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AEB"/>
    <w:pPr>
      <w:ind w:left="720"/>
      <w:contextualSpacing/>
    </w:pPr>
  </w:style>
  <w:style w:type="paragraph" w:customStyle="1" w:styleId="LawAlertNormal">
    <w:name w:val="Law Alert Normal"/>
    <w:basedOn w:val="Normal"/>
    <w:rsid w:val="00AB0D9F"/>
    <w:pPr>
      <w:autoSpaceDE w:val="0"/>
      <w:autoSpaceDN w:val="0"/>
      <w:adjustRightInd w:val="0"/>
      <w:spacing w:after="0" w:line="288" w:lineRule="auto"/>
      <w:textAlignment w:val="center"/>
    </w:pPr>
    <w:rPr>
      <w:rFonts w:ascii="Gotham Light" w:hAnsi="Gotham Light" w:cs="Gotham Light"/>
      <w:color w:val="000000"/>
      <w:spacing w:val="-2"/>
      <w:sz w:val="20"/>
      <w:szCs w:val="20"/>
    </w:rPr>
  </w:style>
  <w:style w:type="paragraph" w:customStyle="1" w:styleId="DocID">
    <w:name w:val="Doc ID"/>
    <w:basedOn w:val="Normal"/>
    <w:link w:val="DocIDChar"/>
    <w:rsid w:val="00DF4A97"/>
    <w:pPr>
      <w:tabs>
        <w:tab w:val="right" w:pos="9360"/>
      </w:tabs>
      <w:spacing w:after="0" w:line="200" w:lineRule="exact"/>
    </w:pPr>
    <w:rPr>
      <w:rFonts w:ascii="Times New Roman" w:hAnsi="Times New Roman" w:cs="Times New Roman"/>
      <w:sz w:val="16"/>
    </w:rPr>
  </w:style>
  <w:style w:type="character" w:customStyle="1" w:styleId="DocIDChar">
    <w:name w:val="Doc ID Char"/>
    <w:basedOn w:val="DefaultParagraphFont"/>
    <w:link w:val="DocID"/>
    <w:rsid w:val="00DF4A97"/>
    <w:rPr>
      <w:rFonts w:ascii="Times New Roman" w:hAnsi="Times New Roman" w:cs="Times New Roman"/>
      <w:sz w:val="16"/>
    </w:rPr>
  </w:style>
  <w:style w:type="paragraph" w:styleId="Header">
    <w:name w:val="header"/>
    <w:basedOn w:val="Normal"/>
    <w:link w:val="HeaderChar"/>
    <w:uiPriority w:val="99"/>
    <w:unhideWhenUsed/>
    <w:rsid w:val="00572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055"/>
  </w:style>
  <w:style w:type="paragraph" w:styleId="Footer">
    <w:name w:val="footer"/>
    <w:basedOn w:val="Normal"/>
    <w:link w:val="FooterChar"/>
    <w:uiPriority w:val="99"/>
    <w:unhideWhenUsed/>
    <w:rsid w:val="00572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055"/>
  </w:style>
  <w:style w:type="character" w:styleId="CommentReference">
    <w:name w:val="annotation reference"/>
    <w:basedOn w:val="DefaultParagraphFont"/>
    <w:uiPriority w:val="99"/>
    <w:semiHidden/>
    <w:unhideWhenUsed/>
    <w:rsid w:val="00FA10F1"/>
    <w:rPr>
      <w:sz w:val="16"/>
      <w:szCs w:val="16"/>
    </w:rPr>
  </w:style>
  <w:style w:type="paragraph" w:styleId="CommentText">
    <w:name w:val="annotation text"/>
    <w:basedOn w:val="Normal"/>
    <w:link w:val="CommentTextChar"/>
    <w:uiPriority w:val="99"/>
    <w:semiHidden/>
    <w:unhideWhenUsed/>
    <w:rsid w:val="00FA10F1"/>
    <w:pPr>
      <w:spacing w:line="240" w:lineRule="auto"/>
    </w:pPr>
    <w:rPr>
      <w:sz w:val="20"/>
      <w:szCs w:val="20"/>
    </w:rPr>
  </w:style>
  <w:style w:type="character" w:customStyle="1" w:styleId="CommentTextChar">
    <w:name w:val="Comment Text Char"/>
    <w:basedOn w:val="DefaultParagraphFont"/>
    <w:link w:val="CommentText"/>
    <w:uiPriority w:val="99"/>
    <w:semiHidden/>
    <w:rsid w:val="00FA10F1"/>
    <w:rPr>
      <w:sz w:val="20"/>
      <w:szCs w:val="20"/>
    </w:rPr>
  </w:style>
  <w:style w:type="paragraph" w:styleId="CommentSubject">
    <w:name w:val="annotation subject"/>
    <w:basedOn w:val="CommentText"/>
    <w:next w:val="CommentText"/>
    <w:link w:val="CommentSubjectChar"/>
    <w:uiPriority w:val="99"/>
    <w:semiHidden/>
    <w:unhideWhenUsed/>
    <w:rsid w:val="00FA10F1"/>
    <w:rPr>
      <w:b/>
      <w:bCs/>
    </w:rPr>
  </w:style>
  <w:style w:type="character" w:customStyle="1" w:styleId="CommentSubjectChar">
    <w:name w:val="Comment Subject Char"/>
    <w:basedOn w:val="CommentTextChar"/>
    <w:link w:val="CommentSubject"/>
    <w:uiPriority w:val="99"/>
    <w:semiHidden/>
    <w:rsid w:val="00FA10F1"/>
    <w:rPr>
      <w:b/>
      <w:bCs/>
      <w:sz w:val="20"/>
      <w:szCs w:val="20"/>
    </w:rPr>
  </w:style>
  <w:style w:type="paragraph" w:styleId="Revision">
    <w:name w:val="Revision"/>
    <w:hidden/>
    <w:uiPriority w:val="99"/>
    <w:semiHidden/>
    <w:rsid w:val="00405602"/>
    <w:pPr>
      <w:spacing w:after="0" w:line="240" w:lineRule="auto"/>
    </w:pPr>
  </w:style>
  <w:style w:type="paragraph" w:styleId="FootnoteText">
    <w:name w:val="footnote text"/>
    <w:basedOn w:val="Normal"/>
    <w:link w:val="FootnoteTextChar"/>
    <w:uiPriority w:val="99"/>
    <w:semiHidden/>
    <w:unhideWhenUsed/>
    <w:rsid w:val="005F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6F8E"/>
    <w:rPr>
      <w:sz w:val="20"/>
      <w:szCs w:val="20"/>
    </w:rPr>
  </w:style>
  <w:style w:type="character" w:styleId="FootnoteReference">
    <w:name w:val="footnote reference"/>
    <w:basedOn w:val="DefaultParagraphFont"/>
    <w:uiPriority w:val="99"/>
    <w:semiHidden/>
    <w:unhideWhenUsed/>
    <w:rsid w:val="005F6F8E"/>
    <w:rPr>
      <w:vertAlign w:val="superscript"/>
    </w:rPr>
  </w:style>
  <w:style w:type="character" w:styleId="Hyperlink">
    <w:name w:val="Hyperlink"/>
    <w:basedOn w:val="DefaultParagraphFont"/>
    <w:uiPriority w:val="99"/>
    <w:unhideWhenUsed/>
    <w:rsid w:val="00235099"/>
    <w:rPr>
      <w:color w:val="0563C1" w:themeColor="hyperlink"/>
      <w:u w:val="single"/>
    </w:rPr>
  </w:style>
  <w:style w:type="character" w:styleId="UnresolvedMention">
    <w:name w:val="Unresolved Mention"/>
    <w:basedOn w:val="DefaultParagraphFont"/>
    <w:uiPriority w:val="99"/>
    <w:rsid w:val="00235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bag.ca.gov/technical-assistance/2024-new-housing-laws-webin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 Didech</cp:lastModifiedBy>
  <cp:revision>3</cp:revision>
  <dcterms:created xsi:type="dcterms:W3CDTF">2025-03-11T18:02:00Z</dcterms:created>
  <dcterms:modified xsi:type="dcterms:W3CDTF">2025-03-17T17:46:00Z</dcterms:modified>
</cp:coreProperties>
</file>