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5D9D233" w:rsidP="3C5F5BBA" w:rsidRDefault="25D9D233" w14:paraId="1BE70C70" w14:textId="7592102E" w14:noSpellErr="1">
      <w:pPr>
        <w:rPr>
          <w:i w:val="1"/>
          <w:iCs w:val="1"/>
          <w:color w:val="4F81BD" w:themeColor="accent1"/>
        </w:rPr>
      </w:pPr>
    </w:p>
    <w:p w:rsidR="001E009F" w:rsidP="3C5F5BBA" w:rsidRDefault="25D9D233" w14:paraId="45DADA05" w14:textId="154C64E4" w14:noSpellErr="1">
      <w:pPr>
        <w:rPr>
          <w:i w:val="1"/>
          <w:iCs w:val="1"/>
          <w:color w:val="4F81BD" w:themeColor="accent1"/>
        </w:rPr>
      </w:pPr>
      <w:bookmarkStart w:name="_owbsz5gwzcbf" w:id="2"/>
      <w:bookmarkEnd w:id="2"/>
      <w:r w:rsidRPr="3C5F5BBA" w:rsidR="3C5F5BBA">
        <w:rPr>
          <w:i w:val="1"/>
          <w:iCs w:val="1"/>
          <w:color w:val="4F81BD" w:themeColor="accent1" w:themeTint="FF" w:themeShade="FF"/>
        </w:rPr>
        <w:t xml:space="preserve">The following staff report template is intended as a resource for jurisdiction staff to use to provide background/ context to decisionmakers on the requirements of the TOC Policy both broadly and specific to their jurisdiction. </w:t>
      </w:r>
    </w:p>
    <w:p w:rsidR="25D9D233" w:rsidP="3C5F5BBA" w:rsidRDefault="25D9D233" w14:paraId="5D8245AD" w14:textId="723ED0C1" w14:noSpellErr="1">
      <w:pPr>
        <w:rPr>
          <w:i w:val="1"/>
          <w:iCs w:val="1"/>
          <w:color w:val="4F81BD" w:themeColor="accent1"/>
        </w:rPr>
      </w:pPr>
      <w:r w:rsidRPr="3C5F5BBA" w:rsidR="3C5F5BBA">
        <w:rPr>
          <w:i w:val="1"/>
          <w:iCs w:val="1"/>
          <w:color w:val="4F81BD" w:themeColor="accent1" w:themeTint="FF" w:themeShade="FF"/>
        </w:rPr>
        <w:t>____________________________________________________________________________</w:t>
      </w:r>
    </w:p>
    <w:p w:rsidR="25D9D233" w:rsidP="3C5F5BBA" w:rsidRDefault="25D9D233" w14:paraId="2F2F1A0C" w14:textId="078CFD7D" w14:noSpellErr="1">
      <w:pPr>
        <w:rPr>
          <w:i w:val="1"/>
          <w:iCs w:val="1"/>
          <w:color w:val="4F81BD" w:themeColor="accent1"/>
        </w:rPr>
      </w:pPr>
    </w:p>
    <w:p w:rsidR="25D9D233" w:rsidP="25D9D233" w:rsidRDefault="25D9D233" w14:paraId="10D1F548" w14:textId="0250728C" w14:noSpellErr="1">
      <w:pPr/>
    </w:p>
    <w:p w:rsidRPr="004C3D0C" w:rsidR="009A50C3" w:rsidP="001C35E2" w:rsidRDefault="006F550E" w14:paraId="00000001" w14:textId="355F6344">
      <w:pPr>
        <w:pStyle w:val="Heading1"/>
        <w:rPr>
          <w:u w:val="single"/>
        </w:rPr>
      </w:pPr>
      <w:r w:rsidR="3C5F5BBA">
        <w:rPr/>
        <w:t xml:space="preserve">DATE: </w:t>
      </w:r>
      <w:r w:rsidRPr="3C5F5BBA" w:rsidR="3C5F5BBA">
        <w:rPr>
          <w:u w:val="single"/>
        </w:rPr>
        <w:t>[</w:t>
      </w:r>
      <w:r w:rsidR="3C5F5BBA">
        <w:rPr/>
        <w:t>Insert Date</w:t>
      </w:r>
      <w:r w:rsidRPr="3C5F5BBA" w:rsidR="3C5F5BBA">
        <w:rPr>
          <w:u w:val="single"/>
        </w:rPr>
        <w:t>]</w:t>
      </w:r>
    </w:p>
    <w:p w:rsidRPr="001E009F" w:rsidR="001E009F" w:rsidP="001C35E2" w:rsidRDefault="006F550E" w14:paraId="1768F166" w14:textId="1AD1BCD4">
      <w:pPr>
        <w:pStyle w:val="Heading1"/>
      </w:pPr>
      <w:bookmarkStart w:name="_57l0l0ryyqw1" w:colFirst="0" w:colLast="0" w:id="13"/>
      <w:bookmarkEnd w:id="13"/>
      <w:r>
        <w:t xml:space="preserve">SUBJECT: Transit-Oriented Communities </w:t>
      </w:r>
      <w:r w:rsidR="006C07A5">
        <w:t xml:space="preserve">Policy </w:t>
      </w:r>
      <w:r>
        <w:t xml:space="preserve">and </w:t>
      </w:r>
      <w:r w:rsidR="006C07A5">
        <w:t>Future</w:t>
      </w:r>
      <w:r>
        <w:t xml:space="preserve"> Funding</w:t>
      </w:r>
      <w:r w:rsidR="006C07A5">
        <w:t xml:space="preserve"> Opportunities</w:t>
      </w:r>
    </w:p>
    <w:p w:rsidR="009A50C3" w:rsidP="001C35E2" w:rsidRDefault="006F550E" w14:paraId="00000003" w14:textId="77777777">
      <w:pPr>
        <w:pStyle w:val="Heading1"/>
      </w:pPr>
      <w:bookmarkStart w:name="_8tuswc5abdce" w:colFirst="0" w:colLast="0" w:id="14"/>
      <w:bookmarkEnd w:id="14"/>
      <w:r>
        <w:t xml:space="preserve">RECOMMENDATION: </w:t>
      </w:r>
    </w:p>
    <w:p w:rsidR="001362E5" w:rsidP="001362E5" w:rsidRDefault="001362E5" w14:paraId="253BBA74" w14:textId="571A6850">
      <w:r w:rsidR="3C5F5BBA">
        <w:rPr/>
        <w:t xml:space="preserve">Staff recommends that the </w:t>
      </w:r>
      <w:r w:rsidRPr="3C5F5BBA" w:rsidR="3C5F5BBA">
        <w:rPr>
          <w:highlight w:val="yellow"/>
        </w:rPr>
        <w:t>[</w:t>
      </w:r>
      <w:r w:rsidRPr="3C5F5BBA" w:rsidR="3C5F5BBA">
        <w:rPr>
          <w:i w:val="1"/>
          <w:iCs w:val="1"/>
          <w:highlight w:val="yellow"/>
        </w:rPr>
        <w:t>City Council/Board of Supervisors</w:t>
      </w:r>
      <w:r w:rsidRPr="3C5F5BBA" w:rsidR="3C5F5BBA">
        <w:rPr>
          <w:highlight w:val="yellow"/>
        </w:rPr>
        <w:t>]</w:t>
      </w:r>
      <w:r w:rsidR="3C5F5BBA">
        <w:rPr/>
        <w:t xml:space="preserve"> approve the [</w:t>
      </w:r>
      <w:r w:rsidRPr="3C5F5BBA" w:rsidR="3C5F5BBA">
        <w:rPr>
          <w:highlight w:val="yellow"/>
        </w:rPr>
        <w:t>ordinance/policy</w:t>
      </w:r>
      <w:r w:rsidR="3C5F5BBA">
        <w:rPr/>
        <w:t xml:space="preserve">]to further compliance with the Transit-Oriented Communities (TOC) Policy. </w:t>
      </w:r>
    </w:p>
    <w:p w:rsidR="009A50C3" w:rsidRDefault="001362E5" w14:paraId="00000005" w14:textId="3C2930CB">
      <w:r>
        <w:t xml:space="preserve">This work </w:t>
      </w:r>
      <w:r w:rsidR="00946FDA">
        <w:t>will help ensure</w:t>
      </w:r>
      <w:r w:rsidR="006F550E">
        <w:t xml:space="preserve"> </w:t>
      </w:r>
      <w:r w:rsidRPr="002623D6" w:rsidR="006F550E">
        <w:rPr>
          <w:highlight w:val="yellow"/>
        </w:rPr>
        <w:t>(</w:t>
      </w:r>
      <w:r w:rsidRPr="002623D6" w:rsidR="006F550E">
        <w:rPr>
          <w:i/>
          <w:iCs/>
          <w:highlight w:val="yellow"/>
        </w:rPr>
        <w:t>Jurisdiction Name</w:t>
      </w:r>
      <w:r w:rsidR="002D1B00">
        <w:rPr>
          <w:i/>
          <w:iCs/>
          <w:highlight w:val="yellow"/>
        </w:rPr>
        <w:t>’s</w:t>
      </w:r>
      <w:r w:rsidRPr="002623D6" w:rsidR="006F550E">
        <w:rPr>
          <w:highlight w:val="yellow"/>
        </w:rPr>
        <w:t>)</w:t>
      </w:r>
      <w:r w:rsidRPr="00CC19B7" w:rsidR="006F550E">
        <w:t xml:space="preserve"> </w:t>
      </w:r>
      <w:r w:rsidR="002A5966">
        <w:t>regulations are aligned</w:t>
      </w:r>
      <w:r w:rsidR="006F550E">
        <w:t xml:space="preserve"> with the </w:t>
      </w:r>
      <w:r w:rsidRPr="00F0004C" w:rsidR="006F550E">
        <w:rPr>
          <w:highlight w:val="yellow"/>
        </w:rPr>
        <w:t>Density, Affordable Housing, Parking and/or Station Access</w:t>
      </w:r>
      <w:r w:rsidR="00755EA4">
        <w:t xml:space="preserve"> </w:t>
      </w:r>
      <w:r w:rsidR="006F550E">
        <w:t xml:space="preserve">components of the TOC Policy and help the </w:t>
      </w:r>
      <w:r w:rsidRPr="002623D6" w:rsidR="006F550E">
        <w:rPr>
          <w:highlight w:val="yellow"/>
        </w:rPr>
        <w:t>(</w:t>
      </w:r>
      <w:r w:rsidRPr="002623D6" w:rsidR="006F550E">
        <w:rPr>
          <w:i/>
          <w:iCs/>
          <w:highlight w:val="yellow"/>
        </w:rPr>
        <w:t>City/County</w:t>
      </w:r>
      <w:r w:rsidRPr="002623D6" w:rsidR="006F550E">
        <w:rPr>
          <w:highlight w:val="yellow"/>
        </w:rPr>
        <w:t>)</w:t>
      </w:r>
      <w:r w:rsidRPr="00CC19B7" w:rsidR="006F550E">
        <w:t xml:space="preserve"> </w:t>
      </w:r>
      <w:r w:rsidR="006F550E">
        <w:t xml:space="preserve">achieve compliance with </w:t>
      </w:r>
      <w:r w:rsidR="004C5CCE">
        <w:t>TOC</w:t>
      </w:r>
      <w:r w:rsidR="00E138D7">
        <w:t xml:space="preserve"> Policy requirements.</w:t>
      </w:r>
      <w:r w:rsidR="006F550E">
        <w:t xml:space="preserve"> </w:t>
      </w:r>
    </w:p>
    <w:p w:rsidR="001E009F" w:rsidRDefault="001E009F" w14:paraId="03467838" w14:textId="77777777"/>
    <w:p w:rsidRPr="001C35E2" w:rsidR="009A50C3" w:rsidP="001C35E2" w:rsidRDefault="006F550E" w14:paraId="00000006" w14:textId="77777777">
      <w:pPr>
        <w:pStyle w:val="Heading1"/>
      </w:pPr>
      <w:r w:rsidRPr="001C35E2">
        <w:t>BACKGROUND</w:t>
      </w:r>
    </w:p>
    <w:p w:rsidRPr="00987E48" w:rsidR="009A50C3" w:rsidP="1985BEE0" w:rsidRDefault="006F550E" w14:paraId="00000009" w14:textId="7BDA05E6">
      <w:pPr>
        <w:pStyle w:val="Heading2"/>
        <w:numPr>
          <w:ilvl w:val="0"/>
          <w:numId w:val="0"/>
        </w:numPr>
        <w:ind w:left="0"/>
      </w:pPr>
      <w:bookmarkStart w:name="_lzwjt59t5fiu" w:id="26"/>
      <w:bookmarkEnd w:id="26"/>
      <w:r w:rsidR="6E46E05C">
        <w:rPr/>
        <w:t>MTC’s TOC Policy</w:t>
      </w:r>
    </w:p>
    <w:p w:rsidR="009A50C3" w:rsidRDefault="002B6E13" w14:paraId="0000000A" w14:textId="52B4CE3D">
      <w:pPr>
        <w:spacing w:before="240" w:after="240"/>
      </w:pPr>
      <w:r w:rsidRPr="002B6E13">
        <w:t>The TOC Policy focuses on</w:t>
      </w:r>
      <w:r w:rsidR="002D63A1">
        <w:t xml:space="preserve"> </w:t>
      </w:r>
      <w:r w:rsidRPr="002B6E13" w:rsidR="002D63A1">
        <w:t>implement</w:t>
      </w:r>
      <w:r w:rsidR="002D63A1">
        <w:t>ing</w:t>
      </w:r>
      <w:r w:rsidRPr="002B6E13" w:rsidR="002D63A1">
        <w:t xml:space="preserve"> Plan Bay Area 2050 strategies</w:t>
      </w:r>
      <w:r w:rsidRPr="002B6E13">
        <w:t xml:space="preserve"> </w:t>
      </w:r>
      <w:r w:rsidR="002D63A1">
        <w:t xml:space="preserve">through </w:t>
      </w:r>
      <w:r w:rsidRPr="002B6E13">
        <w:t>the core elements of land use density, affordable housing, parking management, and complete streets/multimodal access.</w:t>
      </w:r>
      <w:r w:rsidR="006F550E">
        <w:t xml:space="preserve"> The TOC Policy is organized around four </w:t>
      </w:r>
      <w:r w:rsidR="00246FD3">
        <w:t>policy goals</w:t>
      </w:r>
      <w:r w:rsidR="006F550E">
        <w:t>:</w:t>
      </w:r>
    </w:p>
    <w:p w:rsidR="00246FD3" w:rsidP="00246FD3" w:rsidRDefault="00012CC1" w14:paraId="73DB2041" w14:textId="16C26E0B">
      <w:pPr>
        <w:pStyle w:val="ListParagraph"/>
        <w:numPr>
          <w:ilvl w:val="0"/>
          <w:numId w:val="6"/>
        </w:numPr>
        <w:spacing w:before="240" w:after="240"/>
      </w:pPr>
      <w:r>
        <w:rPr>
          <w:b/>
          <w:bCs/>
        </w:rPr>
        <w:t xml:space="preserve">Housing Supply </w:t>
      </w:r>
      <w:r w:rsidR="006F378E">
        <w:rPr>
          <w:b/>
          <w:bCs/>
        </w:rPr>
        <w:t xml:space="preserve">and Affordability </w:t>
      </w:r>
      <w:r>
        <w:rPr>
          <w:b/>
          <w:bCs/>
        </w:rPr>
        <w:t xml:space="preserve">- </w:t>
      </w:r>
      <w:r w:rsidR="00246FD3">
        <w:t>Increase the overall housing supply in part by increasing the density for new residential projects. Prioritize affordable housing in transit-rich areas.</w:t>
      </w:r>
    </w:p>
    <w:p w:rsidR="00246FD3" w:rsidP="00246FD3" w:rsidRDefault="005D3161" w14:paraId="38715F2A" w14:textId="367EFC07">
      <w:pPr>
        <w:pStyle w:val="ListParagraph"/>
        <w:numPr>
          <w:ilvl w:val="0"/>
          <w:numId w:val="6"/>
        </w:numPr>
        <w:spacing w:before="240" w:after="240"/>
      </w:pPr>
      <w:r>
        <w:rPr>
          <w:b/>
          <w:bCs/>
        </w:rPr>
        <w:t xml:space="preserve">Commercial Development - </w:t>
      </w:r>
      <w:r w:rsidR="00246FD3">
        <w:t>In areas near regional transit hubs, increase density for businesses and commercial development.</w:t>
      </w:r>
    </w:p>
    <w:p w:rsidR="00246FD3" w:rsidP="00246FD3" w:rsidRDefault="00236243" w14:paraId="705CAA58" w14:textId="7D2DD6B7">
      <w:pPr>
        <w:pStyle w:val="ListParagraph"/>
        <w:numPr>
          <w:ilvl w:val="0"/>
          <w:numId w:val="6"/>
        </w:numPr>
        <w:spacing w:before="240" w:after="240"/>
      </w:pPr>
      <w:r>
        <w:rPr>
          <w:b/>
          <w:bCs/>
        </w:rPr>
        <w:t xml:space="preserve">Access and </w:t>
      </w:r>
      <w:r w:rsidR="006F378E">
        <w:rPr>
          <w:b/>
          <w:bCs/>
        </w:rPr>
        <w:t xml:space="preserve">Mobility </w:t>
      </w:r>
      <w:r w:rsidR="005D3161">
        <w:rPr>
          <w:b/>
          <w:bCs/>
        </w:rPr>
        <w:t xml:space="preserve">- </w:t>
      </w:r>
      <w:r w:rsidR="00246FD3">
        <w:t>Prioritize bus transit, active transportation and shared mobility (such as bike share and car share) within and to/from transit-rich areas, particularly to Equity Priority Communities located more than one half</w:t>
      </w:r>
      <w:r w:rsidR="00987E48">
        <w:t xml:space="preserve"> </w:t>
      </w:r>
      <w:r w:rsidR="00246FD3">
        <w:t>mile from transit stops or stations.</w:t>
      </w:r>
    </w:p>
    <w:p w:rsidR="00246FD3" w:rsidP="00246FD3" w:rsidRDefault="00A27D9D" w14:paraId="2DFFD4E0" w14:textId="15A39E4E">
      <w:pPr>
        <w:pStyle w:val="ListParagraph"/>
        <w:numPr>
          <w:ilvl w:val="0"/>
          <w:numId w:val="6"/>
        </w:numPr>
        <w:spacing w:before="240" w:after="240"/>
      </w:pPr>
      <w:r>
        <w:rPr>
          <w:b/>
          <w:bCs/>
        </w:rPr>
        <w:t xml:space="preserve">Partnerships - </w:t>
      </w:r>
      <w:r w:rsidR="00246FD3">
        <w:t>Support and build partnerships to create equitable transit-oriented communities within the San Francisco Bay Area.</w:t>
      </w:r>
    </w:p>
    <w:p w:rsidR="009A50C3" w:rsidRDefault="00D172C7" w14:paraId="0000000F" w14:textId="6D975D64">
      <w:pPr>
        <w:spacing w:before="240" w:after="240"/>
      </w:pPr>
      <w:r w:rsidRPr="00D172C7">
        <w:t xml:space="preserve">The TOC Policy applies to locations within a </w:t>
      </w:r>
      <w:r w:rsidRPr="00D172C7" w:rsidR="001C35E2">
        <w:t>half mile</w:t>
      </w:r>
      <w:r w:rsidRPr="00D172C7">
        <w:t xml:space="preserve"> of existing and planned stops and stations served by</w:t>
      </w:r>
      <w:r>
        <w:t xml:space="preserve"> </w:t>
      </w:r>
      <w:r w:rsidRPr="009D3AA9" w:rsidR="009D3AA9">
        <w:t>regional rail, commuter rail, light-rail transit, bus rapid transit, and ferries</w:t>
      </w:r>
      <w:r>
        <w:t xml:space="preserve">. MTC has identified nearly </w:t>
      </w:r>
      <w:r w:rsidR="00FB6A8A">
        <w:t xml:space="preserve">65 </w:t>
      </w:r>
      <w:r>
        <w:t>jurisdictions with a TOC area. Compliance with the TOC Policy is voluntary</w:t>
      </w:r>
      <w:r w:rsidR="000E0EB8">
        <w:t xml:space="preserve">, but jurisdictions that are subject to and compliant with the policy are </w:t>
      </w:r>
      <w:r w:rsidR="00670C07">
        <w:t>expected</w:t>
      </w:r>
      <w:r w:rsidR="00A772EE">
        <w:t xml:space="preserve"> </w:t>
      </w:r>
      <w:r w:rsidR="00F349E6">
        <w:t>to</w:t>
      </w:r>
      <w:r w:rsidR="00A772EE">
        <w:t xml:space="preserve"> be more </w:t>
      </w:r>
      <w:r>
        <w:t xml:space="preserve">competitive for some MTC discretionary funding, including OBAG funds. </w:t>
      </w:r>
      <w:r w:rsidR="00B566FB">
        <w:t xml:space="preserve">MTC has directed </w:t>
      </w:r>
      <w:r w:rsidR="00B566FB">
        <w:lastRenderedPageBreak/>
        <w:t>j</w:t>
      </w:r>
      <w:r w:rsidRPr="00B566FB" w:rsidR="00B566FB">
        <w:t xml:space="preserve">urisdictions </w:t>
      </w:r>
      <w:r w:rsidR="00B566FB">
        <w:t>to</w:t>
      </w:r>
      <w:r w:rsidRPr="00B566FB" w:rsidR="00B566FB">
        <w:t xml:space="preserve"> anticipate demonstrating compliance prior to the adoption of OBAG 4, expected in </w:t>
      </w:r>
      <w:r w:rsidR="00163B3F">
        <w:t xml:space="preserve">early </w:t>
      </w:r>
      <w:r w:rsidRPr="00B566FB" w:rsidR="00B566FB">
        <w:t>2026.</w:t>
      </w:r>
    </w:p>
    <w:p w:rsidR="009A50C3" w:rsidP="001C35E2" w:rsidRDefault="006F550E" w14:paraId="00000015" w14:textId="75C9A63E">
      <w:pPr>
        <w:pStyle w:val="Heading1"/>
      </w:pPr>
      <w:bookmarkStart w:name="_6u7lxtfc6fvb" w:id="57"/>
      <w:bookmarkEnd w:id="57"/>
      <w:r w:rsidR="3C5F5BBA">
        <w:rPr/>
        <w:t>DISCUSSION</w:t>
      </w:r>
    </w:p>
    <w:p w:rsidR="000E434C" w:rsidRDefault="006F550E" w14:paraId="37C7C5F3" w14:textId="130B3552">
      <w:pPr>
        <w:spacing w:before="240" w:after="240"/>
      </w:pPr>
      <w:r w:rsidRPr="002623D6">
        <w:rPr>
          <w:highlight w:val="yellow"/>
          <w:u w:val="single"/>
        </w:rPr>
        <w:t>[</w:t>
      </w:r>
      <w:r w:rsidRPr="002623D6">
        <w:rPr>
          <w:i/>
          <w:iCs/>
          <w:highlight w:val="yellow"/>
        </w:rPr>
        <w:t>Jurisdiction name</w:t>
      </w:r>
      <w:r w:rsidRPr="002623D6">
        <w:rPr>
          <w:highlight w:val="yellow"/>
          <w:u w:val="single"/>
        </w:rPr>
        <w:t>]</w:t>
      </w:r>
      <w:r>
        <w:t xml:space="preserve"> has </w:t>
      </w:r>
      <w:r w:rsidRPr="00A772EE">
        <w:rPr>
          <w:u w:val="single"/>
        </w:rPr>
        <w:t>[</w:t>
      </w:r>
      <w:r w:rsidRPr="002623D6">
        <w:rPr>
          <w:i/>
          <w:iCs/>
          <w:highlight w:val="yellow"/>
        </w:rPr>
        <w:t>number</w:t>
      </w:r>
      <w:r w:rsidRPr="002623D6">
        <w:rPr>
          <w:highlight w:val="yellow"/>
          <w:u w:val="single"/>
        </w:rPr>
        <w:t>]</w:t>
      </w:r>
      <w:r>
        <w:t xml:space="preserve"> TOC areas.</w:t>
      </w:r>
      <w:r w:rsidR="00A772EE">
        <w:t xml:space="preserve"> </w:t>
      </w:r>
      <w:r w:rsidR="00C62F10">
        <w:t xml:space="preserve">Currently </w:t>
      </w:r>
      <w:r w:rsidRPr="002623D6" w:rsidR="00C62F10">
        <w:rPr>
          <w:i/>
          <w:iCs/>
          <w:highlight w:val="yellow"/>
        </w:rPr>
        <w:t>Jurisdiction Name’s</w:t>
      </w:r>
      <w:r w:rsidRPr="002623D6" w:rsidR="00C62F10">
        <w:t xml:space="preserve"> </w:t>
      </w:r>
      <w:r w:rsidRPr="00541F8D" w:rsidR="00C62F10">
        <w:t>exis</w:t>
      </w:r>
      <w:r w:rsidR="00C62F10">
        <w:t xml:space="preserve">ting policies are </w:t>
      </w:r>
      <w:r w:rsidRPr="002623D6" w:rsidR="00C62F10">
        <w:rPr>
          <w:i/>
          <w:iCs/>
          <w:highlight w:val="yellow"/>
        </w:rPr>
        <w:t>mostly</w:t>
      </w:r>
      <w:r w:rsidRPr="002623D6" w:rsidR="00C62F10">
        <w:t xml:space="preserve"> </w:t>
      </w:r>
      <w:r w:rsidRPr="004C7D9E" w:rsidR="00C62F10">
        <w:t>consistent</w:t>
      </w:r>
      <w:r w:rsidR="00C62F10">
        <w:t xml:space="preserve"> with the TOC policy, however some new and updated policies would be required for full compliance. </w:t>
      </w:r>
      <w:r w:rsidR="00D96E9B">
        <w:t xml:space="preserve">Staff reviewed the TOC </w:t>
      </w:r>
      <w:r w:rsidR="00794221">
        <w:t>P</w:t>
      </w:r>
      <w:r w:rsidR="00D96E9B">
        <w:t xml:space="preserve">olicy and </w:t>
      </w:r>
      <w:r w:rsidR="00BE14CE">
        <w:t>identified areas of consistency and areas to update including:</w:t>
      </w:r>
      <w:r w:rsidR="00EC7019">
        <w:t xml:space="preserve"> </w:t>
      </w:r>
    </w:p>
    <w:p w:rsidR="000E434C" w:rsidP="000E434C" w:rsidRDefault="000E434C" w14:paraId="6CB837C4" w14:textId="1E8E6F7A">
      <w:pPr>
        <w:pStyle w:val="ListParagraph"/>
        <w:numPr>
          <w:ilvl w:val="0"/>
          <w:numId w:val="7"/>
        </w:numPr>
        <w:spacing w:before="240" w:after="240"/>
      </w:pPr>
      <w:r w:rsidRPr="002623D6">
        <w:rPr>
          <w:i/>
          <w:iCs/>
          <w:highlight w:val="yellow"/>
          <w:u w:val="single"/>
        </w:rPr>
        <w:t>___</w:t>
      </w:r>
      <w:r w:rsidR="00A772EE">
        <w:t xml:space="preserve"> updates to zoning </w:t>
      </w:r>
      <w:r w:rsidR="00EB2E2A">
        <w:t>regulations</w:t>
      </w:r>
      <w:r w:rsidR="00D96E9B">
        <w:t>;</w:t>
      </w:r>
    </w:p>
    <w:p w:rsidRPr="004C7D9E" w:rsidR="00DB5D3D" w:rsidP="000E434C" w:rsidRDefault="00A772EE" w14:paraId="46427E35" w14:textId="793ECD68">
      <w:pPr>
        <w:pStyle w:val="ListParagraph"/>
        <w:numPr>
          <w:ilvl w:val="0"/>
          <w:numId w:val="7"/>
        </w:numPr>
        <w:spacing w:before="240" w:after="240"/>
      </w:pPr>
      <w:r>
        <w:t xml:space="preserve"> </w:t>
      </w:r>
      <w:r w:rsidR="00EC4E7D">
        <w:rPr>
          <w:i/>
          <w:iCs/>
          <w:highlight w:val="yellow"/>
          <w:u w:val="single"/>
        </w:rPr>
        <w:t>XX</w:t>
      </w:r>
      <w:r w:rsidRPr="00EC4E7D">
        <w:rPr>
          <w:u w:val="single"/>
        </w:rPr>
        <w:t xml:space="preserve"> new</w:t>
      </w:r>
      <w:r>
        <w:t xml:space="preserve"> affordable </w:t>
      </w:r>
      <w:r w:rsidRPr="004C7D9E">
        <w:t xml:space="preserve">housing policies and amendments </w:t>
      </w:r>
      <w:r w:rsidRPr="004C7D9E" w:rsidR="000E434C">
        <w:t xml:space="preserve">to </w:t>
      </w:r>
      <w:r w:rsidRPr="00EC4E7D" w:rsidR="000E434C">
        <w:rPr>
          <w:highlight w:val="yellow"/>
        </w:rPr>
        <w:t>__</w:t>
      </w:r>
      <w:r w:rsidRPr="004C7D9E">
        <w:t xml:space="preserve"> housing policies; </w:t>
      </w:r>
    </w:p>
    <w:p w:rsidR="00DB5D3D" w:rsidP="000E434C" w:rsidRDefault="004C7D9E" w14:paraId="79F818CC" w14:textId="6DAC55FF">
      <w:pPr>
        <w:pStyle w:val="ListParagraph"/>
        <w:numPr>
          <w:ilvl w:val="0"/>
          <w:numId w:val="7"/>
        </w:numPr>
        <w:spacing w:before="240" w:after="240"/>
      </w:pPr>
      <w:r w:rsidRPr="004C7D9E">
        <w:rPr>
          <w:i/>
          <w:iCs/>
          <w:highlight w:val="yellow"/>
        </w:rPr>
        <w:t>A</w:t>
      </w:r>
      <w:r w:rsidRPr="00EC4E7D" w:rsidR="00D96E9B">
        <w:rPr>
          <w:i/>
          <w:iCs/>
          <w:highlight w:val="yellow"/>
        </w:rPr>
        <w:t>dopting</w:t>
      </w:r>
      <w:r w:rsidRPr="00EC4E7D" w:rsidR="00D96E9B">
        <w:t xml:space="preserve"> </w:t>
      </w:r>
      <w:r w:rsidRPr="004C7D9E" w:rsidR="00D96E9B">
        <w:t>new p</w:t>
      </w:r>
      <w:r w:rsidR="00D96E9B">
        <w:t xml:space="preserve">arking maximums; </w:t>
      </w:r>
      <w:r>
        <w:t>and</w:t>
      </w:r>
    </w:p>
    <w:p w:rsidR="00DB5D3D" w:rsidP="000E434C" w:rsidRDefault="00EC4E7D" w14:paraId="5B3E1344" w14:textId="07FAB576">
      <w:pPr>
        <w:pStyle w:val="ListParagraph"/>
        <w:numPr>
          <w:ilvl w:val="0"/>
          <w:numId w:val="7"/>
        </w:numPr>
        <w:spacing w:before="240" w:after="240"/>
      </w:pPr>
      <w:r w:rsidRPr="00EC4E7D">
        <w:rPr>
          <w:u w:val="single"/>
        </w:rPr>
        <w:t>X</w:t>
      </w:r>
      <w:r w:rsidRPr="00EC4E7D">
        <w:rPr>
          <w:highlight w:val="yellow"/>
          <w:u w:val="single"/>
        </w:rPr>
        <w:t>XXXX</w:t>
      </w:r>
      <w:r w:rsidR="001E009F">
        <w:t xml:space="preserve"> of</w:t>
      </w:r>
      <w:r w:rsidR="00D96E9B">
        <w:t xml:space="preserve"> transit station access</w:t>
      </w:r>
      <w:r w:rsidR="001E009F">
        <w:t xml:space="preserve"> planning</w:t>
      </w:r>
      <w:r w:rsidR="00D96E9B">
        <w:t xml:space="preserve">. </w:t>
      </w:r>
    </w:p>
    <w:p w:rsidR="009A50C3" w:rsidP="00DB5D3D" w:rsidRDefault="00D96E9B" w14:paraId="00000016" w14:textId="5165F6E8">
      <w:pPr>
        <w:spacing w:before="240" w:after="240"/>
      </w:pPr>
      <w:r>
        <w:t>This section reviews the</w:t>
      </w:r>
      <w:r w:rsidR="001E009F">
        <w:t xml:space="preserve"> four </w:t>
      </w:r>
      <w:r w:rsidR="00BE14CE">
        <w:t xml:space="preserve">TOC </w:t>
      </w:r>
      <w:r w:rsidR="00794221">
        <w:t>P</w:t>
      </w:r>
      <w:r w:rsidR="00BE14CE">
        <w:t xml:space="preserve">olicy </w:t>
      </w:r>
      <w:r w:rsidR="001E009F">
        <w:t>area</w:t>
      </w:r>
      <w:r w:rsidR="00BE14CE">
        <w:t xml:space="preserve">s and identifies areas where </w:t>
      </w:r>
      <w:r w:rsidR="00794221">
        <w:t xml:space="preserve">the </w:t>
      </w:r>
      <w:r w:rsidRPr="00D4146E" w:rsidR="00794221">
        <w:rPr>
          <w:highlight w:val="yellow"/>
        </w:rPr>
        <w:t>City/County</w:t>
      </w:r>
      <w:r w:rsidR="00794221">
        <w:t xml:space="preserve"> </w:t>
      </w:r>
      <w:r w:rsidR="006C350E">
        <w:t xml:space="preserve">is </w:t>
      </w:r>
      <w:r w:rsidR="00BE14CE">
        <w:t>consistent</w:t>
      </w:r>
      <w:r w:rsidR="00CF2DE7">
        <w:t xml:space="preserve"> with the TOC Policy requirements</w:t>
      </w:r>
      <w:r w:rsidR="00BE14CE">
        <w:t xml:space="preserve">, </w:t>
      </w:r>
      <w:r w:rsidR="006C350E">
        <w:t>needs</w:t>
      </w:r>
      <w:r w:rsidR="00BE14CE">
        <w:t xml:space="preserve"> updates</w:t>
      </w:r>
      <w:r w:rsidR="00CF2DE7">
        <w:t xml:space="preserve"> to</w:t>
      </w:r>
      <w:r w:rsidR="006C350E">
        <w:t xml:space="preserve"> </w:t>
      </w:r>
      <w:r w:rsidR="00AC1F04">
        <w:t>existing policies</w:t>
      </w:r>
      <w:r w:rsidR="00BE14CE">
        <w:t xml:space="preserve">, or would </w:t>
      </w:r>
      <w:r w:rsidR="00AC1F04">
        <w:t>need to adopt</w:t>
      </w:r>
      <w:r w:rsidR="00BE14CE">
        <w:t xml:space="preserve"> new polic</w:t>
      </w:r>
      <w:r w:rsidR="00AC1F04">
        <w:t>ies</w:t>
      </w:r>
      <w:r w:rsidR="00BE14CE">
        <w:t>.</w:t>
      </w:r>
      <w:r w:rsidR="001E009F">
        <w:t xml:space="preserve"> </w:t>
      </w:r>
    </w:p>
    <w:p w:rsidR="009A50C3" w:rsidP="00E72C12" w:rsidRDefault="006F550E" w14:paraId="00000017" w14:textId="719FE802">
      <w:pPr>
        <w:pStyle w:val="Heading2"/>
        <w:rPr/>
      </w:pPr>
      <w:r w:rsidR="6E46E05C">
        <w:rPr/>
        <w:t>Zoning and Density</w:t>
      </w:r>
    </w:p>
    <w:p w:rsidR="000F42D6" w:rsidP="00125BEA" w:rsidRDefault="000677A8" w14:paraId="61B4B9EE" w14:textId="006C1FD6">
      <w:r>
        <w:t xml:space="preserve">Generally, </w:t>
      </w:r>
      <w:r w:rsidRPr="00D4146E">
        <w:rPr>
          <w:highlight w:val="yellow"/>
          <w:u w:val="single"/>
        </w:rPr>
        <w:t>[</w:t>
      </w:r>
      <w:r w:rsidRPr="00D4146E">
        <w:rPr>
          <w:i/>
          <w:iCs/>
          <w:highlight w:val="yellow"/>
        </w:rPr>
        <w:t>Jurisdiction name</w:t>
      </w:r>
      <w:r>
        <w:rPr>
          <w:i/>
          <w:iCs/>
          <w:highlight w:val="yellow"/>
        </w:rPr>
        <w:t>]</w:t>
      </w:r>
      <w:r w:rsidRPr="000677A8">
        <w:t>'s</w:t>
      </w:r>
      <w:r w:rsidRPr="00125BEA">
        <w:t xml:space="preserve"> </w:t>
      </w:r>
      <w:r>
        <w:t xml:space="preserve">zoning regulations </w:t>
      </w:r>
      <w:r w:rsidRPr="00D4146E">
        <w:rPr>
          <w:highlight w:val="yellow"/>
        </w:rPr>
        <w:t>[are/are not]</w:t>
      </w:r>
      <w:r>
        <w:t xml:space="preserve"> consistent with the TOC Policy. ​</w:t>
      </w:r>
      <w:r w:rsidR="00D96E9B">
        <w:t xml:space="preserve">The </w:t>
      </w:r>
      <w:r w:rsidR="00084A9B">
        <w:t xml:space="preserve">land use </w:t>
      </w:r>
      <w:r w:rsidR="00D96E9B">
        <w:t xml:space="preserve">density requirements apply </w:t>
      </w:r>
      <w:r w:rsidR="00D96E9B">
        <w:rPr>
          <w:i/>
          <w:iCs/>
        </w:rPr>
        <w:t xml:space="preserve">only </w:t>
      </w:r>
      <w:r w:rsidR="00D96E9B">
        <w:t xml:space="preserve">to the </w:t>
      </w:r>
      <w:r w:rsidR="00084A9B">
        <w:t>half-</w:t>
      </w:r>
      <w:r w:rsidR="00D96E9B">
        <w:t>mile radius around</w:t>
      </w:r>
      <w:r w:rsidR="00C66191">
        <w:t xml:space="preserve"> </w:t>
      </w:r>
      <w:r w:rsidR="00D4146E">
        <w:t xml:space="preserve">a TOC </w:t>
      </w:r>
      <w:r w:rsidR="00C66191">
        <w:t xml:space="preserve">stop </w:t>
      </w:r>
      <w:r w:rsidR="00D4146E">
        <w:t xml:space="preserve">or </w:t>
      </w:r>
      <w:r w:rsidR="00D96E9B">
        <w:t>station.</w:t>
      </w:r>
      <w:r w:rsidR="00C66191">
        <w:t xml:space="preserve"> </w:t>
      </w:r>
      <w:r w:rsidR="00D96E9B">
        <w:t xml:space="preserve">The TOC </w:t>
      </w:r>
      <w:r w:rsidR="00FD0B55">
        <w:t xml:space="preserve">Policy </w:t>
      </w:r>
      <w:r w:rsidR="00D96E9B">
        <w:t xml:space="preserve">establishes specific targets for </w:t>
      </w:r>
      <w:r w:rsidR="00E622C3">
        <w:t xml:space="preserve">the </w:t>
      </w:r>
      <w:r w:rsidR="00D96E9B">
        <w:t>average</w:t>
      </w:r>
      <w:r w:rsidR="00084A9B">
        <w:t xml:space="preserve"> </w:t>
      </w:r>
      <w:r>
        <w:t xml:space="preserve">minimum and maximum </w:t>
      </w:r>
      <w:r w:rsidR="00084A9B">
        <w:t>residential</w:t>
      </w:r>
      <w:r w:rsidR="00D96E9B">
        <w:t xml:space="preserve"> density</w:t>
      </w:r>
      <w:r w:rsidR="00FD0B55">
        <w:t xml:space="preserve"> and commercial office intensity</w:t>
      </w:r>
      <w:r w:rsidR="00D96E9B">
        <w:t xml:space="preserve"> across </w:t>
      </w:r>
      <w:r w:rsidR="006441EE">
        <w:t xml:space="preserve">a TOC </w:t>
      </w:r>
      <w:r w:rsidR="00D96E9B">
        <w:t>area.</w:t>
      </w:r>
    </w:p>
    <w:p w:rsidR="000F42D6" w:rsidP="00125BEA" w:rsidRDefault="000F42D6" w14:paraId="326A1B38" w14:textId="77777777"/>
    <w:p w:rsidR="00E06D1F" w:rsidP="00A772EE" w:rsidRDefault="000677A8" w14:paraId="15F1D6C5" w14:textId="593C0A23">
      <w:r>
        <w:rPr>
          <w:highlight w:val="yellow"/>
        </w:rPr>
        <w:t>[</w:t>
      </w:r>
      <w:r w:rsidRPr="00D4146E" w:rsidR="00125BEA">
        <w:rPr>
          <w:highlight w:val="yellow"/>
        </w:rPr>
        <w:t>Jurisdiction name</w:t>
      </w:r>
      <w:r>
        <w:rPr>
          <w:highlight w:val="yellow"/>
        </w:rPr>
        <w:t>]</w:t>
      </w:r>
      <w:r w:rsidRPr="00D4146E" w:rsidR="00125BEA">
        <w:rPr>
          <w:highlight w:val="yellow"/>
        </w:rPr>
        <w:t xml:space="preserve"> [does/does not] have minimum densities</w:t>
      </w:r>
      <w:r w:rsidR="004915B4">
        <w:rPr>
          <w:highlight w:val="yellow"/>
        </w:rPr>
        <w:t xml:space="preserve"> for residential or commercial office development</w:t>
      </w:r>
      <w:r w:rsidRPr="00D4146E" w:rsidR="00125BEA">
        <w:rPr>
          <w:highlight w:val="yellow"/>
        </w:rPr>
        <w:t xml:space="preserve">. To be consistent with the TOC </w:t>
      </w:r>
      <w:r w:rsidR="004915B4">
        <w:rPr>
          <w:highlight w:val="yellow"/>
        </w:rPr>
        <w:t>P</w:t>
      </w:r>
      <w:r w:rsidRPr="00D4146E" w:rsidR="00125BEA">
        <w:rPr>
          <w:highlight w:val="yellow"/>
        </w:rPr>
        <w:t>olicy, staff recommend adopting density minimums.</w:t>
      </w:r>
      <w:r w:rsidR="00125BEA">
        <w:t xml:space="preserve"> </w:t>
      </w:r>
    </w:p>
    <w:p w:rsidR="00E06D1F" w:rsidP="00A772EE" w:rsidRDefault="00E06D1F" w14:paraId="31B6A4C2" w14:textId="77777777"/>
    <w:p w:rsidR="00F603AA" w:rsidP="00A772EE" w:rsidRDefault="00C94EC7" w14:paraId="20A05B47" w14:textId="3F6D1695">
      <w:pPr>
        <w:rPr>
          <w:i/>
          <w:iCs/>
        </w:rPr>
      </w:pPr>
      <w:r w:rsidRPr="00C94EC7">
        <w:rPr>
          <w:i/>
          <w:iCs/>
          <w:highlight w:val="yellow"/>
        </w:rPr>
        <w:t>[</w:t>
      </w:r>
      <w:r>
        <w:rPr>
          <w:i/>
          <w:iCs/>
          <w:highlight w:val="yellow"/>
        </w:rPr>
        <w:t>In the table below, d</w:t>
      </w:r>
      <w:r w:rsidRPr="00C94EC7">
        <w:rPr>
          <w:i/>
          <w:iCs/>
          <w:highlight w:val="yellow"/>
        </w:rPr>
        <w:t xml:space="preserve">escribe the current status of </w:t>
      </w:r>
      <w:r w:rsidR="00161807">
        <w:rPr>
          <w:i/>
          <w:iCs/>
          <w:highlight w:val="yellow"/>
        </w:rPr>
        <w:t xml:space="preserve">each existing </w:t>
      </w:r>
      <w:r w:rsidRPr="00C94EC7">
        <w:rPr>
          <w:i/>
          <w:iCs/>
          <w:highlight w:val="yellow"/>
        </w:rPr>
        <w:t xml:space="preserve">policy </w:t>
      </w:r>
      <w:r w:rsidR="00161807">
        <w:rPr>
          <w:i/>
          <w:iCs/>
          <w:highlight w:val="yellow"/>
        </w:rPr>
        <w:t xml:space="preserve">in complying with TOC requirements </w:t>
      </w:r>
      <w:r w:rsidRPr="00C94EC7">
        <w:rPr>
          <w:i/>
          <w:iCs/>
          <w:highlight w:val="yellow"/>
        </w:rPr>
        <w:t>(e.g., currently consistent, needs amendment, need new policy, etc.).]</w:t>
      </w:r>
    </w:p>
    <w:p w:rsidRPr="00A772EE" w:rsidR="00C94EC7" w:rsidP="00A772EE" w:rsidRDefault="00C94EC7" w14:paraId="1AA9C94C" w14:textId="77777777"/>
    <w:tbl>
      <w:tblPr>
        <w:tblStyle w:val="GridTable4-Accent5"/>
        <w:tblW w:w="9265" w:type="dxa"/>
        <w:tblLayout w:type="fixed"/>
        <w:tblLook w:val="0620" w:firstRow="1" w:lastRow="0" w:firstColumn="0" w:lastColumn="0" w:noHBand="1" w:noVBand="1"/>
      </w:tblPr>
      <w:tblGrid>
        <w:gridCol w:w="5840"/>
        <w:gridCol w:w="3425"/>
      </w:tblGrid>
      <w:tr w:rsidRPr="00A772EE" w:rsidR="00A772EE" w:rsidTr="3C5F5BBA" w14:paraId="03F43B83"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0000000000" w:firstRow="0" w:lastRow="0" w:firstColumn="0" w:lastColumn="0" w:oddVBand="0" w:evenVBand="0" w:oddHBand="0" w:evenHBand="0" w:firstRowFirstColumn="0" w:firstRowLastColumn="0" w:lastRowFirstColumn="0" w:lastRowLastColumn="0"/>
            <w:tcW w:w="5840" w:type="dxa"/>
            <w:tcMar/>
            <w:hideMark/>
          </w:tcPr>
          <w:p w:rsidRPr="00A772EE" w:rsidR="00A772EE" w:rsidP="3C5F5BBA" w:rsidRDefault="00A772EE" w14:paraId="32CE54A9" w14:textId="26BC2BEF" w14:noSpellErr="1">
            <w:pPr>
              <w:spacing/>
              <w:contextualSpacing/>
              <w:cnfStyle w:val="100000000000" w:firstRow="1" w:lastRow="0" w:firstColumn="0" w:lastColumn="0" w:oddVBand="0" w:evenVBand="0" w:oddHBand="0" w:evenHBand="0" w:firstRowFirstColumn="0" w:firstRowLastColumn="0" w:lastRowFirstColumn="0" w:lastRowLastColumn="0"/>
              <w:rPr>
                <w:lang w:val="en-US"/>
              </w:rPr>
            </w:pPr>
            <w:r w:rsidRPr="297C3BAE">
              <w:rPr>
                <w:color w:val="FFFFFF" w:themeColor="light1"/>
                <w:kern w:val="24"/>
                <w:lang w:val="en-US"/>
              </w:rPr>
              <w:t xml:space="preserve">TOC Policy </w:t>
            </w:r>
          </w:p>
        </w:tc>
        <w:tc>
          <w:tcPr>
            <w:cnfStyle w:val="000000000000" w:firstRow="0" w:lastRow="0" w:firstColumn="0" w:lastColumn="0" w:oddVBand="0" w:evenVBand="0" w:oddHBand="0" w:evenHBand="0" w:firstRowFirstColumn="0" w:firstRowLastColumn="0" w:lastRowFirstColumn="0" w:lastRowLastColumn="0"/>
            <w:tcW w:w="3425" w:type="dxa"/>
            <w:tcMar/>
            <w:hideMark/>
          </w:tcPr>
          <w:p w:rsidRPr="00A772EE" w:rsidR="00A772EE" w:rsidP="3C5F5BBA" w:rsidRDefault="00D4146E" w14:paraId="30929F41" w14:textId="6B3BC51D" w14:noSpellErr="1">
            <w:pPr>
              <w:spacing/>
              <w:contextualSpacing/>
              <w:cnfStyle w:val="100000000000" w:firstRow="1" w:lastRow="0" w:firstColumn="0" w:lastColumn="0" w:oddVBand="0" w:evenVBand="0" w:oddHBand="0" w:evenHBand="0" w:firstRowFirstColumn="0" w:firstRowLastColumn="0" w:lastRowFirstColumn="0" w:lastRowLastColumn="0"/>
              <w:rPr>
                <w:lang w:val="en-US"/>
              </w:rPr>
            </w:pPr>
            <w:r w:rsidRPr="297C3BAE">
              <w:rPr>
                <w:color w:val="FFFFFF" w:themeColor="light1"/>
                <w:kern w:val="24"/>
                <w:lang w:val="en-US"/>
              </w:rPr>
              <w:t xml:space="preserve">Status </w:t>
            </w:r>
          </w:p>
        </w:tc>
      </w:tr>
      <w:tr w:rsidRPr="00A772EE" w:rsidR="00A772EE" w:rsidTr="3C5F5BBA" w14:paraId="7C1C3C1F" w14:textId="77777777">
        <w:trPr>
          <w:trHeight w:val="379" w:hRule="exact"/>
        </w:trPr>
        <w:tc>
          <w:tcPr>
            <w:cnfStyle w:val="000000000000" w:firstRow="0" w:lastRow="0" w:firstColumn="0" w:lastColumn="0" w:oddVBand="0" w:evenVBand="0" w:oddHBand="0" w:evenHBand="0" w:firstRowFirstColumn="0" w:firstRowLastColumn="0" w:lastRowFirstColumn="0" w:lastRowLastColumn="0"/>
            <w:tcW w:w="0" w:type="dxa"/>
            <w:shd w:val="clear" w:color="auto" w:fill="FFFFFF" w:themeFill="background1"/>
            <w:tcMar/>
            <w:hideMark/>
          </w:tcPr>
          <w:p w:rsidRPr="00A772EE" w:rsidR="00A772EE" w:rsidP="3C5F5BBA" w:rsidRDefault="00A772EE" w14:paraId="4B9BBB39" w14:textId="77777777" w14:noSpellErr="1">
            <w:pPr>
              <w:spacing/>
              <w:contextualSpacing/>
              <w:rPr>
                <w:lang w:val="en-US"/>
              </w:rPr>
            </w:pPr>
            <w:r w:rsidRPr="297C3BAE">
              <w:rPr>
                <w:color w:val="000000" w:themeColor="dark1"/>
                <w:kern w:val="24"/>
                <w:lang w:val="en-US"/>
              </w:rPr>
              <w:t>Residential Density Minimum</w:t>
            </w:r>
          </w:p>
        </w:tc>
        <w:tc>
          <w:tcPr>
            <w:cnfStyle w:val="000000000000" w:firstRow="0" w:lastRow="0" w:firstColumn="0" w:lastColumn="0" w:oddVBand="0" w:evenVBand="0" w:oddHBand="0" w:evenHBand="0" w:firstRowFirstColumn="0" w:firstRowLastColumn="0" w:lastRowFirstColumn="0" w:lastRowLastColumn="0"/>
            <w:tcW w:w="0" w:type="dxa"/>
            <w:shd w:val="clear" w:color="auto" w:fill="FFFFFF" w:themeFill="background1"/>
            <w:tcMar/>
            <w:hideMark/>
          </w:tcPr>
          <w:p w:rsidRPr="00D4146E" w:rsidR="00A772EE" w:rsidP="3C5F5BBA" w:rsidRDefault="00A772EE" w14:paraId="306A611C" w14:textId="00DE1D20" w14:noSpellErr="1">
            <w:pPr>
              <w:spacing/>
              <w:contextualSpacing/>
              <w:rPr>
                <w:highlight w:val="yellow"/>
                <w:lang w:val="en-US"/>
              </w:rPr>
            </w:pPr>
          </w:p>
        </w:tc>
      </w:tr>
      <w:tr w:rsidRPr="00A772EE" w:rsidR="00E06D1F" w:rsidTr="3C5F5BBA" w14:paraId="75FDDD85" w14:textId="77777777">
        <w:trPr>
          <w:trHeight w:val="374" w:hRule="exact"/>
        </w:trPr>
        <w:tc>
          <w:tcPr>
            <w:cnfStyle w:val="000000000000" w:firstRow="0" w:lastRow="0" w:firstColumn="0" w:lastColumn="0" w:oddVBand="0" w:evenVBand="0" w:oddHBand="0" w:evenHBand="0" w:firstRowFirstColumn="0" w:firstRowLastColumn="0" w:lastRowFirstColumn="0" w:lastRowLastColumn="0"/>
            <w:tcW w:w="0" w:type="dxa"/>
            <w:shd w:val="clear" w:color="auto" w:fill="FFFFFF" w:themeFill="background1"/>
            <w:tcMar/>
            <w:hideMark/>
          </w:tcPr>
          <w:p w:rsidRPr="00A772EE" w:rsidR="00E06D1F" w:rsidP="3C5F5BBA" w:rsidRDefault="00E06D1F" w14:paraId="623B6001" w14:textId="77777777" w14:noSpellErr="1">
            <w:pPr>
              <w:spacing/>
              <w:contextualSpacing/>
              <w:rPr>
                <w:lang w:val="en-US"/>
              </w:rPr>
            </w:pPr>
            <w:r w:rsidRPr="297C3BAE">
              <w:rPr>
                <w:color w:val="000000" w:themeColor="dark1"/>
                <w:kern w:val="24"/>
                <w:lang w:val="en-US"/>
              </w:rPr>
              <w:t>Residential Density Maximum</w:t>
            </w:r>
          </w:p>
        </w:tc>
        <w:tc>
          <w:tcPr>
            <w:cnfStyle w:val="000000000000" w:firstRow="0" w:lastRow="0" w:firstColumn="0" w:lastColumn="0" w:oddVBand="0" w:evenVBand="0" w:oddHBand="0" w:evenHBand="0" w:firstRowFirstColumn="0" w:firstRowLastColumn="0" w:lastRowFirstColumn="0" w:lastRowLastColumn="0"/>
            <w:tcW w:w="0" w:type="dxa"/>
            <w:shd w:val="clear" w:color="auto" w:fill="FFFFFF" w:themeFill="background1"/>
            <w:tcMar/>
            <w:hideMark/>
          </w:tcPr>
          <w:p w:rsidRPr="00D4146E" w:rsidR="00E06D1F" w:rsidP="3C5F5BBA" w:rsidRDefault="00E06D1F" w14:paraId="1ADEF230" w14:textId="5642ABB6" w14:noSpellErr="1">
            <w:pPr>
              <w:spacing/>
              <w:contextualSpacing/>
              <w:rPr>
                <w:highlight w:val="yellow"/>
                <w:lang w:val="en-US"/>
              </w:rPr>
            </w:pPr>
          </w:p>
        </w:tc>
      </w:tr>
      <w:tr w:rsidRPr="00A772EE" w:rsidR="00E06D1F" w:rsidTr="3C5F5BBA" w14:paraId="73CB0D94" w14:textId="77777777">
        <w:trPr>
          <w:trHeight w:val="374" w:hRule="exact"/>
        </w:trPr>
        <w:tc>
          <w:tcPr>
            <w:cnfStyle w:val="000000000000" w:firstRow="0" w:lastRow="0" w:firstColumn="0" w:lastColumn="0" w:oddVBand="0" w:evenVBand="0" w:oddHBand="0" w:evenHBand="0" w:firstRowFirstColumn="0" w:firstRowLastColumn="0" w:lastRowFirstColumn="0" w:lastRowLastColumn="0"/>
            <w:tcW w:w="0" w:type="dxa"/>
            <w:shd w:val="clear" w:color="auto" w:fill="FFFFFF" w:themeFill="background1"/>
            <w:tcMar/>
            <w:hideMark/>
          </w:tcPr>
          <w:p w:rsidRPr="00A772EE" w:rsidR="00E06D1F" w:rsidP="3C5F5BBA" w:rsidRDefault="00E06D1F" w14:paraId="27283F77" w14:textId="77777777" w14:noSpellErr="1">
            <w:pPr>
              <w:spacing/>
              <w:contextualSpacing/>
              <w:rPr>
                <w:lang w:val="en-US"/>
              </w:rPr>
            </w:pPr>
            <w:r w:rsidRPr="297C3BAE">
              <w:rPr>
                <w:color w:val="000000" w:themeColor="dark1"/>
                <w:kern w:val="24"/>
                <w:lang w:val="en-US"/>
              </w:rPr>
              <w:t>Commercial Office Density Minimum</w:t>
            </w:r>
          </w:p>
        </w:tc>
        <w:tc>
          <w:tcPr>
            <w:cnfStyle w:val="000000000000" w:firstRow="0" w:lastRow="0" w:firstColumn="0" w:lastColumn="0" w:oddVBand="0" w:evenVBand="0" w:oddHBand="0" w:evenHBand="0" w:firstRowFirstColumn="0" w:firstRowLastColumn="0" w:lastRowFirstColumn="0" w:lastRowLastColumn="0"/>
            <w:tcW w:w="0" w:type="dxa"/>
            <w:shd w:val="clear" w:color="auto" w:fill="FFFFFF" w:themeFill="background1"/>
            <w:tcMar/>
            <w:hideMark/>
          </w:tcPr>
          <w:p w:rsidRPr="00D4146E" w:rsidR="00E06D1F" w:rsidP="3C5F5BBA" w:rsidRDefault="00E06D1F" w14:paraId="4E176D5B" w14:textId="3789DD70" w14:noSpellErr="1">
            <w:pPr>
              <w:spacing/>
              <w:contextualSpacing/>
              <w:rPr>
                <w:highlight w:val="yellow"/>
                <w:lang w:val="en-US"/>
              </w:rPr>
            </w:pPr>
          </w:p>
        </w:tc>
      </w:tr>
      <w:tr w:rsidRPr="00A772EE" w:rsidR="00A772EE" w:rsidTr="3C5F5BBA" w14:paraId="28BE7275" w14:textId="77777777">
        <w:trPr>
          <w:trHeight w:val="374" w:hRule="exact"/>
        </w:trPr>
        <w:tc>
          <w:tcPr>
            <w:cnfStyle w:val="000000000000" w:firstRow="0" w:lastRow="0" w:firstColumn="0" w:lastColumn="0" w:oddVBand="0" w:evenVBand="0" w:oddHBand="0" w:evenHBand="0" w:firstRowFirstColumn="0" w:firstRowLastColumn="0" w:lastRowFirstColumn="0" w:lastRowLastColumn="0"/>
            <w:tcW w:w="0" w:type="dxa"/>
            <w:shd w:val="clear" w:color="auto" w:fill="FFFFFF" w:themeFill="background1"/>
            <w:tcMar/>
            <w:hideMark/>
          </w:tcPr>
          <w:p w:rsidRPr="00A772EE" w:rsidR="00A772EE" w:rsidP="3C5F5BBA" w:rsidRDefault="00A772EE" w14:paraId="4FD4D895" w14:textId="77777777" w14:noSpellErr="1">
            <w:pPr>
              <w:spacing/>
              <w:contextualSpacing/>
              <w:rPr>
                <w:lang w:val="en-US"/>
              </w:rPr>
            </w:pPr>
            <w:r w:rsidRPr="297C3BAE">
              <w:rPr>
                <w:color w:val="000000" w:themeColor="dark1"/>
                <w:kern w:val="24"/>
                <w:lang w:val="en-US"/>
              </w:rPr>
              <w:t>Commercial Office Density Maximum</w:t>
            </w:r>
          </w:p>
        </w:tc>
        <w:tc>
          <w:tcPr>
            <w:cnfStyle w:val="000000000000" w:firstRow="0" w:lastRow="0" w:firstColumn="0" w:lastColumn="0" w:oddVBand="0" w:evenVBand="0" w:oddHBand="0" w:evenHBand="0" w:firstRowFirstColumn="0" w:firstRowLastColumn="0" w:lastRowFirstColumn="0" w:lastRowLastColumn="0"/>
            <w:tcW w:w="0" w:type="dxa"/>
            <w:shd w:val="clear" w:color="auto" w:fill="FFFFFF" w:themeFill="background1"/>
            <w:tcMar/>
            <w:hideMark/>
          </w:tcPr>
          <w:p w:rsidRPr="00D4146E" w:rsidR="00A772EE" w:rsidP="3C5F5BBA" w:rsidRDefault="00A772EE" w14:paraId="3385A2AC" w14:textId="63061661" w14:noSpellErr="1">
            <w:pPr>
              <w:spacing/>
              <w:contextualSpacing/>
              <w:rPr>
                <w:highlight w:val="yellow"/>
                <w:lang w:val="en-US"/>
              </w:rPr>
            </w:pPr>
          </w:p>
        </w:tc>
      </w:tr>
    </w:tbl>
    <w:p w:rsidRPr="00A772EE" w:rsidR="00A772EE" w:rsidP="00A772EE" w:rsidRDefault="00A772EE" w14:paraId="394E486A" w14:textId="77777777"/>
    <w:p w:rsidR="009A50C3" w:rsidP="3C5F5BBA" w:rsidRDefault="00D63C94" w14:paraId="0000001A" w14:textId="1FFC8199" w14:noSpellErr="1">
      <w:pPr>
        <w:pStyle w:val="Heading2"/>
        <w:rPr/>
      </w:pPr>
      <w:bookmarkStart w:name="_u8yxbemld4yf" w:id="102"/>
      <w:bookmarkStart w:name="_3733lotyjy5y" w:id="103"/>
      <w:bookmarkEnd w:id="102"/>
      <w:bookmarkEnd w:id="103"/>
      <w:r w:rsidR="6E46E05C">
        <w:rPr/>
        <w:t xml:space="preserve">Affordable Housing </w:t>
      </w:r>
      <w:r w:rsidRPr="6E46E05C" w:rsidR="6E46E05C">
        <w:rPr>
          <w:highlight w:val="yellow"/>
        </w:rPr>
        <w:t>and Commercial Stabilization</w:t>
      </w:r>
      <w:r w:rsidR="6E46E05C">
        <w:rPr/>
        <w:t xml:space="preserve"> Policies</w:t>
      </w:r>
    </w:p>
    <w:p w:rsidR="001E009F" w:rsidP="001E009F" w:rsidRDefault="001E009F" w14:paraId="4A2EA097" w14:textId="77777777"/>
    <w:p w:rsidR="00DE6609" w:rsidP="00DE6609" w:rsidRDefault="00DE6609" w14:paraId="4F80C1C7" w14:textId="1E7E76B6">
      <w:r w:rsidRPr="002C0A82">
        <w:rPr>
          <w:b/>
          <w:bCs/>
          <w:highlight w:val="yellow"/>
        </w:rPr>
        <w:t>[Note</w:t>
      </w:r>
      <w:r>
        <w:rPr>
          <w:b/>
          <w:bCs/>
          <w:highlight w:val="yellow"/>
        </w:rPr>
        <w:t xml:space="preserve"> to Jurisdictions</w:t>
      </w:r>
      <w:r w:rsidRPr="002C0A82">
        <w:rPr>
          <w:highlight w:val="yellow"/>
        </w:rPr>
        <w:t xml:space="preserve">: the commercial stabilization policies are not eligible for funding from the TOC Planning and Implementation Grant program. Information about these policies is included </w:t>
      </w:r>
      <w:r w:rsidRPr="002C0A82">
        <w:rPr>
          <w:highlight w:val="yellow"/>
        </w:rPr>
        <w:lastRenderedPageBreak/>
        <w:t xml:space="preserve">here in case you want to update your Council/Board about </w:t>
      </w:r>
      <w:r w:rsidR="0088247D">
        <w:rPr>
          <w:highlight w:val="yellow"/>
        </w:rPr>
        <w:t>your</w:t>
      </w:r>
      <w:r w:rsidRPr="002C0A82">
        <w:rPr>
          <w:highlight w:val="yellow"/>
        </w:rPr>
        <w:t xml:space="preserve"> jurisdiction’s status on all TOC requirements.</w:t>
      </w:r>
      <w:r>
        <w:t>]</w:t>
      </w:r>
    </w:p>
    <w:p w:rsidR="00DE6609" w:rsidP="001E009F" w:rsidRDefault="00DE6609" w14:paraId="050943F5" w14:textId="77777777"/>
    <w:p w:rsidRPr="002C0A82" w:rsidR="001E009F" w:rsidP="001E009F" w:rsidRDefault="00E70711" w14:paraId="46F663EC" w14:textId="062CF03F">
      <w:pPr>
        <w:rPr>
          <w:highlight w:val="yellow"/>
        </w:rPr>
      </w:pPr>
      <w:r>
        <w:t xml:space="preserve">The </w:t>
      </w:r>
      <w:r w:rsidR="001E009F">
        <w:t xml:space="preserve">TOC </w:t>
      </w:r>
      <w:r>
        <w:t>P</w:t>
      </w:r>
      <w:r w:rsidR="00BE14CE">
        <w:t>olicy requires</w:t>
      </w:r>
      <w:r w:rsidR="001E009F">
        <w:t xml:space="preserve"> </w:t>
      </w:r>
      <w:r w:rsidR="005B467D">
        <w:t xml:space="preserve">jurisdictions to </w:t>
      </w:r>
      <w:r w:rsidR="00AB7449">
        <w:t xml:space="preserve">have adopted </w:t>
      </w:r>
      <w:r w:rsidR="001E009F">
        <w:t>at least six affordable housing policies</w:t>
      </w:r>
      <w:r w:rsidR="00E96BD0">
        <w:t>,</w:t>
      </w:r>
      <w:r w:rsidR="00092715">
        <w:t xml:space="preserve"> which jurisdictions can select from a menu of 26 policies identified in the TOC policy. Jurisdictions </w:t>
      </w:r>
      <w:r w:rsidR="00BE14CE">
        <w:t xml:space="preserve">should select </w:t>
      </w:r>
      <w:r w:rsidR="00092715">
        <w:t xml:space="preserve">at least two policies </w:t>
      </w:r>
      <w:r w:rsidR="007568D8">
        <w:t xml:space="preserve">for </w:t>
      </w:r>
      <w:r w:rsidRPr="007568D8" w:rsidR="007568D8">
        <w:t>each of the “3Ps”—affordable housing production, preservation, and protection</w:t>
      </w:r>
      <w:r w:rsidR="00092715">
        <w:t>.</w:t>
      </w:r>
      <w:r w:rsidR="002C0A82">
        <w:t xml:space="preserve"> </w:t>
      </w:r>
      <w:r w:rsidRPr="002C0A82" w:rsidR="002C0A82">
        <w:rPr>
          <w:highlight w:val="yellow"/>
        </w:rPr>
        <w:t>Additionally, jurisdictions must select at least one commercial stabilization policy from a menu of four policy options.</w:t>
      </w:r>
    </w:p>
    <w:p w:rsidRPr="002C0A82" w:rsidR="002C0A82" w:rsidP="001E009F" w:rsidRDefault="002C0A82" w14:paraId="0210C484" w14:textId="77777777">
      <w:pPr>
        <w:rPr>
          <w:highlight w:val="yellow"/>
        </w:rPr>
      </w:pPr>
    </w:p>
    <w:p w:rsidR="00127E33" w:rsidP="001E009F" w:rsidRDefault="00127E33" w14:paraId="748C14CC" w14:textId="1DC7382C">
      <w:r>
        <w:t xml:space="preserve">Staff’s review of the TOC Policy requirements and the </w:t>
      </w:r>
      <w:r w:rsidRPr="00536595">
        <w:rPr>
          <w:highlight w:val="yellow"/>
        </w:rPr>
        <w:t>City</w:t>
      </w:r>
      <w:r>
        <w:rPr>
          <w:highlight w:val="yellow"/>
        </w:rPr>
        <w:t>’s</w:t>
      </w:r>
      <w:r w:rsidRPr="00536595">
        <w:rPr>
          <w:highlight w:val="yellow"/>
        </w:rPr>
        <w:t>/County</w:t>
      </w:r>
      <w:r>
        <w:t>’s housing polic</w:t>
      </w:r>
      <w:r w:rsidR="00E00794">
        <w:t xml:space="preserve">ies </w:t>
      </w:r>
      <w:r>
        <w:t>determined the following:</w:t>
      </w:r>
    </w:p>
    <w:p w:rsidRPr="00EC7019" w:rsidR="009A50C3" w:rsidRDefault="006F550E" w14:paraId="0000001B" w14:textId="073A7F50">
      <w:pPr>
        <w:numPr>
          <w:ilvl w:val="0"/>
          <w:numId w:val="5"/>
        </w:numPr>
        <w:spacing w:before="240"/>
      </w:pPr>
      <w:r w:rsidRPr="004C3D0C">
        <w:rPr>
          <w:u w:val="single"/>
        </w:rPr>
        <w:t>[</w:t>
      </w:r>
      <w:r w:rsidRPr="002623D6">
        <w:rPr>
          <w:i/>
          <w:iCs/>
          <w:highlight w:val="yellow"/>
        </w:rPr>
        <w:t>Insert number</w:t>
      </w:r>
      <w:r w:rsidRPr="002623D6">
        <w:t xml:space="preserve">] </w:t>
      </w:r>
      <w:r w:rsidRPr="00EC7019">
        <w:t xml:space="preserve">existing housing policies align with </w:t>
      </w:r>
      <w:r w:rsidR="002C2925">
        <w:t xml:space="preserve">TOC Policy </w:t>
      </w:r>
      <w:r w:rsidRPr="00EC7019">
        <w:t xml:space="preserve">3Ps </w:t>
      </w:r>
      <w:r w:rsidR="00973A6E">
        <w:t>requirements</w:t>
      </w:r>
      <w:r w:rsidRPr="00EC7019">
        <w:t>.</w:t>
      </w:r>
    </w:p>
    <w:p w:rsidRPr="00EC7019" w:rsidR="009A50C3" w:rsidRDefault="006F550E" w14:paraId="0000001C" w14:textId="624362BA">
      <w:pPr>
        <w:numPr>
          <w:ilvl w:val="0"/>
          <w:numId w:val="5"/>
        </w:numPr>
      </w:pPr>
      <w:r w:rsidRPr="002623D6">
        <w:t>[</w:t>
      </w:r>
      <w:r w:rsidRPr="002623D6">
        <w:rPr>
          <w:i/>
          <w:iCs/>
          <w:highlight w:val="yellow"/>
        </w:rPr>
        <w:t>Insert number</w:t>
      </w:r>
      <w:r w:rsidRPr="002623D6">
        <w:t xml:space="preserve">] </w:t>
      </w:r>
      <w:r w:rsidRPr="00EC7019">
        <w:t xml:space="preserve">policies will require amendments to </w:t>
      </w:r>
      <w:r w:rsidRPr="00EC7019" w:rsidR="00BE14CE">
        <w:t>be consistent</w:t>
      </w:r>
      <w:r w:rsidR="00D328E0">
        <w:t xml:space="preserve"> with the TOC Policy</w:t>
      </w:r>
      <w:r w:rsidRPr="00EC7019">
        <w:t>.</w:t>
      </w:r>
    </w:p>
    <w:p w:rsidRPr="002623D6" w:rsidR="009A50C3" w:rsidRDefault="006F550E" w14:paraId="0000001D" w14:textId="59B17031">
      <w:pPr>
        <w:numPr>
          <w:ilvl w:val="0"/>
          <w:numId w:val="5"/>
        </w:numPr>
        <w:spacing w:after="240"/>
        <w:rPr>
          <w:i/>
          <w:iCs/>
        </w:rPr>
      </w:pPr>
      <w:r w:rsidRPr="002623D6">
        <w:t>[</w:t>
      </w:r>
      <w:r w:rsidRPr="002623D6">
        <w:rPr>
          <w:i/>
          <w:iCs/>
          <w:highlight w:val="yellow"/>
        </w:rPr>
        <w:t>Insert number</w:t>
      </w:r>
      <w:r w:rsidRPr="002623D6">
        <w:t xml:space="preserve">] </w:t>
      </w:r>
      <w:r w:rsidRPr="00EC7019">
        <w:t>new</w:t>
      </w:r>
      <w:r>
        <w:t xml:space="preserve"> housing policies</w:t>
      </w:r>
      <w:r w:rsidR="00201BB9">
        <w:t xml:space="preserve"> are needed</w:t>
      </w:r>
      <w:r>
        <w:t xml:space="preserve"> </w:t>
      </w:r>
      <w:r w:rsidR="00BE14CE">
        <w:t xml:space="preserve">to </w:t>
      </w:r>
      <w:r w:rsidR="00FF3595">
        <w:t xml:space="preserve">be </w:t>
      </w:r>
      <w:r w:rsidRPr="00EC7019" w:rsidR="00FF3595">
        <w:t>consistent</w:t>
      </w:r>
      <w:r w:rsidR="00FF3595">
        <w:t xml:space="preserve"> with the TOC Policy</w:t>
      </w:r>
      <w:r w:rsidR="00201BB9">
        <w:t xml:space="preserve"> </w:t>
      </w:r>
      <w:r w:rsidRPr="004C3D0C">
        <w:rPr>
          <w:u w:val="single"/>
        </w:rPr>
        <w:t>[</w:t>
      </w:r>
      <w:r w:rsidRPr="002623D6">
        <w:rPr>
          <w:i/>
          <w:iCs/>
          <w:highlight w:val="yellow"/>
        </w:rPr>
        <w:t>specific issue, e.g., affordability, tenant protections</w:t>
      </w:r>
      <w:r w:rsidRPr="002623D6">
        <w:rPr>
          <w:i/>
          <w:iCs/>
        </w:rPr>
        <w:t>].</w:t>
      </w:r>
    </w:p>
    <w:p w:rsidR="00201BB9" w:rsidP="00092715" w:rsidRDefault="00201BB9" w14:paraId="73BBCF2E" w14:textId="119C0B7F">
      <w:r>
        <w:t xml:space="preserve">The tables below </w:t>
      </w:r>
      <w:r w:rsidR="006E4689">
        <w:t>list the policies staff recommend pursuing to achieve TOC Policy compliance.</w:t>
      </w:r>
    </w:p>
    <w:p w:rsidR="00FF3595" w:rsidP="00092715" w:rsidRDefault="00FF3595" w14:paraId="2B9B7ACF" w14:textId="77777777">
      <w:pPr>
        <w:rPr>
          <w:i/>
          <w:iCs/>
        </w:rPr>
      </w:pPr>
    </w:p>
    <w:p w:rsidR="003F1AE0" w:rsidP="003F1AE0" w:rsidRDefault="00FF3595" w14:paraId="3AAE2907" w14:textId="155FA87F">
      <w:pPr>
        <w:rPr>
          <w:i/>
          <w:iCs/>
        </w:rPr>
      </w:pPr>
      <w:r w:rsidRPr="002623D6">
        <w:rPr>
          <w:i/>
          <w:iCs/>
          <w:highlight w:val="yellow"/>
        </w:rPr>
        <w:t>Discuss overlap with Housing Element Implementation or other efforts here.</w:t>
      </w:r>
    </w:p>
    <w:p w:rsidR="00FF3595" w:rsidP="003F1AE0" w:rsidRDefault="00FF3595" w14:paraId="249E5132" w14:textId="77777777">
      <w:pPr>
        <w:rPr>
          <w:i/>
          <w:iCs/>
        </w:rPr>
      </w:pPr>
    </w:p>
    <w:p w:rsidR="003F1AE0" w:rsidP="003F1AE0" w:rsidRDefault="003F1AE0" w14:paraId="50C37017" w14:textId="1F7E3BFA">
      <w:pPr>
        <w:rPr>
          <w:i/>
          <w:iCs/>
        </w:rPr>
      </w:pPr>
      <w:r w:rsidRPr="00FF3595">
        <w:rPr>
          <w:i/>
          <w:iCs/>
          <w:highlight w:val="yellow"/>
        </w:rPr>
        <w:t>[The tables below list the policy options from the TOC Policy menu. Update the text in the table as needed to identify the two (or more, if desired) policy options staff is recommending to submit to MTC to demonstrate compliance with the TOC Policy. Describe the current status of the policy (e.g., currently consistent, needs amendment, need new policy, etc.).]</w:t>
      </w:r>
    </w:p>
    <w:p w:rsidR="00201BB9" w:rsidP="00092715" w:rsidRDefault="00201BB9" w14:paraId="3963760F" w14:textId="77777777">
      <w:pPr>
        <w:rPr>
          <w:i/>
          <w:iCs/>
        </w:rPr>
      </w:pPr>
    </w:p>
    <w:p w:rsidRPr="002623D6" w:rsidR="003F1AE0" w:rsidP="6E46E05C" w:rsidRDefault="003F1AE0" w14:paraId="12EB4801" w14:textId="2513D1B6">
      <w:pPr>
        <w:pStyle w:val="Heading3"/>
        <w:rPr>
          <w:b w:val="1"/>
          <w:bCs w:val="1"/>
          <w:i w:val="0"/>
          <w:iCs w:val="0"/>
        </w:rPr>
      </w:pPr>
      <w:r w:rsidR="6E46E05C">
        <w:rPr/>
        <w:t>Production</w:t>
      </w:r>
    </w:p>
    <w:p w:rsidR="00057856" w:rsidP="00092715" w:rsidRDefault="00E06D1F" w14:paraId="0E8D128E" w14:textId="1D4AF1F4">
      <w:pPr>
        <w:rPr>
          <w:i/>
          <w:iCs/>
        </w:rPr>
      </w:pPr>
      <w:r w:rsidRPr="3C5F5BBA" w:rsidR="3C5F5BBA">
        <w:rPr>
          <w:i w:val="1"/>
          <w:iCs w:val="1"/>
          <w:highlight w:val="yellow"/>
        </w:rPr>
        <w:t>Discuss reasons some production policies are recommended and/or why some policies are not recommended.</w:t>
      </w:r>
      <w:r w:rsidRPr="3C5F5BBA" w:rsidR="3C5F5BBA">
        <w:rPr>
          <w:i w:val="1"/>
          <w:iCs w:val="1"/>
        </w:rPr>
        <w:t xml:space="preserve"> </w:t>
      </w:r>
    </w:p>
    <w:p w:rsidR="3C5F5BBA" w:rsidP="3C5F5BBA" w:rsidRDefault="3C5F5BBA" w14:paraId="77A36E0E" w14:textId="4B96BECA">
      <w:pPr>
        <w:rPr>
          <w:i w:val="1"/>
          <w:iCs w:val="1"/>
        </w:rPr>
      </w:pPr>
    </w:p>
    <w:p w:rsidR="00057856" w:rsidP="6E46E05C" w:rsidRDefault="00057856" w14:paraId="60B165E6" w14:textId="0C64A565">
      <w:pPr>
        <w:pStyle w:val="Heading4"/>
        <w:rPr>
          <w:b w:val="0"/>
          <w:bCs w:val="0"/>
          <w:i w:val="1"/>
          <w:iCs w:val="1"/>
        </w:rPr>
      </w:pPr>
      <w:r w:rsidR="6E46E05C">
        <w:rPr/>
        <w:t xml:space="preserve">Recommended Production Policies </w:t>
      </w:r>
    </w:p>
    <w:tbl>
      <w:tblPr>
        <w:tblStyle w:val="GridTable4-Accent5"/>
        <w:tblW w:w="9265" w:type="dxa"/>
        <w:tblLayout w:type="fixed"/>
        <w:tblLook w:val="0420" w:firstRow="1" w:lastRow="0" w:firstColumn="0" w:lastColumn="0" w:noHBand="0" w:noVBand="1"/>
      </w:tblPr>
      <w:tblGrid>
        <w:gridCol w:w="6385"/>
        <w:gridCol w:w="2880"/>
      </w:tblGrid>
      <w:tr w:rsidRPr="00D63C94" w:rsidR="003F1AE0" w:rsidTr="3C5F5BBA" w14:paraId="3D580FEB" w14:textId="77777777">
        <w:trPr>
          <w:cnfStyle w:val="000000100000" w:firstRow="0" w:lastRow="0" w:firstColumn="0" w:lastColumn="0" w:oddVBand="0" w:evenVBand="0" w:oddHBand="1" w:evenHBand="0" w:firstRowFirstColumn="0" w:firstRowLastColumn="0" w:lastRowFirstColumn="0" w:lastRowLastColumn="0"/>
          <w:trHeight w:val="432" w:hRule="exact"/>
        </w:trPr>
        <w:tc>
          <w:tcPr>
            <w:cnfStyle w:val="000000000000" w:firstRow="0" w:lastRow="0" w:firstColumn="0" w:lastColumn="0" w:oddVBand="0" w:evenVBand="0" w:oddHBand="0" w:evenHBand="0" w:firstRowFirstColumn="0" w:firstRowLastColumn="0" w:lastRowFirstColumn="0" w:lastRowLastColumn="0"/>
            <w:tcW w:w="6385" w:type="dxa"/>
            <w:tcMar/>
            <w:hideMark/>
          </w:tcPr>
          <w:p w:rsidRPr="00D63C94" w:rsidR="003F1AE0" w:rsidP="297C3BAE" w:rsidRDefault="003F1AE0" w14:paraId="75149904" w14:textId="77777777" w14:noSpellErr="1">
            <w:pPr>
              <w:spacing w:after="240" w:line="276" w:lineRule="auto"/>
              <w:rPr>
                <w:b w:val="1"/>
                <w:bCs w:val="1"/>
                <w:lang w:val="en-US"/>
              </w:rPr>
            </w:pPr>
            <w:r w:rsidRPr="297C3BAE">
              <w:rPr>
                <w:b w:val="1"/>
                <w:bCs w:val="1"/>
                <w:kern w:val="24"/>
                <w:lang w:val="en-US"/>
              </w:rPr>
              <w:t xml:space="preserve">TOC Policy </w:t>
            </w:r>
          </w:p>
        </w:tc>
        <w:tc>
          <w:tcPr>
            <w:cnfStyle w:val="000000000000" w:firstRow="0" w:lastRow="0" w:firstColumn="0" w:lastColumn="0" w:oddVBand="0" w:evenVBand="0" w:oddHBand="0" w:evenHBand="0" w:firstRowFirstColumn="0" w:firstRowLastColumn="0" w:lastRowFirstColumn="0" w:lastRowLastColumn="0"/>
            <w:tcW w:w="2880" w:type="dxa"/>
            <w:tcMar/>
            <w:hideMark/>
          </w:tcPr>
          <w:p w:rsidRPr="00D63C94" w:rsidR="003F1AE0" w:rsidP="297C3BAE" w:rsidRDefault="297C3BAE" w14:paraId="323F316E" w14:textId="77777777">
            <w:pPr>
              <w:spacing w:after="240" w:line="276" w:lineRule="auto"/>
              <w:rPr>
                <w:lang w:val="en-US"/>
              </w:rPr>
            </w:pPr>
            <w:r w:rsidRPr="297C3BAE">
              <w:rPr>
                <w:b/>
                <w:bCs/>
                <w:lang w:val="en-US"/>
              </w:rPr>
              <w:t>Status</w:t>
            </w:r>
          </w:p>
        </w:tc>
      </w:tr>
      <w:tr w:rsidRPr="00D63C94" w:rsidR="003F1AE0" w:rsidTr="3C5F5BBA" w14:paraId="6FEE1E94" w14:textId="77777777">
        <w:trPr>
          <w:trHeight w:val="432" w:hRule="exact"/>
        </w:trPr>
        <w:tc>
          <w:tcPr>
            <w:cnfStyle w:val="000000000000" w:firstRow="0" w:lastRow="0" w:firstColumn="0" w:lastColumn="0" w:oddVBand="0" w:evenVBand="0" w:oddHBand="0" w:evenHBand="0" w:firstRowFirstColumn="0" w:firstRowLastColumn="0" w:lastRowFirstColumn="0" w:lastRowLastColumn="0"/>
            <w:tcW w:w="6385" w:type="dxa"/>
            <w:shd w:val="clear" w:color="auto" w:fill="FFFFFF" w:themeFill="background1"/>
            <w:tcMar/>
            <w:hideMark/>
          </w:tcPr>
          <w:p w:rsidRPr="00D63C94" w:rsidR="003F1AE0" w:rsidP="297C3BAE" w:rsidRDefault="297C3BAE" w14:paraId="766784BB" w14:textId="77777777">
            <w:pPr>
              <w:spacing w:after="240" w:line="276" w:lineRule="auto"/>
              <w:rPr>
                <w:lang w:val="en-US"/>
              </w:rPr>
            </w:pPr>
            <w:r w:rsidRPr="297C3BAE">
              <w:rPr>
                <w:lang w:val="en-US"/>
              </w:rPr>
              <w:t>Inclusionary Zoning</w:t>
            </w:r>
          </w:p>
        </w:tc>
        <w:tc>
          <w:tcPr>
            <w:cnfStyle w:val="000000000000" w:firstRow="0" w:lastRow="0" w:firstColumn="0" w:lastColumn="0" w:oddVBand="0" w:evenVBand="0" w:oddHBand="0" w:evenHBand="0" w:firstRowFirstColumn="0" w:firstRowLastColumn="0" w:lastRowFirstColumn="0" w:lastRowLastColumn="0"/>
            <w:tcW w:w="2880" w:type="dxa"/>
            <w:shd w:val="clear" w:color="auto" w:fill="FFFFFF" w:themeFill="background1"/>
            <w:tcMar/>
            <w:hideMark/>
          </w:tcPr>
          <w:p w:rsidRPr="00D63C94" w:rsidR="003F1AE0" w:rsidP="297C3BAE" w:rsidRDefault="297C3BAE" w14:paraId="7C5BFC61" w14:textId="05E06DEB">
            <w:pPr>
              <w:spacing w:after="240" w:line="276" w:lineRule="auto"/>
              <w:rPr>
                <w:lang w:val="en-US"/>
              </w:rPr>
            </w:pPr>
            <w:r w:rsidRPr="3C5F5BBA" w:rsidR="3C5F5BBA">
              <w:rPr>
                <w:lang w:val="en-US"/>
              </w:rPr>
              <w:t>[Currently Consistent]</w:t>
            </w:r>
          </w:p>
        </w:tc>
      </w:tr>
      <w:tr w:rsidRPr="00D63C94" w:rsidR="003F1AE0" w:rsidTr="3C5F5BBA" w14:paraId="7F5E714D" w14:textId="77777777">
        <w:trPr>
          <w:cnfStyle w:val="000000100000" w:firstRow="0" w:lastRow="0" w:firstColumn="0" w:lastColumn="0" w:oddVBand="0" w:evenVBand="0" w:oddHBand="1" w:evenHBand="0" w:firstRowFirstColumn="0" w:firstRowLastColumn="0" w:lastRowFirstColumn="0" w:lastRowLastColumn="0"/>
          <w:trHeight w:val="432" w:hRule="exact"/>
        </w:trPr>
        <w:tc>
          <w:tcPr>
            <w:cnfStyle w:val="000000000000" w:firstRow="0" w:lastRow="0" w:firstColumn="0" w:lastColumn="0" w:oddVBand="0" w:evenVBand="0" w:oddHBand="0" w:evenHBand="0" w:firstRowFirstColumn="0" w:firstRowLastColumn="0" w:lastRowFirstColumn="0" w:lastRowLastColumn="0"/>
            <w:tcW w:w="6385" w:type="dxa"/>
            <w:shd w:val="clear" w:color="auto" w:fill="FFFFFF" w:themeFill="background1"/>
            <w:tcMar/>
            <w:hideMark/>
          </w:tcPr>
          <w:p w:rsidRPr="00D63C94" w:rsidR="003F1AE0" w:rsidP="297C3BAE" w:rsidRDefault="297C3BAE" w14:paraId="1D181206" w14:textId="77777777">
            <w:pPr>
              <w:spacing w:after="240" w:line="276" w:lineRule="auto"/>
              <w:rPr>
                <w:lang w:val="en-US"/>
              </w:rPr>
            </w:pPr>
            <w:r w:rsidRPr="297C3BAE">
              <w:rPr>
                <w:lang w:val="en-US"/>
              </w:rPr>
              <w:t xml:space="preserve">Development Certainty and Streamlined Entitlement Process </w:t>
            </w:r>
          </w:p>
        </w:tc>
        <w:tc>
          <w:tcPr>
            <w:cnfStyle w:val="000000000000" w:firstRow="0" w:lastRow="0" w:firstColumn="0" w:lastColumn="0" w:oddVBand="0" w:evenVBand="0" w:oddHBand="0" w:evenHBand="0" w:firstRowFirstColumn="0" w:firstRowLastColumn="0" w:lastRowFirstColumn="0" w:lastRowLastColumn="0"/>
            <w:tcW w:w="2880" w:type="dxa"/>
            <w:shd w:val="clear" w:color="auto" w:fill="FFFFFF" w:themeFill="background1"/>
            <w:tcMar/>
            <w:hideMark/>
          </w:tcPr>
          <w:p w:rsidRPr="00D63C94" w:rsidR="003F1AE0" w:rsidP="297C3BAE" w:rsidRDefault="297C3BAE" w14:paraId="3F782634" w14:textId="14E380D8">
            <w:pPr>
              <w:spacing w:after="240" w:line="276" w:lineRule="auto"/>
              <w:rPr>
                <w:lang w:val="en-US"/>
              </w:rPr>
            </w:pPr>
            <w:r w:rsidRPr="3C5F5BBA" w:rsidR="3C5F5BBA">
              <w:rPr>
                <w:lang w:val="en-US"/>
              </w:rPr>
              <w:t>[Need New Policy]</w:t>
            </w:r>
          </w:p>
        </w:tc>
      </w:tr>
    </w:tbl>
    <w:p w:rsidR="003F1AE0" w:rsidP="3C5F5BBA" w:rsidRDefault="003F1AE0" w14:paraId="3B2F4555" w14:textId="3C0DF242">
      <w:pPr>
        <w:pStyle w:val="Heading4"/>
      </w:pPr>
      <w:r w:rsidR="6E46E05C">
        <w:rPr/>
        <w:t>Alternative Production Policy Options in TOC</w:t>
      </w:r>
    </w:p>
    <w:p w:rsidR="3C5F5BBA" w:rsidP="3C5F5BBA" w:rsidRDefault="3C5F5BBA" w14:paraId="06ED2D56" w14:textId="4ABC20B7">
      <w:pPr>
        <w:pStyle w:val="ListParagraph"/>
        <w:numPr>
          <w:ilvl w:val="0"/>
          <w:numId w:val="10"/>
        </w:numPr>
        <w:rPr>
          <w:i w:val="1"/>
          <w:iCs w:val="1"/>
          <w:sz w:val="22"/>
          <w:szCs w:val="22"/>
        </w:rPr>
      </w:pPr>
      <w:r w:rsidRPr="3C5F5BBA" w:rsidR="3C5F5BBA">
        <w:rPr>
          <w:i w:val="1"/>
          <w:iCs w:val="1"/>
          <w:sz w:val="22"/>
          <w:szCs w:val="22"/>
        </w:rPr>
        <w:t>Affordable Housing Funding</w:t>
      </w:r>
    </w:p>
    <w:p w:rsidR="3C5F5BBA" w:rsidP="3C5F5BBA" w:rsidRDefault="3C5F5BBA" w14:paraId="72DC856F" w14:textId="7A70CEE7">
      <w:pPr>
        <w:pStyle w:val="ListParagraph"/>
        <w:numPr>
          <w:ilvl w:val="0"/>
          <w:numId w:val="10"/>
        </w:numPr>
        <w:rPr>
          <w:i w:val="1"/>
          <w:iCs w:val="1"/>
          <w:sz w:val="22"/>
          <w:szCs w:val="22"/>
        </w:rPr>
      </w:pPr>
      <w:r w:rsidRPr="3C5F5BBA" w:rsidR="3C5F5BBA">
        <w:rPr>
          <w:i w:val="1"/>
          <w:iCs w:val="1"/>
          <w:sz w:val="22"/>
          <w:szCs w:val="22"/>
        </w:rPr>
        <w:t>Affordable Housing Overlay Zones</w:t>
      </w:r>
    </w:p>
    <w:p w:rsidR="3C5F5BBA" w:rsidP="3C5F5BBA" w:rsidRDefault="3C5F5BBA" w14:paraId="22855345" w14:textId="0B0E92A7">
      <w:pPr>
        <w:pStyle w:val="ListParagraph"/>
        <w:numPr>
          <w:ilvl w:val="0"/>
          <w:numId w:val="10"/>
        </w:numPr>
        <w:rPr>
          <w:i w:val="1"/>
          <w:iCs w:val="1"/>
          <w:sz w:val="22"/>
          <w:szCs w:val="22"/>
        </w:rPr>
      </w:pPr>
      <w:r w:rsidRPr="3C5F5BBA" w:rsidR="3C5F5BBA">
        <w:rPr>
          <w:i w:val="1"/>
          <w:iCs w:val="1"/>
          <w:sz w:val="22"/>
          <w:szCs w:val="22"/>
        </w:rPr>
        <w:t xml:space="preserve">Public Land for Affordable Housing </w:t>
      </w:r>
    </w:p>
    <w:p w:rsidR="3C5F5BBA" w:rsidP="3C5F5BBA" w:rsidRDefault="3C5F5BBA" w14:paraId="26C5EAA2" w14:textId="3E877C28">
      <w:pPr>
        <w:pStyle w:val="Heading3"/>
      </w:pPr>
    </w:p>
    <w:p w:rsidRPr="002623D6" w:rsidR="003F1AE0" w:rsidP="00FC4275" w:rsidRDefault="003F1AE0" w14:paraId="20A7A0F5" w14:textId="62798B63">
      <w:pPr>
        <w:pStyle w:val="Heading3"/>
      </w:pPr>
      <w:r w:rsidR="6E46E05C">
        <w:rPr/>
        <w:t>Preservation</w:t>
      </w:r>
    </w:p>
    <w:p w:rsidRPr="002623D6" w:rsidR="00E06D1F" w:rsidP="00E06D1F" w:rsidRDefault="00E06D1F" w14:paraId="7DE8138C" w14:textId="50B028EF">
      <w:pPr>
        <w:rPr>
          <w:i/>
          <w:iCs/>
        </w:rPr>
      </w:pPr>
      <w:r w:rsidRPr="3C5F5BBA" w:rsidR="3C5F5BBA">
        <w:rPr>
          <w:i w:val="1"/>
          <w:iCs w:val="1"/>
          <w:highlight w:val="yellow"/>
        </w:rPr>
        <w:t>Discuss reasons some preservation policies are recommended and/or why some policies are not recommended.</w:t>
      </w:r>
      <w:r w:rsidRPr="3C5F5BBA" w:rsidR="3C5F5BBA">
        <w:rPr>
          <w:i w:val="1"/>
          <w:iCs w:val="1"/>
        </w:rPr>
        <w:t xml:space="preserve"> </w:t>
      </w:r>
    </w:p>
    <w:p w:rsidR="00CC09EA" w:rsidP="3C5F5BBA" w:rsidRDefault="00CC09EA" w14:paraId="6672706F" w14:textId="39351E2D">
      <w:pPr>
        <w:pStyle w:val="Heading4"/>
        <w:rPr>
          <w:i w:val="1"/>
          <w:iCs w:val="1"/>
        </w:rPr>
      </w:pPr>
      <w:r w:rsidR="6E46E05C">
        <w:rPr/>
        <w:t xml:space="preserve">Recommended Preservation Policies </w:t>
      </w:r>
    </w:p>
    <w:tbl>
      <w:tblPr>
        <w:tblStyle w:val="GridTable4-Accent5"/>
        <w:tblW w:w="9265" w:type="dxa"/>
        <w:tblLayout w:type="fixed"/>
        <w:tblLook w:val="0420" w:firstRow="1" w:lastRow="0" w:firstColumn="0" w:lastColumn="0" w:noHBand="0" w:noVBand="1"/>
      </w:tblPr>
      <w:tblGrid>
        <w:gridCol w:w="6385"/>
        <w:gridCol w:w="2880"/>
      </w:tblGrid>
      <w:tr w:rsidRPr="00CC09EA" w:rsidR="003F1AE0" w:rsidTr="3C5F5BBA" w14:paraId="65DDBCBD" w14:textId="77777777">
        <w:trPr>
          <w:cnfStyle w:val="000000100000" w:firstRow="0" w:lastRow="0" w:firstColumn="0" w:lastColumn="0" w:oddVBand="0" w:evenVBand="0" w:oddHBand="1" w:evenHBand="0" w:firstRowFirstColumn="0" w:firstRowLastColumn="0" w:lastRowFirstColumn="0" w:lastRowLastColumn="0"/>
          <w:trHeight w:val="432" w:hRule="exact"/>
        </w:trPr>
        <w:tc>
          <w:tcPr>
            <w:cnfStyle w:val="000000000000" w:firstRow="0" w:lastRow="0" w:firstColumn="0" w:lastColumn="0" w:oddVBand="0" w:evenVBand="0" w:oddHBand="0" w:evenHBand="0" w:firstRowFirstColumn="0" w:firstRowLastColumn="0" w:lastRowFirstColumn="0" w:lastRowLastColumn="0"/>
            <w:tcW w:w="6385" w:type="dxa"/>
            <w:tcMar/>
            <w:hideMark/>
          </w:tcPr>
          <w:p w:rsidRPr="00CC09EA" w:rsidR="003F1AE0" w:rsidP="00CB6BD3" w:rsidRDefault="003F1AE0" w14:paraId="6076DF61" w14:textId="77777777">
            <w:pPr>
              <w:spacing w:after="240" w:line="276" w:lineRule="auto"/>
              <w:rPr>
                <w:lang w:val="en-US"/>
              </w:rPr>
            </w:pPr>
            <w:r>
              <w:rPr>
                <w:b/>
                <w:bCs/>
                <w:lang w:val="en-US"/>
              </w:rPr>
              <w:t xml:space="preserve">TOC </w:t>
            </w:r>
            <w:r w:rsidRPr="00CC09EA">
              <w:rPr>
                <w:b/>
                <w:bCs/>
                <w:lang w:val="en-US"/>
              </w:rPr>
              <w:t>Policy</w:t>
            </w:r>
          </w:p>
        </w:tc>
        <w:tc>
          <w:tcPr>
            <w:cnfStyle w:val="000000000000" w:firstRow="0" w:lastRow="0" w:firstColumn="0" w:lastColumn="0" w:oddVBand="0" w:evenVBand="0" w:oddHBand="0" w:evenHBand="0" w:firstRowFirstColumn="0" w:firstRowLastColumn="0" w:lastRowFirstColumn="0" w:lastRowLastColumn="0"/>
            <w:tcW w:w="2880" w:type="dxa"/>
            <w:tcMar/>
            <w:hideMark/>
          </w:tcPr>
          <w:p w:rsidRPr="00CC09EA" w:rsidR="003F1AE0" w:rsidP="00CB6BD3" w:rsidRDefault="003F1AE0" w14:paraId="4B64675A" w14:textId="77777777">
            <w:pPr>
              <w:spacing w:after="240" w:line="276" w:lineRule="auto"/>
              <w:rPr>
                <w:lang w:val="en-US"/>
              </w:rPr>
            </w:pPr>
            <w:r w:rsidRPr="00CC09EA">
              <w:rPr>
                <w:b/>
                <w:bCs/>
                <w:lang w:val="en-US"/>
              </w:rPr>
              <w:t>Status</w:t>
            </w:r>
          </w:p>
        </w:tc>
      </w:tr>
      <w:tr w:rsidRPr="00CC09EA" w:rsidR="003F1AE0" w:rsidTr="3C5F5BBA" w14:paraId="2F8BFE4D" w14:textId="77777777">
        <w:trPr>
          <w:trHeight w:val="432" w:hRule="exact"/>
        </w:trPr>
        <w:tc>
          <w:tcPr>
            <w:cnfStyle w:val="000000000000" w:firstRow="0" w:lastRow="0" w:firstColumn="0" w:lastColumn="0" w:oddVBand="0" w:evenVBand="0" w:oddHBand="0" w:evenHBand="0" w:firstRowFirstColumn="0" w:firstRowLastColumn="0" w:lastRowFirstColumn="0" w:lastRowLastColumn="0"/>
            <w:tcW w:w="6385" w:type="dxa"/>
            <w:shd w:val="clear" w:color="auto" w:fill="FFFFFF" w:themeFill="background1"/>
            <w:tcMar/>
            <w:hideMark/>
          </w:tcPr>
          <w:p w:rsidRPr="00CC09EA" w:rsidR="003F1AE0" w:rsidP="00CB6BD3" w:rsidRDefault="003F1AE0" w14:paraId="069E7EB9" w14:textId="77777777">
            <w:pPr>
              <w:spacing w:after="240" w:line="276" w:lineRule="auto"/>
              <w:rPr>
                <w:lang w:val="en-US"/>
              </w:rPr>
            </w:pPr>
            <w:r w:rsidRPr="00CC09EA">
              <w:rPr>
                <w:lang w:val="en-US"/>
              </w:rPr>
              <w:t>Mobile Home Preservation</w:t>
            </w:r>
          </w:p>
        </w:tc>
        <w:tc>
          <w:tcPr>
            <w:cnfStyle w:val="000000000000" w:firstRow="0" w:lastRow="0" w:firstColumn="0" w:lastColumn="0" w:oddVBand="0" w:evenVBand="0" w:oddHBand="0" w:evenHBand="0" w:firstRowFirstColumn="0" w:firstRowLastColumn="0" w:lastRowFirstColumn="0" w:lastRowLastColumn="0"/>
            <w:tcW w:w="2880" w:type="dxa"/>
            <w:shd w:val="clear" w:color="auto" w:fill="FFFFFF" w:themeFill="background1"/>
            <w:tcMar/>
            <w:hideMark/>
          </w:tcPr>
          <w:p w:rsidRPr="00CC09EA" w:rsidR="003F1AE0" w:rsidP="00CB6BD3" w:rsidRDefault="003F1AE0" w14:paraId="09702D71" w14:textId="17EE1899">
            <w:pPr>
              <w:spacing w:after="240" w:line="276" w:lineRule="auto"/>
              <w:rPr>
                <w:lang w:val="en-US"/>
              </w:rPr>
            </w:pPr>
            <w:r w:rsidRPr="3C5F5BBA" w:rsidR="3C5F5BBA">
              <w:rPr>
                <w:lang w:val="en-US"/>
              </w:rPr>
              <w:t>[Currently Consistent]</w:t>
            </w:r>
          </w:p>
        </w:tc>
      </w:tr>
      <w:tr w:rsidRPr="00CC09EA" w:rsidR="003F1AE0" w:rsidTr="3C5F5BBA" w14:paraId="3EB734BD" w14:textId="77777777">
        <w:trPr>
          <w:cnfStyle w:val="000000100000" w:firstRow="0" w:lastRow="0" w:firstColumn="0" w:lastColumn="0" w:oddVBand="0" w:evenVBand="0" w:oddHBand="1" w:evenHBand="0" w:firstRowFirstColumn="0" w:firstRowLastColumn="0" w:lastRowFirstColumn="0" w:lastRowLastColumn="0"/>
          <w:trHeight w:val="432" w:hRule="exact"/>
        </w:trPr>
        <w:tc>
          <w:tcPr>
            <w:cnfStyle w:val="000000000000" w:firstRow="0" w:lastRow="0" w:firstColumn="0" w:lastColumn="0" w:oddVBand="0" w:evenVBand="0" w:oddHBand="0" w:evenHBand="0" w:firstRowFirstColumn="0" w:firstRowLastColumn="0" w:lastRowFirstColumn="0" w:lastRowLastColumn="0"/>
            <w:tcW w:w="6385" w:type="dxa"/>
            <w:shd w:val="clear" w:color="auto" w:fill="FFFFFF" w:themeFill="background1"/>
            <w:tcMar/>
            <w:hideMark/>
          </w:tcPr>
          <w:p w:rsidRPr="00CC09EA" w:rsidR="003F1AE0" w:rsidP="00CB6BD3" w:rsidRDefault="003F1AE0" w14:paraId="28A796EE" w14:textId="77777777">
            <w:pPr>
              <w:spacing w:after="240" w:line="276" w:lineRule="auto"/>
              <w:rPr>
                <w:lang w:val="en-US"/>
              </w:rPr>
            </w:pPr>
            <w:r w:rsidRPr="00CC09EA">
              <w:rPr>
                <w:lang w:val="en-US"/>
              </w:rPr>
              <w:t>Condominium Conversion Restrictions</w:t>
            </w:r>
          </w:p>
        </w:tc>
        <w:tc>
          <w:tcPr>
            <w:cnfStyle w:val="000000000000" w:firstRow="0" w:lastRow="0" w:firstColumn="0" w:lastColumn="0" w:oddVBand="0" w:evenVBand="0" w:oddHBand="0" w:evenHBand="0" w:firstRowFirstColumn="0" w:firstRowLastColumn="0" w:lastRowFirstColumn="0" w:lastRowLastColumn="0"/>
            <w:tcW w:w="2880" w:type="dxa"/>
            <w:shd w:val="clear" w:color="auto" w:fill="FFFFFF" w:themeFill="background1"/>
            <w:tcMar/>
            <w:hideMark/>
          </w:tcPr>
          <w:p w:rsidRPr="00CC09EA" w:rsidR="003F1AE0" w:rsidP="00CB6BD3" w:rsidRDefault="003F1AE0" w14:paraId="405602D3" w14:textId="77DD8F39">
            <w:pPr>
              <w:spacing w:after="240" w:line="276" w:lineRule="auto"/>
              <w:rPr>
                <w:lang w:val="en-US"/>
              </w:rPr>
            </w:pPr>
            <w:r w:rsidRPr="3C5F5BBA" w:rsidR="3C5F5BBA">
              <w:rPr>
                <w:lang w:val="en-US"/>
              </w:rPr>
              <w:t>[Need Amendments]</w:t>
            </w:r>
          </w:p>
        </w:tc>
      </w:tr>
    </w:tbl>
    <w:p w:rsidR="3C5F5BBA" w:rsidP="3C5F5BBA" w:rsidRDefault="3C5F5BBA" w14:paraId="0192972F" w14:textId="22E03C3E">
      <w:pPr>
        <w:pStyle w:val="Heading4"/>
      </w:pPr>
      <w:r w:rsidR="6E46E05C">
        <w:rPr/>
        <w:t>Alternative Preservation Policy Options in TOC</w:t>
      </w:r>
    </w:p>
    <w:p w:rsidR="3C5F5BBA" w:rsidP="3C5F5BBA" w:rsidRDefault="3C5F5BBA" w14:paraId="20F59B2D" w14:textId="2DC070B2">
      <w:pPr>
        <w:pStyle w:val="ListParagraph"/>
        <w:numPr>
          <w:ilvl w:val="0"/>
          <w:numId w:val="11"/>
        </w:numPr>
        <w:rPr>
          <w:sz w:val="22"/>
          <w:szCs w:val="22"/>
        </w:rPr>
      </w:pPr>
      <w:r w:rsidRPr="3C5F5BBA" w:rsidR="3C5F5BBA">
        <w:rPr>
          <w:sz w:val="22"/>
          <w:szCs w:val="22"/>
        </w:rPr>
        <w:t>Funding to Preserve Unsubsidized Affordable Housing</w:t>
      </w:r>
    </w:p>
    <w:p w:rsidR="3C5F5BBA" w:rsidP="3C5F5BBA" w:rsidRDefault="3C5F5BBA" w14:paraId="4A654DAD" w14:textId="2F017B01">
      <w:pPr>
        <w:pStyle w:val="ListParagraph"/>
        <w:numPr>
          <w:ilvl w:val="0"/>
          <w:numId w:val="11"/>
        </w:numPr>
        <w:rPr>
          <w:sz w:val="22"/>
          <w:szCs w:val="22"/>
        </w:rPr>
      </w:pPr>
      <w:r w:rsidRPr="3C5F5BBA" w:rsidR="3C5F5BBA">
        <w:rPr>
          <w:sz w:val="22"/>
          <w:szCs w:val="22"/>
        </w:rPr>
        <w:t xml:space="preserve">Tenant/Community Opportunity to Purchase </w:t>
      </w:r>
    </w:p>
    <w:p w:rsidR="3C5F5BBA" w:rsidP="3C5F5BBA" w:rsidRDefault="3C5F5BBA" w14:paraId="4ACC8946" w14:textId="0951FB57">
      <w:pPr>
        <w:pStyle w:val="ListParagraph"/>
        <w:numPr>
          <w:ilvl w:val="0"/>
          <w:numId w:val="11"/>
        </w:numPr>
        <w:rPr>
          <w:sz w:val="22"/>
          <w:szCs w:val="22"/>
        </w:rPr>
      </w:pPr>
      <w:r w:rsidRPr="3C5F5BBA" w:rsidR="3C5F5BBA">
        <w:rPr>
          <w:sz w:val="22"/>
          <w:szCs w:val="22"/>
        </w:rPr>
        <w:t>Single-Room Occupancy (SRO) Preservation</w:t>
      </w:r>
    </w:p>
    <w:p w:rsidR="3C5F5BBA" w:rsidP="3C5F5BBA" w:rsidRDefault="3C5F5BBA" w14:paraId="09B63040" w14:textId="1C510FE3">
      <w:pPr>
        <w:pStyle w:val="ListParagraph"/>
        <w:numPr>
          <w:ilvl w:val="0"/>
          <w:numId w:val="11"/>
        </w:numPr>
        <w:rPr>
          <w:sz w:val="22"/>
          <w:szCs w:val="22"/>
        </w:rPr>
      </w:pPr>
      <w:r w:rsidRPr="3C5F5BBA" w:rsidR="3C5F5BBA">
        <w:rPr>
          <w:sz w:val="22"/>
          <w:szCs w:val="22"/>
        </w:rPr>
        <w:t>Public/Community Land Trusts</w:t>
      </w:r>
    </w:p>
    <w:p w:rsidR="3C5F5BBA" w:rsidP="3C5F5BBA" w:rsidRDefault="3C5F5BBA" w14:paraId="6310E82D" w14:textId="5AC24CE3">
      <w:pPr>
        <w:pStyle w:val="ListParagraph"/>
        <w:numPr>
          <w:ilvl w:val="0"/>
          <w:numId w:val="11"/>
        </w:numPr>
        <w:rPr>
          <w:sz w:val="22"/>
          <w:szCs w:val="22"/>
        </w:rPr>
      </w:pPr>
      <w:r w:rsidRPr="3C5F5BBA" w:rsidR="3C5F5BBA">
        <w:rPr>
          <w:sz w:val="22"/>
          <w:szCs w:val="22"/>
        </w:rPr>
        <w:t>Funding to Support Preservation Capacity</w:t>
      </w:r>
    </w:p>
    <w:p w:rsidR="3C5F5BBA" w:rsidP="3C5F5BBA" w:rsidRDefault="3C5F5BBA" w14:paraId="45FD11C5" w14:textId="658A5E91">
      <w:pPr>
        <w:pStyle w:val="ListParagraph"/>
        <w:numPr>
          <w:ilvl w:val="0"/>
          <w:numId w:val="11"/>
        </w:numPr>
        <w:rPr>
          <w:sz w:val="22"/>
          <w:szCs w:val="22"/>
        </w:rPr>
      </w:pPr>
      <w:r w:rsidRPr="3C5F5BBA" w:rsidR="3C5F5BBA">
        <w:rPr>
          <w:sz w:val="22"/>
          <w:szCs w:val="22"/>
        </w:rPr>
        <w:t>Preventing Displacement from Substandard Conditions and Associated Code Enforcement Activities</w:t>
      </w:r>
    </w:p>
    <w:p w:rsidR="3C5F5BBA" w:rsidP="3C5F5BBA" w:rsidRDefault="3C5F5BBA" w14:paraId="70586985" w14:textId="2D3C29A3">
      <w:pPr>
        <w:pStyle w:val="Heading3"/>
      </w:pPr>
    </w:p>
    <w:p w:rsidRPr="002623D6" w:rsidR="00726E95" w:rsidP="00FC4275" w:rsidRDefault="00726E95" w14:paraId="54B8D665" w14:textId="00041909">
      <w:pPr>
        <w:pStyle w:val="Heading3"/>
      </w:pPr>
      <w:r w:rsidR="6E46E05C">
        <w:rPr/>
        <w:t>Protection</w:t>
      </w:r>
    </w:p>
    <w:p w:rsidR="00E06D1F" w:rsidP="3C5F5BBA" w:rsidRDefault="00E06D1F" w14:paraId="5C7D78DF" w14:textId="61EC37F4">
      <w:pPr>
        <w:rPr>
          <w:i w:val="1"/>
          <w:iCs w:val="1"/>
        </w:rPr>
      </w:pPr>
      <w:r w:rsidRPr="3C5F5BBA" w:rsidR="3C5F5BBA">
        <w:rPr>
          <w:i w:val="1"/>
          <w:iCs w:val="1"/>
          <w:highlight w:val="yellow"/>
        </w:rPr>
        <w:t>Discuss reasons some protection policies are recommended and/or why some policies are not recommended.</w:t>
      </w:r>
      <w:r w:rsidRPr="3C5F5BBA" w:rsidR="3C5F5BBA">
        <w:rPr>
          <w:i w:val="1"/>
          <w:iCs w:val="1"/>
        </w:rPr>
        <w:t xml:space="preserve"> </w:t>
      </w:r>
    </w:p>
    <w:p w:rsidR="3C5F5BBA" w:rsidP="3C5F5BBA" w:rsidRDefault="3C5F5BBA" w14:paraId="22E034E2" w14:textId="7839E1BC">
      <w:pPr>
        <w:pStyle w:val="Heading4"/>
      </w:pPr>
      <w:r w:rsidR="6E46E05C">
        <w:rPr/>
        <w:t>Recommended Protection Policies</w:t>
      </w:r>
    </w:p>
    <w:tbl>
      <w:tblPr>
        <w:tblStyle w:val="GridTable4-Accent5"/>
        <w:tblW w:w="9265" w:type="dxa"/>
        <w:tblLayout w:type="fixed"/>
        <w:tblLook w:val="0420" w:firstRow="1" w:lastRow="0" w:firstColumn="0" w:lastColumn="0" w:noHBand="0" w:noVBand="1"/>
      </w:tblPr>
      <w:tblGrid>
        <w:gridCol w:w="6385"/>
        <w:gridCol w:w="2880"/>
      </w:tblGrid>
      <w:tr w:rsidRPr="00CC09EA" w:rsidR="00ED0087" w:rsidTr="3C5F5BBA" w14:paraId="5FB0AD3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6385" w:type="dxa"/>
            <w:tcMar/>
            <w:hideMark/>
          </w:tcPr>
          <w:p w:rsidRPr="00CC09EA" w:rsidR="00ED0087" w:rsidP="00CB6BD3" w:rsidRDefault="00ED0087" w14:paraId="5D6C2CB1" w14:textId="67DE324C">
            <w:pPr>
              <w:spacing w:after="240" w:line="276" w:lineRule="auto"/>
              <w:rPr>
                <w:lang w:val="en-US"/>
              </w:rPr>
            </w:pPr>
            <w:r w:rsidRPr="3C5F5BBA" w:rsidR="3C5F5BBA">
              <w:rPr>
                <w:b w:val="1"/>
                <w:bCs w:val="1"/>
                <w:lang w:val="en-US"/>
              </w:rPr>
              <w:t>TOC Policy Option</w:t>
            </w:r>
          </w:p>
        </w:tc>
        <w:tc>
          <w:tcPr>
            <w:cnfStyle w:val="000000000000" w:firstRow="0" w:lastRow="0" w:firstColumn="0" w:lastColumn="0" w:oddVBand="0" w:evenVBand="0" w:oddHBand="0" w:evenHBand="0" w:firstRowFirstColumn="0" w:firstRowLastColumn="0" w:lastRowFirstColumn="0" w:lastRowLastColumn="0"/>
            <w:tcW w:w="2880" w:type="dxa"/>
            <w:tcMar/>
            <w:hideMark/>
          </w:tcPr>
          <w:p w:rsidRPr="00CC09EA" w:rsidR="00ED0087" w:rsidP="00CB6BD3" w:rsidRDefault="00ED0087" w14:paraId="19FB7B2A" w14:textId="77777777">
            <w:pPr>
              <w:spacing w:after="240" w:line="276" w:lineRule="auto"/>
              <w:rPr>
                <w:lang w:val="en-US"/>
              </w:rPr>
            </w:pPr>
            <w:r w:rsidRPr="00CC09EA">
              <w:rPr>
                <w:b/>
                <w:bCs/>
                <w:lang w:val="en-US"/>
              </w:rPr>
              <w:t>Status</w:t>
            </w:r>
          </w:p>
        </w:tc>
      </w:tr>
      <w:tr w:rsidRPr="00CC09EA" w:rsidR="00ED0087" w:rsidTr="3C5F5BBA" w14:paraId="27394EDB" w14:textId="77777777">
        <w:trPr>
          <w:trHeight w:val="432" w:hRule="exact"/>
        </w:trPr>
        <w:tc>
          <w:tcPr>
            <w:cnfStyle w:val="000000000000" w:firstRow="0" w:lastRow="0" w:firstColumn="0" w:lastColumn="0" w:oddVBand="0" w:evenVBand="0" w:oddHBand="0" w:evenHBand="0" w:firstRowFirstColumn="0" w:firstRowLastColumn="0" w:lastRowFirstColumn="0" w:lastRowLastColumn="0"/>
            <w:tcW w:w="6385" w:type="dxa"/>
            <w:shd w:val="clear" w:color="auto" w:fill="FFFFFF" w:themeFill="background1"/>
            <w:tcMar/>
            <w:hideMark/>
          </w:tcPr>
          <w:p w:rsidRPr="00CC09EA" w:rsidR="00ED0087" w:rsidP="00CB6BD3" w:rsidRDefault="00ED0087" w14:paraId="17F1B7E0" w14:textId="77777777">
            <w:pPr>
              <w:spacing w:after="240" w:line="276" w:lineRule="auto"/>
              <w:rPr>
                <w:lang w:val="en-US"/>
              </w:rPr>
            </w:pPr>
            <w:r w:rsidRPr="00CC09EA">
              <w:rPr>
                <w:lang w:val="en-US"/>
              </w:rPr>
              <w:t>Mobile Home Rent Stabilization</w:t>
            </w:r>
          </w:p>
        </w:tc>
        <w:tc>
          <w:tcPr>
            <w:cnfStyle w:val="000000000000" w:firstRow="0" w:lastRow="0" w:firstColumn="0" w:lastColumn="0" w:oddVBand="0" w:evenVBand="0" w:oddHBand="0" w:evenHBand="0" w:firstRowFirstColumn="0" w:firstRowLastColumn="0" w:lastRowFirstColumn="0" w:lastRowLastColumn="0"/>
            <w:tcW w:w="2880" w:type="dxa"/>
            <w:shd w:val="clear" w:color="auto" w:fill="FFFFFF" w:themeFill="background1"/>
            <w:tcMar/>
            <w:hideMark/>
          </w:tcPr>
          <w:p w:rsidRPr="00CC09EA" w:rsidR="00ED0087" w:rsidP="00CB6BD3" w:rsidRDefault="00ED0087" w14:paraId="2F27DC40" w14:textId="3192380A">
            <w:pPr>
              <w:spacing w:after="240" w:line="276" w:lineRule="auto"/>
              <w:rPr>
                <w:lang w:val="en-US"/>
              </w:rPr>
            </w:pPr>
            <w:r w:rsidRPr="3C5F5BBA" w:rsidR="3C5F5BBA">
              <w:rPr>
                <w:lang w:val="en-US"/>
              </w:rPr>
              <w:t>[Currently Consistent]</w:t>
            </w:r>
          </w:p>
        </w:tc>
      </w:tr>
      <w:tr w:rsidRPr="00CC09EA" w:rsidR="00ED0087" w:rsidTr="3C5F5BBA" w14:paraId="46577E86" w14:textId="77777777">
        <w:trPr>
          <w:cnfStyle w:val="000000100000" w:firstRow="0" w:lastRow="0" w:firstColumn="0" w:lastColumn="0" w:oddVBand="0" w:evenVBand="0" w:oddHBand="1" w:evenHBand="0" w:firstRowFirstColumn="0" w:firstRowLastColumn="0" w:lastRowFirstColumn="0" w:lastRowLastColumn="0"/>
          <w:trHeight w:val="432" w:hRule="exact"/>
        </w:trPr>
        <w:tc>
          <w:tcPr>
            <w:cnfStyle w:val="000000000000" w:firstRow="0" w:lastRow="0" w:firstColumn="0" w:lastColumn="0" w:oddVBand="0" w:evenVBand="0" w:oddHBand="0" w:evenHBand="0" w:firstRowFirstColumn="0" w:firstRowLastColumn="0" w:lastRowFirstColumn="0" w:lastRowLastColumn="0"/>
            <w:tcW w:w="6385" w:type="dxa"/>
            <w:shd w:val="clear" w:color="auto" w:fill="FFFFFF" w:themeFill="background1"/>
            <w:tcMar/>
            <w:hideMark/>
          </w:tcPr>
          <w:p w:rsidRPr="00CC09EA" w:rsidR="00ED0087" w:rsidP="00CB6BD3" w:rsidRDefault="00ED0087" w14:paraId="5C92E599" w14:textId="77777777">
            <w:pPr>
              <w:spacing w:after="240" w:line="276" w:lineRule="auto"/>
              <w:rPr>
                <w:lang w:val="en-US"/>
              </w:rPr>
            </w:pPr>
            <w:r w:rsidRPr="00CC09EA">
              <w:rPr>
                <w:lang w:val="en-US"/>
              </w:rPr>
              <w:t>Legal Assistance for Tenants</w:t>
            </w:r>
          </w:p>
        </w:tc>
        <w:tc>
          <w:tcPr>
            <w:cnfStyle w:val="000000000000" w:firstRow="0" w:lastRow="0" w:firstColumn="0" w:lastColumn="0" w:oddVBand="0" w:evenVBand="0" w:oddHBand="0" w:evenHBand="0" w:firstRowFirstColumn="0" w:firstRowLastColumn="0" w:lastRowFirstColumn="0" w:lastRowLastColumn="0"/>
            <w:tcW w:w="2880" w:type="dxa"/>
            <w:shd w:val="clear" w:color="auto" w:fill="FFFFFF" w:themeFill="background1"/>
            <w:tcMar/>
            <w:hideMark/>
          </w:tcPr>
          <w:p w:rsidRPr="00CC09EA" w:rsidR="00ED0087" w:rsidP="00CB6BD3" w:rsidRDefault="00ED0087" w14:paraId="0A7F07B6" w14:textId="154B2EEE">
            <w:pPr>
              <w:spacing w:after="240" w:line="276" w:lineRule="auto"/>
              <w:rPr>
                <w:lang w:val="en-US"/>
              </w:rPr>
            </w:pPr>
            <w:r w:rsidRPr="3C5F5BBA" w:rsidR="3C5F5BBA">
              <w:rPr>
                <w:lang w:val="en-US"/>
              </w:rPr>
              <w:t>[Need to increase annual funding by $50K for compliance]</w:t>
            </w:r>
          </w:p>
        </w:tc>
      </w:tr>
    </w:tbl>
    <w:p w:rsidR="3C5F5BBA" w:rsidP="3C5F5BBA" w:rsidRDefault="3C5F5BBA" w14:paraId="2FAA5EE3" w14:textId="3CA78EE2">
      <w:pPr>
        <w:pStyle w:val="Heading4"/>
      </w:pPr>
      <w:r w:rsidR="6E46E05C">
        <w:rPr/>
        <w:t>Alternative Protection Policy Options in TOC</w:t>
      </w:r>
    </w:p>
    <w:p w:rsidR="3C5F5BBA" w:rsidP="3C5F5BBA" w:rsidRDefault="3C5F5BBA" w14:paraId="7AC2306B" w14:textId="12B02F89">
      <w:pPr>
        <w:pStyle w:val="ListParagraph"/>
        <w:numPr>
          <w:ilvl w:val="0"/>
          <w:numId w:val="12"/>
        </w:numPr>
        <w:rPr>
          <w:sz w:val="22"/>
          <w:szCs w:val="22"/>
        </w:rPr>
      </w:pPr>
      <w:r w:rsidRPr="3C5F5BBA" w:rsidR="3C5F5BBA">
        <w:rPr>
          <w:sz w:val="22"/>
          <w:szCs w:val="22"/>
        </w:rPr>
        <w:t>Fair Housing Enforcement</w:t>
      </w:r>
    </w:p>
    <w:p w:rsidR="3C5F5BBA" w:rsidP="3C5F5BBA" w:rsidRDefault="3C5F5BBA" w14:paraId="508D1D69" w14:textId="5FC5B851">
      <w:pPr>
        <w:pStyle w:val="ListParagraph"/>
        <w:numPr>
          <w:ilvl w:val="0"/>
          <w:numId w:val="12"/>
        </w:numPr>
        <w:rPr>
          <w:sz w:val="22"/>
          <w:szCs w:val="22"/>
        </w:rPr>
      </w:pPr>
      <w:r w:rsidRPr="3C5F5BBA" w:rsidR="3C5F5BBA">
        <w:rPr>
          <w:sz w:val="22"/>
          <w:szCs w:val="22"/>
        </w:rPr>
        <w:t>“Just Cause” Eviction</w:t>
      </w:r>
    </w:p>
    <w:p w:rsidR="3C5F5BBA" w:rsidP="3C5F5BBA" w:rsidRDefault="3C5F5BBA" w14:paraId="0DC76E05" w14:textId="5BC04FA6">
      <w:pPr>
        <w:pStyle w:val="ListParagraph"/>
        <w:numPr>
          <w:ilvl w:val="0"/>
          <w:numId w:val="12"/>
        </w:numPr>
        <w:rPr>
          <w:sz w:val="22"/>
          <w:szCs w:val="22"/>
        </w:rPr>
      </w:pPr>
      <w:r w:rsidRPr="3C5F5BBA" w:rsidR="3C5F5BBA">
        <w:rPr>
          <w:sz w:val="22"/>
          <w:szCs w:val="22"/>
        </w:rPr>
        <w:t>No Net Loss and Right to Return to Demolished Homes</w:t>
      </w:r>
    </w:p>
    <w:p w:rsidR="3C5F5BBA" w:rsidP="3C5F5BBA" w:rsidRDefault="3C5F5BBA" w14:paraId="0DB1070B" w14:textId="5D93F86B">
      <w:pPr>
        <w:pStyle w:val="ListParagraph"/>
        <w:numPr>
          <w:ilvl w:val="0"/>
          <w:numId w:val="12"/>
        </w:numPr>
        <w:rPr>
          <w:sz w:val="22"/>
          <w:szCs w:val="22"/>
        </w:rPr>
      </w:pPr>
      <w:r w:rsidRPr="3C5F5BBA" w:rsidR="3C5F5BBA">
        <w:rPr>
          <w:sz w:val="22"/>
          <w:szCs w:val="22"/>
        </w:rPr>
        <w:t xml:space="preserve">Foreclosure Assistance </w:t>
      </w:r>
    </w:p>
    <w:p w:rsidR="3C5F5BBA" w:rsidP="3C5F5BBA" w:rsidRDefault="3C5F5BBA" w14:paraId="1604E7D5" w14:textId="427EAA30">
      <w:pPr>
        <w:pStyle w:val="ListParagraph"/>
        <w:numPr>
          <w:ilvl w:val="0"/>
          <w:numId w:val="12"/>
        </w:numPr>
        <w:rPr>
          <w:sz w:val="22"/>
          <w:szCs w:val="22"/>
        </w:rPr>
      </w:pPr>
      <w:r w:rsidRPr="3C5F5BBA" w:rsidR="3C5F5BBA">
        <w:rPr>
          <w:sz w:val="22"/>
          <w:szCs w:val="22"/>
        </w:rPr>
        <w:t>Rental Assistance Program</w:t>
      </w:r>
    </w:p>
    <w:p w:rsidR="3C5F5BBA" w:rsidP="3C5F5BBA" w:rsidRDefault="3C5F5BBA" w14:paraId="6004B85F" w14:textId="156C1AAC">
      <w:pPr>
        <w:pStyle w:val="ListParagraph"/>
        <w:numPr>
          <w:ilvl w:val="0"/>
          <w:numId w:val="12"/>
        </w:numPr>
        <w:rPr>
          <w:sz w:val="22"/>
          <w:szCs w:val="22"/>
        </w:rPr>
      </w:pPr>
      <w:r w:rsidRPr="3C5F5BBA" w:rsidR="3C5F5BBA">
        <w:rPr>
          <w:sz w:val="22"/>
          <w:szCs w:val="22"/>
        </w:rPr>
        <w:t>Rent Stabilization</w:t>
      </w:r>
    </w:p>
    <w:p w:rsidR="3C5F5BBA" w:rsidP="3C5F5BBA" w:rsidRDefault="3C5F5BBA" w14:paraId="72251794" w14:textId="4B8FF9FE">
      <w:pPr>
        <w:pStyle w:val="ListParagraph"/>
        <w:numPr>
          <w:ilvl w:val="0"/>
          <w:numId w:val="12"/>
        </w:numPr>
        <w:rPr>
          <w:sz w:val="22"/>
          <w:szCs w:val="22"/>
        </w:rPr>
      </w:pPr>
      <w:r w:rsidRPr="3C5F5BBA" w:rsidR="3C5F5BBA">
        <w:rPr>
          <w:sz w:val="22"/>
          <w:szCs w:val="22"/>
        </w:rPr>
        <w:t xml:space="preserve">Preventing Displacement from Substandard Conditions and Associated Code Enforcement Activities </w:t>
      </w:r>
    </w:p>
    <w:p w:rsidR="3C5F5BBA" w:rsidP="3C5F5BBA" w:rsidRDefault="3C5F5BBA" w14:paraId="51EF79C5" w14:textId="67DFD3FE">
      <w:pPr>
        <w:pStyle w:val="ListParagraph"/>
        <w:numPr>
          <w:ilvl w:val="0"/>
          <w:numId w:val="12"/>
        </w:numPr>
        <w:rPr>
          <w:sz w:val="22"/>
          <w:szCs w:val="22"/>
        </w:rPr>
      </w:pPr>
      <w:r w:rsidRPr="3C5F5BBA" w:rsidR="3C5F5BBA">
        <w:rPr>
          <w:sz w:val="22"/>
          <w:szCs w:val="22"/>
        </w:rPr>
        <w:t>Tenant Relocation Assistance</w:t>
      </w:r>
    </w:p>
    <w:p w:rsidR="3C5F5BBA" w:rsidP="2CA0B8B6" w:rsidRDefault="3C5F5BBA" w14:paraId="56510FD3" w14:textId="6803990B">
      <w:pPr>
        <w:pStyle w:val="ListParagraph"/>
        <w:numPr>
          <w:ilvl w:val="0"/>
          <w:numId w:val="12"/>
        </w:numPr>
        <w:rPr>
          <w:sz w:val="22"/>
          <w:szCs w:val="22"/>
        </w:rPr>
      </w:pPr>
      <w:r w:rsidRPr="2CA0B8B6" w:rsidR="2CA0B8B6">
        <w:rPr>
          <w:sz w:val="22"/>
          <w:szCs w:val="22"/>
        </w:rPr>
        <w:t>Tenant Anti-Harassment Protections</w:t>
      </w:r>
    </w:p>
    <w:p w:rsidR="2CA0B8B6" w:rsidP="2CA0B8B6" w:rsidRDefault="2CA0B8B6" w14:paraId="73503508" w14:textId="3D363765">
      <w:pPr>
        <w:pStyle w:val="Heading3"/>
      </w:pPr>
    </w:p>
    <w:p w:rsidRPr="002623D6" w:rsidR="00DE6609" w:rsidP="00FC4275" w:rsidRDefault="00DE6609" w14:paraId="305F95EB" w14:textId="634FFA7A">
      <w:pPr>
        <w:pStyle w:val="Heading3"/>
      </w:pPr>
      <w:r w:rsidR="6E46E05C">
        <w:rPr/>
        <w:t>Commercial Stabilization</w:t>
      </w:r>
    </w:p>
    <w:p w:rsidR="00DE6609" w:rsidP="65A8FFED" w:rsidRDefault="00DE6609" w14:paraId="50838850" w14:textId="3321EF72">
      <w:pPr>
        <w:rPr>
          <w:i w:val="1"/>
          <w:iCs w:val="1"/>
        </w:rPr>
      </w:pPr>
      <w:r w:rsidRPr="65A8FFED" w:rsidR="65A8FFED">
        <w:rPr>
          <w:i w:val="1"/>
          <w:iCs w:val="1"/>
          <w:highlight w:val="yellow"/>
        </w:rPr>
        <w:t>Discuss reasons commercial stabilization policy is recommended and/or why other policies are not recommended.</w:t>
      </w:r>
      <w:r w:rsidRPr="65A8FFED" w:rsidR="65A8FFED">
        <w:rPr>
          <w:i w:val="1"/>
          <w:iCs w:val="1"/>
        </w:rPr>
        <w:t xml:space="preserve"> </w:t>
      </w:r>
    </w:p>
    <w:p w:rsidR="65A8FFED" w:rsidP="65A8FFED" w:rsidRDefault="65A8FFED" w14:paraId="2E15B27E" w14:textId="365E81C8">
      <w:pPr>
        <w:pStyle w:val="Heading4"/>
      </w:pPr>
      <w:r w:rsidR="6E46E05C">
        <w:rPr/>
        <w:t>Recommended Stabilization Policy</w:t>
      </w:r>
    </w:p>
    <w:tbl>
      <w:tblPr>
        <w:tblStyle w:val="GridTable4-Accent5"/>
        <w:tblW w:w="9265" w:type="dxa"/>
        <w:tblLayout w:type="fixed"/>
        <w:tblLook w:val="0420" w:firstRow="1" w:lastRow="0" w:firstColumn="0" w:lastColumn="0" w:noHBand="0" w:noVBand="1"/>
      </w:tblPr>
      <w:tblGrid>
        <w:gridCol w:w="6385"/>
        <w:gridCol w:w="2880"/>
      </w:tblGrid>
      <w:tr w:rsidRPr="00CC09EA" w:rsidR="00DE6609" w:rsidTr="6A9B8BBD" w14:paraId="3227F010" w14:textId="77777777">
        <w:trPr>
          <w:cnfStyle w:val="000000100000" w:firstRow="0" w:lastRow="0" w:firstColumn="0" w:lastColumn="0" w:oddVBand="0" w:evenVBand="0" w:oddHBand="1" w:evenHBand="0" w:firstRowFirstColumn="0" w:firstRowLastColumn="0" w:lastRowFirstColumn="0" w:lastRowLastColumn="0"/>
          <w:trHeight w:val="432" w:hRule="exact"/>
        </w:trPr>
        <w:tc>
          <w:tcPr>
            <w:cnfStyle w:val="000000000000" w:firstRow="0" w:lastRow="0" w:firstColumn="0" w:lastColumn="0" w:oddVBand="0" w:evenVBand="0" w:oddHBand="0" w:evenHBand="0" w:firstRowFirstColumn="0" w:firstRowLastColumn="0" w:lastRowFirstColumn="0" w:lastRowLastColumn="0"/>
            <w:tcW w:w="6385" w:type="dxa"/>
            <w:tcMar/>
            <w:hideMark/>
          </w:tcPr>
          <w:p w:rsidRPr="00CC09EA" w:rsidR="00DE6609" w:rsidP="00CB6BD3" w:rsidRDefault="00DE6609" w14:paraId="1D8F197F" w14:textId="77777777">
            <w:pPr>
              <w:spacing w:after="240" w:line="276" w:lineRule="auto"/>
              <w:rPr>
                <w:lang w:val="en-US"/>
              </w:rPr>
            </w:pPr>
            <w:r>
              <w:rPr>
                <w:b/>
                <w:bCs/>
                <w:lang w:val="en-US"/>
              </w:rPr>
              <w:t xml:space="preserve">TOC </w:t>
            </w:r>
            <w:r w:rsidRPr="00CC09EA">
              <w:rPr>
                <w:b/>
                <w:bCs/>
                <w:lang w:val="en-US"/>
              </w:rPr>
              <w:t>Policy</w:t>
            </w:r>
          </w:p>
        </w:tc>
        <w:tc>
          <w:tcPr>
            <w:cnfStyle w:val="000000000000" w:firstRow="0" w:lastRow="0" w:firstColumn="0" w:lastColumn="0" w:oddVBand="0" w:evenVBand="0" w:oddHBand="0" w:evenHBand="0" w:firstRowFirstColumn="0" w:firstRowLastColumn="0" w:lastRowFirstColumn="0" w:lastRowLastColumn="0"/>
            <w:tcW w:w="2880" w:type="dxa"/>
            <w:tcMar/>
            <w:hideMark/>
          </w:tcPr>
          <w:p w:rsidRPr="00CC09EA" w:rsidR="00DE6609" w:rsidP="00CB6BD3" w:rsidRDefault="00DE6609" w14:paraId="15D1F16F" w14:textId="77777777">
            <w:pPr>
              <w:spacing w:after="240" w:line="276" w:lineRule="auto"/>
              <w:rPr>
                <w:lang w:val="en-US"/>
              </w:rPr>
            </w:pPr>
            <w:r w:rsidRPr="00CC09EA">
              <w:rPr>
                <w:b/>
                <w:bCs/>
                <w:lang w:val="en-US"/>
              </w:rPr>
              <w:t>Status</w:t>
            </w:r>
          </w:p>
        </w:tc>
      </w:tr>
      <w:tr w:rsidRPr="00CC09EA" w:rsidR="00DE6609" w:rsidTr="6A9B8BBD" w14:paraId="4CDF457E" w14:textId="77777777">
        <w:trPr>
          <w:trHeight w:val="432" w:hRule="exact"/>
        </w:trPr>
        <w:tc>
          <w:tcPr>
            <w:cnfStyle w:val="000000000000" w:firstRow="0" w:lastRow="0" w:firstColumn="0" w:lastColumn="0" w:oddVBand="0" w:evenVBand="0" w:oddHBand="0" w:evenHBand="0" w:firstRowFirstColumn="0" w:firstRowLastColumn="0" w:lastRowFirstColumn="0" w:lastRowLastColumn="0"/>
            <w:tcW w:w="6385" w:type="dxa"/>
            <w:shd w:val="clear" w:color="auto" w:fill="FFFFFF" w:themeFill="background1"/>
            <w:tcMar/>
            <w:hideMark/>
          </w:tcPr>
          <w:p w:rsidRPr="00CC09EA" w:rsidR="00DE6609" w:rsidP="00CB6BD3" w:rsidRDefault="00375CFA" w14:paraId="41316D41" w14:textId="4228C677">
            <w:pPr>
              <w:spacing w:after="240" w:line="276" w:lineRule="auto"/>
              <w:rPr>
                <w:lang w:val="en-US"/>
              </w:rPr>
            </w:pPr>
            <w:r>
              <w:rPr>
                <w:lang w:val="en-US"/>
              </w:rPr>
              <w:t>Small Business Advocate Office</w:t>
            </w:r>
          </w:p>
        </w:tc>
        <w:tc>
          <w:tcPr>
            <w:cnfStyle w:val="000000000000" w:firstRow="0" w:lastRow="0" w:firstColumn="0" w:lastColumn="0" w:oddVBand="0" w:evenVBand="0" w:oddHBand="0" w:evenHBand="0" w:firstRowFirstColumn="0" w:firstRowLastColumn="0" w:lastRowFirstColumn="0" w:lastRowLastColumn="0"/>
            <w:tcW w:w="2880" w:type="dxa"/>
            <w:shd w:val="clear" w:color="auto" w:fill="FFFFFF" w:themeFill="background1"/>
            <w:tcMar/>
            <w:hideMark/>
          </w:tcPr>
          <w:p w:rsidRPr="00CC09EA" w:rsidR="00DE6609" w:rsidP="00CB6BD3" w:rsidRDefault="00DE6609" w14:paraId="20392F7B" w14:textId="77777777">
            <w:pPr>
              <w:spacing w:after="240" w:line="276" w:lineRule="auto"/>
              <w:rPr>
                <w:lang w:val="en-US"/>
              </w:rPr>
            </w:pPr>
            <w:r w:rsidRPr="00CC09EA">
              <w:rPr>
                <w:lang w:val="en-US"/>
              </w:rPr>
              <w:t xml:space="preserve">Currently </w:t>
            </w:r>
            <w:r>
              <w:rPr>
                <w:lang w:val="en-US"/>
              </w:rPr>
              <w:t>Consistent</w:t>
            </w:r>
          </w:p>
        </w:tc>
      </w:tr>
    </w:tbl>
    <w:p w:rsidR="6A9B8BBD" w:rsidRDefault="6A9B8BBD" w14:paraId="4F36D552" w14:textId="13BBD3A6"/>
    <w:p w:rsidR="007F01B0" w:rsidP="65A8FFED" w:rsidRDefault="007F01B0" w14:paraId="0F03A00A" w14:textId="25B3AF1C">
      <w:pPr>
        <w:pStyle w:val="Heading4"/>
      </w:pPr>
      <w:r w:rsidR="6E46E05C">
        <w:rPr/>
        <w:t>Alternative Commercial Stabilization Policy Options in TOC</w:t>
      </w:r>
    </w:p>
    <w:p w:rsidR="65A8FFED" w:rsidP="65A8FFED" w:rsidRDefault="65A8FFED" w14:paraId="2E591600" w14:textId="441EA539">
      <w:pPr>
        <w:pStyle w:val="ListParagraph"/>
        <w:numPr>
          <w:ilvl w:val="0"/>
          <w:numId w:val="13"/>
        </w:numPr>
        <w:rPr>
          <w:sz w:val="22"/>
          <w:szCs w:val="22"/>
        </w:rPr>
      </w:pPr>
      <w:r w:rsidRPr="65A8FFED" w:rsidR="65A8FFED">
        <w:rPr>
          <w:sz w:val="22"/>
          <w:szCs w:val="22"/>
        </w:rPr>
        <w:t>Small Business and Non-Profit Overlay Zone</w:t>
      </w:r>
    </w:p>
    <w:p w:rsidR="65A8FFED" w:rsidP="65A8FFED" w:rsidRDefault="65A8FFED" w14:paraId="75CA419C" w14:textId="48DEF5BC">
      <w:pPr>
        <w:pStyle w:val="ListParagraph"/>
        <w:numPr>
          <w:ilvl w:val="0"/>
          <w:numId w:val="13"/>
        </w:numPr>
        <w:rPr>
          <w:sz w:val="22"/>
          <w:szCs w:val="22"/>
        </w:rPr>
      </w:pPr>
      <w:r w:rsidRPr="65A8FFED" w:rsidR="65A8FFED">
        <w:rPr>
          <w:sz w:val="22"/>
          <w:szCs w:val="22"/>
        </w:rPr>
        <w:t>Small Business and Non-Profit Preference Policy</w:t>
      </w:r>
    </w:p>
    <w:p w:rsidR="65A8FFED" w:rsidP="65A8FFED" w:rsidRDefault="65A8FFED" w14:paraId="3206B5BA" w14:textId="6EA6E6AA">
      <w:pPr>
        <w:pStyle w:val="ListParagraph"/>
        <w:numPr>
          <w:ilvl w:val="0"/>
          <w:numId w:val="13"/>
        </w:numPr>
        <w:rPr>
          <w:sz w:val="22"/>
          <w:szCs w:val="22"/>
        </w:rPr>
      </w:pPr>
      <w:r w:rsidRPr="65A8FFED" w:rsidR="65A8FFED">
        <w:rPr>
          <w:sz w:val="22"/>
          <w:szCs w:val="22"/>
        </w:rPr>
        <w:t>Small Business and Non-Profit Financial Assistance Program</w:t>
      </w:r>
    </w:p>
    <w:p w:rsidR="009A50C3" w:rsidP="6E46E05C" w:rsidRDefault="006F550E" w14:paraId="00000021" w14:textId="6591CC9B">
      <w:pPr>
        <w:pStyle w:val="Heading2"/>
        <w:rPr>
          <w:b w:val="1"/>
          <w:bCs w:val="1"/>
          <w:i w:val="0"/>
          <w:iCs w:val="0"/>
        </w:rPr>
      </w:pPr>
      <w:bookmarkStart w:name="_v8vkuuh1hypx" w:id="107"/>
      <w:bookmarkEnd w:id="107"/>
      <w:r w:rsidRPr="6E46E05C" w:rsidR="6E46E05C">
        <w:rPr>
          <w:b w:val="1"/>
          <w:bCs w:val="1"/>
          <w:i w:val="0"/>
          <w:iCs w:val="0"/>
        </w:rPr>
        <w:t>Parking Management</w:t>
      </w:r>
    </w:p>
    <w:p w:rsidR="009A50C3" w:rsidP="00786D87" w:rsidRDefault="00092715" w14:paraId="00000022" w14:textId="546DD585">
      <w:r>
        <w:t xml:space="preserve">The TOC </w:t>
      </w:r>
      <w:r w:rsidR="00694B9D">
        <w:t>P</w:t>
      </w:r>
      <w:r>
        <w:t xml:space="preserve">olicy </w:t>
      </w:r>
      <w:r w:rsidR="00161807">
        <w:t xml:space="preserve">requires </w:t>
      </w:r>
      <w:r w:rsidR="00A016C3">
        <w:t xml:space="preserve">eight </w:t>
      </w:r>
      <w:r>
        <w:t xml:space="preserve">parking management </w:t>
      </w:r>
      <w:r w:rsidR="00A016C3">
        <w:t xml:space="preserve">policies within the half </w:t>
      </w:r>
      <w:r>
        <w:t xml:space="preserve">mile </w:t>
      </w:r>
      <w:r w:rsidR="00A016C3">
        <w:t>TOC area</w:t>
      </w:r>
      <w:r>
        <w:t>.</w:t>
      </w:r>
      <w:r w:rsidR="00EC7019">
        <w:t xml:space="preserve"> </w:t>
      </w:r>
      <w:r w:rsidR="006F550E">
        <w:t xml:space="preserve">Current parking policies in TOC areas </w:t>
      </w:r>
      <w:r w:rsidRPr="002623D6" w:rsidR="006F550E">
        <w:rPr>
          <w:highlight w:val="yellow"/>
          <w:u w:val="single"/>
        </w:rPr>
        <w:t>[</w:t>
      </w:r>
      <w:r w:rsidRPr="002623D6" w:rsidR="006F550E">
        <w:rPr>
          <w:i/>
          <w:iCs/>
          <w:highlight w:val="yellow"/>
        </w:rPr>
        <w:t>are/are not]</w:t>
      </w:r>
      <w:r w:rsidRPr="002623D6" w:rsidR="00E06D1F">
        <w:rPr>
          <w:i/>
          <w:iCs/>
        </w:rPr>
        <w:t xml:space="preserve"> </w:t>
      </w:r>
      <w:r w:rsidRPr="00161807" w:rsidR="00E06D1F">
        <w:t>generally</w:t>
      </w:r>
      <w:r w:rsidR="006F550E">
        <w:t xml:space="preserve"> </w:t>
      </w:r>
      <w:r w:rsidR="00161807">
        <w:t>aligned</w:t>
      </w:r>
      <w:r w:rsidR="006F550E">
        <w:t xml:space="preserve"> with</w:t>
      </w:r>
      <w:r w:rsidR="00823888">
        <w:t xml:space="preserve"> the</w:t>
      </w:r>
      <w:r w:rsidR="006F550E">
        <w:t xml:space="preserve"> TOC </w:t>
      </w:r>
      <w:r w:rsidR="00823888">
        <w:t>Policy</w:t>
      </w:r>
      <w:r w:rsidR="006F550E">
        <w:t xml:space="preserve">. </w:t>
      </w:r>
      <w:r w:rsidRPr="00E06D1F" w:rsidR="00E06D1F">
        <w:t xml:space="preserve">Staff </w:t>
      </w:r>
      <w:r w:rsidR="00E06D1F">
        <w:t xml:space="preserve">recommend </w:t>
      </w:r>
      <w:r w:rsidRPr="00161807" w:rsidR="00786D87">
        <w:rPr>
          <w:i/>
          <w:iCs/>
          <w:highlight w:val="yellow"/>
        </w:rPr>
        <w:t xml:space="preserve">[discuss parking management </w:t>
      </w:r>
      <w:r w:rsidRPr="00161807" w:rsidR="00EE3699">
        <w:rPr>
          <w:i/>
          <w:iCs/>
          <w:highlight w:val="yellow"/>
        </w:rPr>
        <w:t>strategies</w:t>
      </w:r>
      <w:r w:rsidRPr="00161807" w:rsidR="00786D87">
        <w:rPr>
          <w:i/>
          <w:iCs/>
          <w:highlight w:val="yellow"/>
        </w:rPr>
        <w:t xml:space="preserve"> recommended for adoption]</w:t>
      </w:r>
      <w:r w:rsidRPr="002623D6" w:rsidR="00786D87">
        <w:rPr>
          <w:i/>
          <w:iCs/>
        </w:rPr>
        <w:t xml:space="preserve"> </w:t>
      </w:r>
      <w:r w:rsidR="00E06D1F">
        <w:t xml:space="preserve">to </w:t>
      </w:r>
      <w:r w:rsidR="00786D87">
        <w:t>support compliance with the TOC Policy</w:t>
      </w:r>
      <w:r w:rsidR="00E06D1F">
        <w:t>.</w:t>
      </w:r>
    </w:p>
    <w:p w:rsidR="00161807" w:rsidP="00786D87" w:rsidRDefault="00161807" w14:paraId="71F96FDC" w14:textId="77777777"/>
    <w:p w:rsidR="00161807" w:rsidP="00161807" w:rsidRDefault="00161807" w14:paraId="2EA7551C" w14:textId="66A1864E">
      <w:pPr>
        <w:rPr>
          <w:i/>
          <w:iCs/>
        </w:rPr>
      </w:pPr>
      <w:r w:rsidRPr="00C94EC7">
        <w:rPr>
          <w:i/>
          <w:iCs/>
          <w:highlight w:val="yellow"/>
        </w:rPr>
        <w:t>[</w:t>
      </w:r>
      <w:r>
        <w:rPr>
          <w:i/>
          <w:iCs/>
          <w:highlight w:val="yellow"/>
        </w:rPr>
        <w:t xml:space="preserve">In the table below, update </w:t>
      </w:r>
      <w:r w:rsidRPr="00C94EC7">
        <w:rPr>
          <w:i/>
          <w:iCs/>
          <w:highlight w:val="yellow"/>
        </w:rPr>
        <w:t xml:space="preserve">the current status of </w:t>
      </w:r>
      <w:r>
        <w:rPr>
          <w:i/>
          <w:iCs/>
          <w:highlight w:val="yellow"/>
        </w:rPr>
        <w:t xml:space="preserve">each existing </w:t>
      </w:r>
      <w:r w:rsidRPr="00C94EC7">
        <w:rPr>
          <w:i/>
          <w:iCs/>
          <w:highlight w:val="yellow"/>
        </w:rPr>
        <w:t xml:space="preserve">policy </w:t>
      </w:r>
      <w:r>
        <w:rPr>
          <w:i/>
          <w:iCs/>
          <w:highlight w:val="yellow"/>
        </w:rPr>
        <w:t xml:space="preserve">in complying with TOC requirements </w:t>
      </w:r>
      <w:r w:rsidRPr="00C94EC7">
        <w:rPr>
          <w:i/>
          <w:iCs/>
          <w:highlight w:val="yellow"/>
        </w:rPr>
        <w:t>(e.g., currently consistent, needs amendment, need new policy, etc.).]</w:t>
      </w:r>
    </w:p>
    <w:p w:rsidRPr="003235DA" w:rsidR="003235DA" w:rsidP="003235DA" w:rsidRDefault="003235DA" w14:paraId="3B03B952" w14:textId="77777777">
      <w:pPr>
        <w:rPr>
          <w:i/>
          <w:iCs/>
          <w:highlight w:val="yellow"/>
        </w:rPr>
      </w:pPr>
    </w:p>
    <w:tbl>
      <w:tblPr>
        <w:tblStyle w:val="GridTable4-Accent5"/>
        <w:tblW w:w="9265" w:type="dxa"/>
        <w:tblLayout w:type="fixed"/>
        <w:tblLook w:val="0420" w:firstRow="1" w:lastRow="0" w:firstColumn="0" w:lastColumn="0" w:noHBand="0" w:noVBand="1"/>
      </w:tblPr>
      <w:tblGrid>
        <w:gridCol w:w="5305"/>
        <w:gridCol w:w="3960"/>
      </w:tblGrid>
      <w:tr w:rsidRPr="00F40202" w:rsidR="00F40202" w:rsidTr="00D70A23" w14:paraId="7CE56175" w14:textId="77777777">
        <w:trPr>
          <w:cnfStyle w:val="100000000000" w:firstRow="1" w:lastRow="0" w:firstColumn="0" w:lastColumn="0" w:oddVBand="0" w:evenVBand="0" w:oddHBand="0" w:evenHBand="0" w:firstRowFirstColumn="0" w:firstRowLastColumn="0" w:lastRowFirstColumn="0" w:lastRowLastColumn="0"/>
          <w:trHeight w:val="432" w:hRule="exact"/>
        </w:trPr>
        <w:tc>
          <w:tcPr>
            <w:tcW w:w="5305" w:type="dxa"/>
            <w:hideMark/>
          </w:tcPr>
          <w:p w:rsidRPr="00F40202" w:rsidR="00F40202" w:rsidP="00D70A23" w:rsidRDefault="004E682F" w14:paraId="3462DAAD" w14:textId="145EF30C">
            <w:pPr>
              <w:spacing w:after="240" w:line="276" w:lineRule="auto"/>
              <w:rPr>
                <w:lang w:val="en-US"/>
              </w:rPr>
            </w:pPr>
            <w:r>
              <w:rPr>
                <w:lang w:val="en-US"/>
              </w:rPr>
              <w:t>Requirement</w:t>
            </w:r>
          </w:p>
        </w:tc>
        <w:tc>
          <w:tcPr>
            <w:tcW w:w="3960" w:type="dxa"/>
            <w:hideMark/>
          </w:tcPr>
          <w:p w:rsidRPr="00F40202" w:rsidR="00F40202" w:rsidP="00D70A23" w:rsidRDefault="00694B9D" w14:paraId="4F6BFD68" w14:textId="55894C18">
            <w:pPr>
              <w:spacing w:after="240" w:line="276" w:lineRule="auto"/>
              <w:rPr>
                <w:lang w:val="en-US"/>
              </w:rPr>
            </w:pPr>
            <w:r>
              <w:rPr>
                <w:lang w:val="en-US"/>
              </w:rPr>
              <w:t>Status</w:t>
            </w:r>
          </w:p>
        </w:tc>
      </w:tr>
      <w:tr w:rsidRPr="00F40202" w:rsidR="00F40202" w:rsidTr="003235DA" w14:paraId="781E26A1" w14:textId="77777777">
        <w:trPr>
          <w:cnfStyle w:val="000000100000" w:firstRow="0" w:lastRow="0" w:firstColumn="0" w:lastColumn="0" w:oddVBand="0" w:evenVBand="0" w:oddHBand="1" w:evenHBand="0" w:firstRowFirstColumn="0" w:firstRowLastColumn="0" w:lastRowFirstColumn="0" w:lastRowLastColumn="0"/>
          <w:trHeight w:val="432" w:hRule="exact"/>
        </w:trPr>
        <w:tc>
          <w:tcPr>
            <w:tcW w:w="0" w:type="dxa"/>
            <w:shd w:val="clear" w:color="auto" w:fill="FFFFFF" w:themeFill="background1"/>
            <w:hideMark/>
          </w:tcPr>
          <w:p w:rsidRPr="00F40202" w:rsidR="00F40202" w:rsidP="00D70A23" w:rsidRDefault="00F40202" w14:paraId="06D8CE2D" w14:textId="77777777">
            <w:pPr>
              <w:spacing w:after="240" w:line="276" w:lineRule="auto"/>
              <w:rPr>
                <w:lang w:val="en-US"/>
              </w:rPr>
            </w:pPr>
            <w:r w:rsidRPr="00F40202">
              <w:rPr>
                <w:lang w:val="en-US"/>
              </w:rPr>
              <w:t>Residential Parking Minimums</w:t>
            </w:r>
          </w:p>
        </w:tc>
        <w:tc>
          <w:tcPr>
            <w:tcW w:w="0" w:type="dxa"/>
            <w:shd w:val="clear" w:color="auto" w:fill="FFFFFF" w:themeFill="background1"/>
          </w:tcPr>
          <w:p w:rsidRPr="00F40202" w:rsidR="00F40202" w:rsidP="00D70A23" w:rsidRDefault="00E06D1F" w14:paraId="466A53D0" w14:textId="4630A299">
            <w:pPr>
              <w:spacing w:after="240" w:line="276" w:lineRule="auto"/>
              <w:rPr>
                <w:lang w:val="en-US"/>
              </w:rPr>
            </w:pPr>
            <w:r>
              <w:rPr>
                <w:lang w:val="en-US"/>
              </w:rPr>
              <w:t>Consistent</w:t>
            </w:r>
            <w:r w:rsidRPr="00F40202" w:rsidR="00F40202">
              <w:rPr>
                <w:lang w:val="en-US"/>
              </w:rPr>
              <w:t>, per state law</w:t>
            </w:r>
          </w:p>
        </w:tc>
      </w:tr>
      <w:tr w:rsidRPr="00F40202" w:rsidR="00F40202" w:rsidTr="003235DA" w14:paraId="306851DF" w14:textId="77777777">
        <w:trPr>
          <w:trHeight w:val="432" w:hRule="exact"/>
        </w:trPr>
        <w:tc>
          <w:tcPr>
            <w:tcW w:w="0" w:type="dxa"/>
            <w:shd w:val="clear" w:color="auto" w:fill="FFFFFF" w:themeFill="background1"/>
            <w:hideMark/>
          </w:tcPr>
          <w:p w:rsidRPr="00F40202" w:rsidR="00F40202" w:rsidP="00D70A23" w:rsidRDefault="00F40202" w14:paraId="37BCE70C" w14:textId="77777777">
            <w:pPr>
              <w:spacing w:after="240" w:line="276" w:lineRule="auto"/>
              <w:rPr>
                <w:lang w:val="en-US"/>
              </w:rPr>
            </w:pPr>
            <w:r w:rsidRPr="00F40202">
              <w:rPr>
                <w:lang w:val="en-US"/>
              </w:rPr>
              <w:t>Residential Parking Maximums</w:t>
            </w:r>
          </w:p>
        </w:tc>
        <w:tc>
          <w:tcPr>
            <w:tcW w:w="0" w:type="dxa"/>
            <w:shd w:val="clear" w:color="auto" w:fill="FFFFFF" w:themeFill="background1"/>
          </w:tcPr>
          <w:p w:rsidRPr="00F40202" w:rsidR="00F40202" w:rsidP="00D70A23" w:rsidRDefault="00E06D1F" w14:paraId="64F89B3D" w14:textId="2B271E9C">
            <w:pPr>
              <w:spacing w:after="240" w:line="276" w:lineRule="auto"/>
              <w:rPr>
                <w:lang w:val="en-US"/>
              </w:rPr>
            </w:pPr>
            <w:r>
              <w:rPr>
                <w:lang w:val="en-US"/>
              </w:rPr>
              <w:t>Consistent</w:t>
            </w:r>
            <w:r w:rsidRPr="00F40202" w:rsidR="00F40202">
              <w:rPr>
                <w:lang w:val="en-US"/>
              </w:rPr>
              <w:t xml:space="preserve"> in some zoning Districts</w:t>
            </w:r>
          </w:p>
        </w:tc>
      </w:tr>
      <w:tr w:rsidRPr="00F40202" w:rsidR="00F40202" w:rsidTr="003235DA" w14:paraId="11BF19C8" w14:textId="77777777">
        <w:trPr>
          <w:cnfStyle w:val="000000100000" w:firstRow="0" w:lastRow="0" w:firstColumn="0" w:lastColumn="0" w:oddVBand="0" w:evenVBand="0" w:oddHBand="1" w:evenHBand="0" w:firstRowFirstColumn="0" w:firstRowLastColumn="0" w:lastRowFirstColumn="0" w:lastRowLastColumn="0"/>
          <w:trHeight w:val="432" w:hRule="exact"/>
        </w:trPr>
        <w:tc>
          <w:tcPr>
            <w:tcW w:w="0" w:type="dxa"/>
            <w:shd w:val="clear" w:color="auto" w:fill="FFFFFF" w:themeFill="background1"/>
            <w:hideMark/>
          </w:tcPr>
          <w:p w:rsidRPr="00F40202" w:rsidR="00F40202" w:rsidP="00D70A23" w:rsidRDefault="00F40202" w14:paraId="2D19A244" w14:textId="77777777">
            <w:pPr>
              <w:spacing w:after="240" w:line="276" w:lineRule="auto"/>
              <w:rPr>
                <w:lang w:val="en-US"/>
              </w:rPr>
            </w:pPr>
            <w:r w:rsidRPr="00F40202">
              <w:rPr>
                <w:lang w:val="en-US"/>
              </w:rPr>
              <w:t>Commercial Parking Minimums</w:t>
            </w:r>
          </w:p>
        </w:tc>
        <w:tc>
          <w:tcPr>
            <w:tcW w:w="0" w:type="dxa"/>
            <w:shd w:val="clear" w:color="auto" w:fill="FFFFFF" w:themeFill="background1"/>
          </w:tcPr>
          <w:p w:rsidRPr="00F40202" w:rsidR="00F40202" w:rsidP="00D70A23" w:rsidRDefault="00F40202" w14:paraId="4B72E4C4" w14:textId="16CE2037">
            <w:pPr>
              <w:spacing w:after="240" w:line="276" w:lineRule="auto"/>
              <w:rPr>
                <w:lang w:val="en-US"/>
              </w:rPr>
            </w:pPr>
            <w:r w:rsidRPr="00F40202">
              <w:rPr>
                <w:lang w:val="en-US"/>
              </w:rPr>
              <w:t>Requires some amendments</w:t>
            </w:r>
          </w:p>
        </w:tc>
      </w:tr>
      <w:tr w:rsidRPr="00F40202" w:rsidR="00F40202" w:rsidTr="003235DA" w14:paraId="65D7575C" w14:textId="77777777">
        <w:trPr>
          <w:trHeight w:val="432" w:hRule="exact"/>
        </w:trPr>
        <w:tc>
          <w:tcPr>
            <w:tcW w:w="0" w:type="dxa"/>
            <w:shd w:val="clear" w:color="auto" w:fill="FFFFFF" w:themeFill="background1"/>
            <w:hideMark/>
          </w:tcPr>
          <w:p w:rsidRPr="00F40202" w:rsidR="00F40202" w:rsidP="00D70A23" w:rsidRDefault="00F40202" w14:paraId="6B4CDAAE" w14:textId="77777777">
            <w:pPr>
              <w:spacing w:after="240" w:line="276" w:lineRule="auto"/>
              <w:rPr>
                <w:lang w:val="en-US"/>
              </w:rPr>
            </w:pPr>
            <w:r w:rsidRPr="00F40202">
              <w:rPr>
                <w:lang w:val="en-US"/>
              </w:rPr>
              <w:t>Commercial Parking Maximums</w:t>
            </w:r>
          </w:p>
        </w:tc>
        <w:tc>
          <w:tcPr>
            <w:tcW w:w="0" w:type="dxa"/>
            <w:shd w:val="clear" w:color="auto" w:fill="FFFFFF" w:themeFill="background1"/>
          </w:tcPr>
          <w:p w:rsidRPr="00F40202" w:rsidR="00F40202" w:rsidP="00D70A23" w:rsidRDefault="00F40202" w14:paraId="7E6E3AEB" w14:textId="7CB693C7">
            <w:pPr>
              <w:spacing w:after="240" w:line="276" w:lineRule="auto"/>
              <w:rPr>
                <w:lang w:val="en-US"/>
              </w:rPr>
            </w:pPr>
            <w:r w:rsidRPr="00F40202">
              <w:rPr>
                <w:lang w:val="en-US"/>
              </w:rPr>
              <w:t>Requires Policy update</w:t>
            </w:r>
          </w:p>
        </w:tc>
      </w:tr>
      <w:tr w:rsidRPr="00F40202" w:rsidR="00F40202" w:rsidTr="00146A2A" w14:paraId="5A2592AB" w14:textId="77777777">
        <w:trPr>
          <w:cnfStyle w:val="000000100000" w:firstRow="0" w:lastRow="0" w:firstColumn="0" w:lastColumn="0" w:oddVBand="0" w:evenVBand="0" w:oddHBand="1" w:evenHBand="0" w:firstRowFirstColumn="0" w:firstRowLastColumn="0" w:lastRowFirstColumn="0" w:lastRowLastColumn="0"/>
          <w:trHeight w:val="379" w:hRule="exact"/>
        </w:trPr>
        <w:tc>
          <w:tcPr>
            <w:tcW w:w="0" w:type="dxa"/>
            <w:shd w:val="clear" w:color="auto" w:fill="FFFFFF" w:themeFill="background1"/>
            <w:hideMark/>
          </w:tcPr>
          <w:p w:rsidRPr="00F40202" w:rsidR="00F40202" w:rsidP="00D70A23" w:rsidRDefault="00F40202" w14:paraId="113F465B" w14:textId="1294FDE2">
            <w:pPr>
              <w:spacing w:after="240" w:line="276" w:lineRule="auto"/>
              <w:rPr>
                <w:lang w:val="en-US"/>
              </w:rPr>
            </w:pPr>
            <w:r w:rsidRPr="00F40202">
              <w:rPr>
                <w:lang w:val="en-US"/>
              </w:rPr>
              <w:t xml:space="preserve">Allow </w:t>
            </w:r>
            <w:r w:rsidR="004F27F9">
              <w:rPr>
                <w:lang w:val="en-US"/>
              </w:rPr>
              <w:t>S</w:t>
            </w:r>
            <w:r w:rsidRPr="00F40202">
              <w:rPr>
                <w:lang w:val="en-US"/>
              </w:rPr>
              <w:t xml:space="preserve">hared </w:t>
            </w:r>
            <w:r w:rsidR="004F27F9">
              <w:rPr>
                <w:lang w:val="en-US"/>
              </w:rPr>
              <w:t>P</w:t>
            </w:r>
            <w:r w:rsidRPr="00F40202">
              <w:rPr>
                <w:lang w:val="en-US"/>
              </w:rPr>
              <w:t xml:space="preserve">arking </w:t>
            </w:r>
            <w:r w:rsidR="004F27F9">
              <w:rPr>
                <w:lang w:val="en-US"/>
              </w:rPr>
              <w:t>B</w:t>
            </w:r>
            <w:r w:rsidRPr="00F40202">
              <w:rPr>
                <w:lang w:val="en-US"/>
              </w:rPr>
              <w:t xml:space="preserve">etween </w:t>
            </w:r>
            <w:r w:rsidR="004F27F9">
              <w:rPr>
                <w:lang w:val="en-US"/>
              </w:rPr>
              <w:t>D</w:t>
            </w:r>
            <w:r w:rsidRPr="00F40202">
              <w:rPr>
                <w:lang w:val="en-US"/>
              </w:rPr>
              <w:t xml:space="preserve">ifferent </w:t>
            </w:r>
            <w:r w:rsidR="004F27F9">
              <w:rPr>
                <w:lang w:val="en-US"/>
              </w:rPr>
              <w:t>L</w:t>
            </w:r>
            <w:r w:rsidRPr="00F40202">
              <w:rPr>
                <w:lang w:val="en-US"/>
              </w:rPr>
              <w:t xml:space="preserve">and </w:t>
            </w:r>
            <w:r w:rsidR="004F27F9">
              <w:rPr>
                <w:lang w:val="en-US"/>
              </w:rPr>
              <w:t>U</w:t>
            </w:r>
            <w:r w:rsidRPr="00F40202">
              <w:rPr>
                <w:lang w:val="en-US"/>
              </w:rPr>
              <w:t>ses</w:t>
            </w:r>
          </w:p>
        </w:tc>
        <w:tc>
          <w:tcPr>
            <w:tcW w:w="0" w:type="dxa"/>
            <w:shd w:val="clear" w:color="auto" w:fill="FFFFFF" w:themeFill="background1"/>
          </w:tcPr>
          <w:p w:rsidRPr="00F40202" w:rsidR="00F40202" w:rsidP="00D70A23" w:rsidRDefault="00E06D1F" w14:paraId="437AD40B" w14:textId="0350232C">
            <w:pPr>
              <w:spacing w:after="240" w:line="276" w:lineRule="auto"/>
              <w:rPr>
                <w:lang w:val="en-US"/>
              </w:rPr>
            </w:pPr>
            <w:r>
              <w:rPr>
                <w:lang w:val="en-US"/>
              </w:rPr>
              <w:t>Consistent</w:t>
            </w:r>
          </w:p>
        </w:tc>
      </w:tr>
      <w:tr w:rsidRPr="00F40202" w:rsidR="00DB00B7" w:rsidTr="003235DA" w14:paraId="1033613F" w14:textId="77777777">
        <w:trPr>
          <w:trHeight w:val="613" w:hRule="exact"/>
        </w:trPr>
        <w:tc>
          <w:tcPr>
            <w:tcW w:w="0" w:type="dxa"/>
            <w:shd w:val="clear" w:color="auto" w:fill="FFFFFF" w:themeFill="background1"/>
          </w:tcPr>
          <w:p w:rsidRPr="00F40202" w:rsidR="00DB00B7" w:rsidP="00D70A23" w:rsidRDefault="0085078E" w14:paraId="1B32C9F2" w14:textId="0568C289">
            <w:pPr>
              <w:spacing w:after="240"/>
              <w:rPr>
                <w:lang w:val="en-US"/>
              </w:rPr>
            </w:pPr>
            <w:r w:rsidRPr="0085078E">
              <w:rPr>
                <w:lang w:val="en-US"/>
              </w:rPr>
              <w:t>Allow Unbundled Parking (Separate the Cost of a Parking Space from Rent/Sales Price)</w:t>
            </w:r>
          </w:p>
        </w:tc>
        <w:tc>
          <w:tcPr>
            <w:tcW w:w="0" w:type="dxa"/>
            <w:shd w:val="clear" w:color="auto" w:fill="FFFFFF" w:themeFill="background1"/>
          </w:tcPr>
          <w:p w:rsidRPr="00F40202" w:rsidR="00DB00B7" w:rsidP="00D70A23" w:rsidRDefault="00DB00B7" w14:paraId="0679F833" w14:textId="77777777">
            <w:pPr>
              <w:spacing w:after="240"/>
              <w:rPr>
                <w:lang w:val="en-US"/>
              </w:rPr>
            </w:pPr>
          </w:p>
        </w:tc>
      </w:tr>
      <w:tr w:rsidRPr="00F40202" w:rsidR="00F40202" w:rsidTr="003235DA" w14:paraId="26500701" w14:textId="77777777">
        <w:trPr>
          <w:cnfStyle w:val="000000100000" w:firstRow="0" w:lastRow="0" w:firstColumn="0" w:lastColumn="0" w:oddVBand="0" w:evenVBand="0" w:oddHBand="1" w:evenHBand="0" w:firstRowFirstColumn="0" w:firstRowLastColumn="0" w:lastRowFirstColumn="0" w:lastRowLastColumn="0"/>
          <w:trHeight w:val="730" w:hRule="exact"/>
        </w:trPr>
        <w:tc>
          <w:tcPr>
            <w:tcW w:w="0" w:type="dxa"/>
            <w:shd w:val="clear" w:color="auto" w:fill="FFFFFF" w:themeFill="background1"/>
            <w:hideMark/>
          </w:tcPr>
          <w:p w:rsidRPr="00F40202" w:rsidR="00F40202" w:rsidP="00D70A23" w:rsidRDefault="00F40202" w14:paraId="6E78A0CE" w14:textId="0A86430E">
            <w:pPr>
              <w:spacing w:after="240" w:line="276" w:lineRule="auto"/>
              <w:rPr>
                <w:lang w:val="en-US"/>
              </w:rPr>
            </w:pPr>
            <w:r w:rsidRPr="00F40202">
              <w:rPr>
                <w:lang w:val="en-US"/>
              </w:rPr>
              <w:lastRenderedPageBreak/>
              <w:t xml:space="preserve">Residential </w:t>
            </w:r>
            <w:r w:rsidR="004F27F9">
              <w:rPr>
                <w:lang w:val="en-US"/>
              </w:rPr>
              <w:t>B</w:t>
            </w:r>
            <w:r w:rsidRPr="00F40202">
              <w:rPr>
                <w:lang w:val="en-US"/>
              </w:rPr>
              <w:t xml:space="preserve">icycle </w:t>
            </w:r>
            <w:r w:rsidR="004F27F9">
              <w:rPr>
                <w:lang w:val="en-US"/>
              </w:rPr>
              <w:t>P</w:t>
            </w:r>
            <w:r w:rsidRPr="00F40202">
              <w:rPr>
                <w:lang w:val="en-US"/>
              </w:rPr>
              <w:t xml:space="preserve">arking: 1 </w:t>
            </w:r>
            <w:r w:rsidR="004F27F9">
              <w:rPr>
                <w:lang w:val="en-US"/>
              </w:rPr>
              <w:t>S</w:t>
            </w:r>
            <w:r w:rsidRPr="00F40202">
              <w:rPr>
                <w:lang w:val="en-US"/>
              </w:rPr>
              <w:t xml:space="preserve">ecure </w:t>
            </w:r>
            <w:r w:rsidR="004F27F9">
              <w:rPr>
                <w:lang w:val="en-US"/>
              </w:rPr>
              <w:t>S</w:t>
            </w:r>
            <w:r w:rsidRPr="00F40202">
              <w:rPr>
                <w:lang w:val="en-US"/>
              </w:rPr>
              <w:t xml:space="preserve">pace per </w:t>
            </w:r>
            <w:r w:rsidR="004F27F9">
              <w:rPr>
                <w:lang w:val="en-US"/>
              </w:rPr>
              <w:t>U</w:t>
            </w:r>
            <w:r w:rsidRPr="00F40202">
              <w:rPr>
                <w:lang w:val="en-US"/>
              </w:rPr>
              <w:t xml:space="preserve">nit </w:t>
            </w:r>
          </w:p>
        </w:tc>
        <w:tc>
          <w:tcPr>
            <w:tcW w:w="0" w:type="dxa"/>
            <w:shd w:val="clear" w:color="auto" w:fill="FFFFFF" w:themeFill="background1"/>
          </w:tcPr>
          <w:p w:rsidRPr="00F40202" w:rsidR="00F40202" w:rsidP="00D70A23" w:rsidRDefault="00F40202" w14:paraId="24BDF440" w14:textId="3461F56C">
            <w:pPr>
              <w:spacing w:after="240" w:line="276" w:lineRule="auto"/>
              <w:rPr>
                <w:lang w:val="en-US"/>
              </w:rPr>
            </w:pPr>
            <w:r w:rsidRPr="00F40202">
              <w:rPr>
                <w:lang w:val="en-US"/>
              </w:rPr>
              <w:t>Requires some amendments</w:t>
            </w:r>
          </w:p>
        </w:tc>
      </w:tr>
      <w:tr w:rsidRPr="00F40202" w:rsidR="00F40202" w:rsidTr="003235DA" w14:paraId="3021B6EE" w14:textId="77777777">
        <w:trPr>
          <w:trHeight w:val="720" w:hRule="exact"/>
        </w:trPr>
        <w:tc>
          <w:tcPr>
            <w:tcW w:w="0" w:type="dxa"/>
            <w:shd w:val="clear" w:color="auto" w:fill="FFFFFF" w:themeFill="background1"/>
            <w:hideMark/>
          </w:tcPr>
          <w:p w:rsidRPr="00F40202" w:rsidR="00F40202" w:rsidP="00D70A23" w:rsidRDefault="00F40202" w14:paraId="67297D57" w14:textId="43CF0A23">
            <w:pPr>
              <w:spacing w:after="240" w:line="276" w:lineRule="auto"/>
              <w:rPr>
                <w:lang w:val="en-US"/>
              </w:rPr>
            </w:pPr>
            <w:r w:rsidRPr="00F40202">
              <w:rPr>
                <w:lang w:val="en-US"/>
              </w:rPr>
              <w:t xml:space="preserve">Office </w:t>
            </w:r>
            <w:r w:rsidR="004F27F9">
              <w:rPr>
                <w:lang w:val="en-US"/>
              </w:rPr>
              <w:t>B</w:t>
            </w:r>
            <w:r w:rsidRPr="00F40202">
              <w:rPr>
                <w:lang w:val="en-US"/>
              </w:rPr>
              <w:t xml:space="preserve">icycle </w:t>
            </w:r>
            <w:r w:rsidR="004F27F9">
              <w:rPr>
                <w:lang w:val="en-US"/>
              </w:rPr>
              <w:t>P</w:t>
            </w:r>
            <w:r w:rsidRPr="00F40202">
              <w:rPr>
                <w:lang w:val="en-US"/>
              </w:rPr>
              <w:t xml:space="preserve">arking: 1 secure </w:t>
            </w:r>
            <w:r w:rsidR="004F27F9">
              <w:rPr>
                <w:lang w:val="en-US"/>
              </w:rPr>
              <w:t>S</w:t>
            </w:r>
            <w:r w:rsidRPr="00F40202">
              <w:rPr>
                <w:lang w:val="en-US"/>
              </w:rPr>
              <w:t xml:space="preserve">pace per 5,000 </w:t>
            </w:r>
            <w:r w:rsidR="004F27F9">
              <w:rPr>
                <w:lang w:val="en-US"/>
              </w:rPr>
              <w:t>O</w:t>
            </w:r>
            <w:r w:rsidRPr="00F40202">
              <w:rPr>
                <w:lang w:val="en-US"/>
              </w:rPr>
              <w:t xml:space="preserve">ccupied sq. ft. </w:t>
            </w:r>
          </w:p>
        </w:tc>
        <w:tc>
          <w:tcPr>
            <w:tcW w:w="0" w:type="dxa"/>
            <w:shd w:val="clear" w:color="auto" w:fill="FFFFFF" w:themeFill="background1"/>
          </w:tcPr>
          <w:p w:rsidRPr="00F40202" w:rsidR="00F40202" w:rsidP="00D70A23" w:rsidRDefault="00F40202" w14:paraId="3DBA537D" w14:textId="17B80B03">
            <w:pPr>
              <w:spacing w:after="240" w:line="276" w:lineRule="auto"/>
              <w:rPr>
                <w:lang w:val="en-US"/>
              </w:rPr>
            </w:pPr>
          </w:p>
        </w:tc>
      </w:tr>
    </w:tbl>
    <w:p w:rsidR="005D0161" w:rsidP="005D0161" w:rsidRDefault="005D0161" w14:paraId="214F5D11" w14:textId="77777777"/>
    <w:p w:rsidR="00BF213A" w:rsidP="00BF213A" w:rsidRDefault="00E06D1F" w14:paraId="52F28A12" w14:textId="493C4164">
      <w:r>
        <w:t xml:space="preserve">Additionally, </w:t>
      </w:r>
      <w:r w:rsidR="00A26E15">
        <w:t>t</w:t>
      </w:r>
      <w:r>
        <w:t xml:space="preserve">he TOC </w:t>
      </w:r>
      <w:r w:rsidR="00A26E15">
        <w:t xml:space="preserve">Policy requires adoption of </w:t>
      </w:r>
      <w:r>
        <w:t xml:space="preserve">one </w:t>
      </w:r>
      <w:r w:rsidR="00A26E15">
        <w:t xml:space="preserve">complementary </w:t>
      </w:r>
      <w:r>
        <w:t xml:space="preserve">parking management strategy for </w:t>
      </w:r>
      <w:r w:rsidR="00A26E15">
        <w:t>the TOC area</w:t>
      </w:r>
      <w:r w:rsidR="003535D5">
        <w:t xml:space="preserve">, selected </w:t>
      </w:r>
      <w:r w:rsidR="005D0161">
        <w:t>from a menu of five options</w:t>
      </w:r>
      <w:r>
        <w:t>.</w:t>
      </w:r>
      <w:r w:rsidR="00EC7019">
        <w:t xml:space="preserve"> </w:t>
      </w:r>
      <w:r w:rsidRPr="000C33E0" w:rsidR="00BF213A">
        <w:rPr>
          <w:i/>
          <w:iCs/>
          <w:highlight w:val="yellow"/>
        </w:rPr>
        <w:t>Jurisdiction Name</w:t>
      </w:r>
      <w:r w:rsidRPr="000C33E0" w:rsidR="00BF213A">
        <w:rPr>
          <w:i/>
          <w:iCs/>
        </w:rPr>
        <w:t xml:space="preserve"> </w:t>
      </w:r>
      <w:r w:rsidRPr="000C33E0" w:rsidR="00BF213A">
        <w:rPr>
          <w:i/>
          <w:iCs/>
          <w:highlight w:val="yellow"/>
        </w:rPr>
        <w:t>[has/does not have]</w:t>
      </w:r>
      <w:r w:rsidR="00BF213A">
        <w:t xml:space="preserve"> one of these policies that is consistent with the TOC. </w:t>
      </w:r>
    </w:p>
    <w:p w:rsidR="00BF213A" w:rsidP="00BF213A" w:rsidRDefault="00BF213A" w14:paraId="5965DAD9" w14:textId="77777777"/>
    <w:p w:rsidRPr="00BF213A" w:rsidR="00BF213A" w:rsidP="00BF213A" w:rsidRDefault="00BF213A" w14:paraId="400CC1D2" w14:textId="5CF5E6DF">
      <w:pPr>
        <w:rPr>
          <w:i/>
          <w:iCs/>
        </w:rPr>
      </w:pPr>
      <w:r w:rsidRPr="00FF3595">
        <w:rPr>
          <w:i/>
          <w:iCs/>
          <w:highlight w:val="yellow"/>
        </w:rPr>
        <w:t>[The table below list</w:t>
      </w:r>
      <w:r>
        <w:rPr>
          <w:i/>
          <w:iCs/>
          <w:highlight w:val="yellow"/>
        </w:rPr>
        <w:t>s</w:t>
      </w:r>
      <w:r w:rsidRPr="00FF3595">
        <w:rPr>
          <w:i/>
          <w:iCs/>
          <w:highlight w:val="yellow"/>
        </w:rPr>
        <w:t xml:space="preserve"> the policy options from the TOC Policy menu. Update the text in the table as needed to identify the policy option</w:t>
      </w:r>
      <w:r>
        <w:rPr>
          <w:i/>
          <w:iCs/>
          <w:highlight w:val="yellow"/>
        </w:rPr>
        <w:t>(</w:t>
      </w:r>
      <w:r w:rsidRPr="00FF3595">
        <w:rPr>
          <w:i/>
          <w:iCs/>
          <w:highlight w:val="yellow"/>
        </w:rPr>
        <w:t>s</w:t>
      </w:r>
      <w:r>
        <w:rPr>
          <w:i/>
          <w:iCs/>
          <w:highlight w:val="yellow"/>
        </w:rPr>
        <w:t>)</w:t>
      </w:r>
      <w:r w:rsidRPr="00FF3595">
        <w:rPr>
          <w:i/>
          <w:iCs/>
          <w:highlight w:val="yellow"/>
        </w:rPr>
        <w:t xml:space="preserve"> staff is recommending to submit to MTC to demonstrate compliance with the TOC Policy. Describe the current status of the policy (e.g., currently consistent, needs amendment, need new policy, etc.).]</w:t>
      </w:r>
    </w:p>
    <w:p w:rsidR="00BF213A" w:rsidP="005D0161" w:rsidRDefault="00BF213A" w14:paraId="7176B1C8" w14:textId="3DA7AB02"/>
    <w:p w:rsidRPr="003535D5" w:rsidR="00CC09EA" w:rsidP="005D0161" w:rsidRDefault="00573D44" w14:paraId="6ACE574B" w14:textId="5CD891BA">
      <w:r>
        <w:t>[</w:t>
      </w:r>
      <w:r w:rsidRPr="002623D6" w:rsidR="005D0161">
        <w:rPr>
          <w:i/>
          <w:iCs/>
          <w:highlight w:val="yellow"/>
        </w:rPr>
        <w:t xml:space="preserve">Discuss reasons some </w:t>
      </w:r>
      <w:r w:rsidR="005D0161">
        <w:rPr>
          <w:i/>
          <w:iCs/>
          <w:highlight w:val="yellow"/>
        </w:rPr>
        <w:t>options</w:t>
      </w:r>
      <w:r w:rsidRPr="002623D6" w:rsidR="005D0161">
        <w:rPr>
          <w:i/>
          <w:iCs/>
          <w:highlight w:val="yellow"/>
        </w:rPr>
        <w:t xml:space="preserve"> are recommended and/or why some </w:t>
      </w:r>
      <w:r w:rsidR="005D0161">
        <w:rPr>
          <w:i/>
          <w:iCs/>
          <w:highlight w:val="yellow"/>
        </w:rPr>
        <w:t>option</w:t>
      </w:r>
      <w:r w:rsidRPr="002623D6" w:rsidR="005D0161">
        <w:rPr>
          <w:i/>
          <w:iCs/>
          <w:highlight w:val="yellow"/>
        </w:rPr>
        <w:t>s are not recommended.</w:t>
      </w:r>
      <w:r>
        <w:rPr>
          <w:i/>
          <w:iCs/>
        </w:rPr>
        <w:t>]</w:t>
      </w:r>
      <w:r w:rsidRPr="002623D6" w:rsidR="005D0161">
        <w:rPr>
          <w:i/>
          <w:iCs/>
        </w:rPr>
        <w:t xml:space="preserve"> </w:t>
      </w:r>
    </w:p>
    <w:p w:rsidR="005D0161" w:rsidP="00BD3355" w:rsidRDefault="005D0161" w14:paraId="258AA006" w14:textId="77777777">
      <w:pPr>
        <w:rPr>
          <w:i/>
          <w:iCs/>
        </w:rPr>
      </w:pPr>
    </w:p>
    <w:tbl>
      <w:tblPr>
        <w:tblStyle w:val="GridTable4-Accent5"/>
        <w:tblW w:w="9265" w:type="dxa"/>
        <w:tblLayout w:type="fixed"/>
        <w:tblLook w:val="0420" w:firstRow="1" w:lastRow="0" w:firstColumn="0" w:lastColumn="0" w:noHBand="0" w:noVBand="1"/>
      </w:tblPr>
      <w:tblGrid>
        <w:gridCol w:w="5305"/>
        <w:gridCol w:w="3960"/>
      </w:tblGrid>
      <w:tr w:rsidRPr="00F40202" w:rsidR="00BF213A" w:rsidTr="50308BB3" w14:paraId="4930FC3F" w14:textId="77777777">
        <w:trPr>
          <w:cnfStyle w:val="100000000000" w:firstRow="1" w:lastRow="0" w:firstColumn="0" w:lastColumn="0" w:oddVBand="0" w:evenVBand="0" w:oddHBand="0" w:evenHBand="0" w:firstRowFirstColumn="0" w:firstRowLastColumn="0" w:lastRowFirstColumn="0" w:lastRowLastColumn="0"/>
          <w:trHeight w:val="432" w:hRule="exact"/>
        </w:trPr>
        <w:tc>
          <w:tcPr>
            <w:cnfStyle w:val="000000000000" w:firstRow="0" w:lastRow="0" w:firstColumn="0" w:lastColumn="0" w:oddVBand="0" w:evenVBand="0" w:oddHBand="0" w:evenHBand="0" w:firstRowFirstColumn="0" w:firstRowLastColumn="0" w:lastRowFirstColumn="0" w:lastRowLastColumn="0"/>
            <w:tcW w:w="5305" w:type="dxa"/>
            <w:tcMar/>
            <w:hideMark/>
          </w:tcPr>
          <w:p w:rsidRPr="00F40202" w:rsidR="00BF213A" w:rsidP="00CB6BD3" w:rsidRDefault="00BF213A" w14:paraId="2C1D842E" w14:textId="77777777">
            <w:pPr>
              <w:spacing w:after="240" w:line="276" w:lineRule="auto"/>
              <w:rPr>
                <w:b w:val="0"/>
                <w:bCs w:val="0"/>
                <w:color w:val="auto"/>
                <w:lang w:val="en-US"/>
              </w:rPr>
            </w:pPr>
            <w:r w:rsidRPr="00F40202">
              <w:rPr>
                <w:lang w:val="en-US"/>
              </w:rPr>
              <w:t>Recommended Policy</w:t>
            </w:r>
          </w:p>
        </w:tc>
        <w:tc>
          <w:tcPr>
            <w:cnfStyle w:val="000000000000" w:firstRow="0" w:lastRow="0" w:firstColumn="0" w:lastColumn="0" w:oddVBand="0" w:evenVBand="0" w:oddHBand="0" w:evenHBand="0" w:firstRowFirstColumn="0" w:firstRowLastColumn="0" w:lastRowFirstColumn="0" w:lastRowLastColumn="0"/>
            <w:tcW w:w="3960" w:type="dxa"/>
            <w:tcMar/>
            <w:hideMark/>
          </w:tcPr>
          <w:p w:rsidRPr="00F40202" w:rsidR="00BF213A" w:rsidP="00CB6BD3" w:rsidRDefault="00BF213A" w14:paraId="0364B2EE" w14:textId="77777777">
            <w:pPr>
              <w:spacing w:after="240" w:line="276" w:lineRule="auto"/>
              <w:rPr>
                <w:b w:val="0"/>
                <w:bCs w:val="0"/>
                <w:color w:val="auto"/>
                <w:lang w:val="en-US"/>
              </w:rPr>
            </w:pPr>
          </w:p>
        </w:tc>
      </w:tr>
      <w:tr w:rsidRPr="00F40202" w:rsidR="00BF213A" w:rsidTr="50308BB3" w14:paraId="5AA503BB" w14:textId="77777777">
        <w:trPr>
          <w:cnfStyle w:val="000000100000" w:firstRow="0" w:lastRow="0" w:firstColumn="0" w:lastColumn="0" w:oddVBand="0" w:evenVBand="0" w:oddHBand="1" w:evenHBand="0" w:firstRowFirstColumn="0" w:firstRowLastColumn="0" w:lastRowFirstColumn="0" w:lastRowLastColumn="0"/>
          <w:trHeight w:val="432" w:hRule="exact"/>
        </w:trPr>
        <w:tc>
          <w:tcPr>
            <w:cnfStyle w:val="000000000000" w:firstRow="0" w:lastRow="0" w:firstColumn="0" w:lastColumn="0" w:oddVBand="0" w:evenVBand="0" w:oddHBand="0" w:evenHBand="0" w:firstRowFirstColumn="0" w:firstRowLastColumn="0" w:lastRowFirstColumn="0" w:lastRowLastColumn="0"/>
            <w:tcW w:w="5305" w:type="dxa"/>
            <w:shd w:val="clear" w:color="auto" w:fill="FFFFFF" w:themeFill="background1"/>
            <w:tcMar/>
            <w:hideMark/>
          </w:tcPr>
          <w:p w:rsidRPr="00F40202" w:rsidR="00BF213A" w:rsidP="00CB6BD3" w:rsidRDefault="00BF213A" w14:paraId="7749E808" w14:textId="77777777">
            <w:pPr>
              <w:spacing w:after="240" w:line="276" w:lineRule="auto"/>
              <w:rPr>
                <w:lang w:val="en-US"/>
              </w:rPr>
            </w:pPr>
            <w:r w:rsidRPr="00F40202">
              <w:rPr>
                <w:lang w:val="en-US"/>
              </w:rPr>
              <w:t>TDM Policy for New Development</w:t>
            </w:r>
            <w:r w:rsidRPr="00F40202">
              <w:rPr>
                <w:lang w:val="en-US"/>
              </w:rPr>
              <w:tab/>
            </w:r>
          </w:p>
        </w:tc>
        <w:tc>
          <w:tcPr>
            <w:cnfStyle w:val="000000000000" w:firstRow="0" w:lastRow="0" w:firstColumn="0" w:lastColumn="0" w:oddVBand="0" w:evenVBand="0" w:oddHBand="0" w:evenHBand="0" w:firstRowFirstColumn="0" w:firstRowLastColumn="0" w:lastRowFirstColumn="0" w:lastRowLastColumn="0"/>
            <w:tcW w:w="3960" w:type="dxa"/>
            <w:shd w:val="clear" w:color="auto" w:fill="FFFFFF" w:themeFill="background1"/>
            <w:tcMar/>
            <w:hideMark/>
          </w:tcPr>
          <w:p w:rsidRPr="00F40202" w:rsidR="00BF213A" w:rsidP="00CB6BD3" w:rsidRDefault="00BF213A" w14:paraId="6957715E" w14:textId="77777777">
            <w:pPr>
              <w:spacing w:after="240" w:line="276" w:lineRule="auto"/>
              <w:rPr>
                <w:lang w:val="en-US"/>
              </w:rPr>
            </w:pPr>
            <w:r>
              <w:rPr>
                <w:lang w:val="en-US"/>
              </w:rPr>
              <w:t>Consistent</w:t>
            </w:r>
          </w:p>
        </w:tc>
      </w:tr>
    </w:tbl>
    <w:p w:rsidRPr="00BD3355" w:rsidR="00BF213A" w:rsidP="50308BB3" w:rsidRDefault="00BF213A" w14:paraId="223DC8C1" w14:textId="36675360">
      <w:pPr>
        <w:pStyle w:val="Heading4"/>
      </w:pPr>
      <w:r w:rsidR="6E46E05C">
        <w:rPr/>
        <w:t>Alternative Policy Options in TOC</w:t>
      </w:r>
    </w:p>
    <w:p w:rsidR="50308BB3" w:rsidP="50308BB3" w:rsidRDefault="50308BB3" w14:paraId="6BD15CF7" w14:textId="2815DFCC">
      <w:pPr>
        <w:pStyle w:val="ListParagraph"/>
        <w:numPr>
          <w:ilvl w:val="0"/>
          <w:numId w:val="14"/>
        </w:numPr>
        <w:rPr>
          <w:i w:val="0"/>
          <w:iCs w:val="0"/>
          <w:sz w:val="22"/>
          <w:szCs w:val="22"/>
        </w:rPr>
      </w:pPr>
      <w:r w:rsidRPr="50308BB3" w:rsidR="50308BB3">
        <w:rPr>
          <w:i w:val="0"/>
          <w:iCs w:val="0"/>
          <w:sz w:val="22"/>
          <w:szCs w:val="22"/>
        </w:rPr>
        <w:t xml:space="preserve">Curb Strategy/ Management </w:t>
      </w:r>
    </w:p>
    <w:p w:rsidR="50308BB3" w:rsidP="50308BB3" w:rsidRDefault="50308BB3" w14:paraId="270B6A2B" w14:textId="188D4F2D">
      <w:pPr>
        <w:pStyle w:val="ListParagraph"/>
        <w:numPr>
          <w:ilvl w:val="0"/>
          <w:numId w:val="14"/>
        </w:numPr>
        <w:rPr>
          <w:i w:val="0"/>
          <w:iCs w:val="0"/>
          <w:sz w:val="22"/>
          <w:szCs w:val="22"/>
        </w:rPr>
      </w:pPr>
      <w:r w:rsidRPr="50308BB3" w:rsidR="50308BB3">
        <w:rPr>
          <w:i w:val="0"/>
          <w:iCs w:val="0"/>
          <w:sz w:val="22"/>
          <w:szCs w:val="22"/>
        </w:rPr>
        <w:t>Parking Benefit District (PBD)</w:t>
      </w:r>
    </w:p>
    <w:p w:rsidR="50308BB3" w:rsidP="50308BB3" w:rsidRDefault="50308BB3" w14:paraId="06846CD8" w14:textId="308B37DE">
      <w:pPr>
        <w:pStyle w:val="ListParagraph"/>
        <w:numPr>
          <w:ilvl w:val="0"/>
          <w:numId w:val="14"/>
        </w:numPr>
        <w:rPr>
          <w:i w:val="0"/>
          <w:iCs w:val="0"/>
          <w:sz w:val="22"/>
          <w:szCs w:val="22"/>
        </w:rPr>
      </w:pPr>
      <w:r w:rsidRPr="50308BB3" w:rsidR="50308BB3">
        <w:rPr>
          <w:i w:val="0"/>
          <w:iCs w:val="0"/>
          <w:sz w:val="22"/>
          <w:szCs w:val="22"/>
        </w:rPr>
        <w:t>Demand-Responsive Pricing</w:t>
      </w:r>
    </w:p>
    <w:p w:rsidR="50308BB3" w:rsidP="50308BB3" w:rsidRDefault="50308BB3" w14:paraId="299528A6" w14:textId="2763EEA8">
      <w:pPr>
        <w:pStyle w:val="ListParagraph"/>
        <w:numPr>
          <w:ilvl w:val="0"/>
          <w:numId w:val="14"/>
        </w:numPr>
        <w:rPr>
          <w:i w:val="0"/>
          <w:iCs w:val="0"/>
          <w:sz w:val="22"/>
          <w:szCs w:val="22"/>
        </w:rPr>
      </w:pPr>
      <w:r w:rsidRPr="50308BB3" w:rsidR="50308BB3">
        <w:rPr>
          <w:i w:val="0"/>
          <w:iCs w:val="0"/>
          <w:sz w:val="22"/>
          <w:szCs w:val="22"/>
        </w:rPr>
        <w:t xml:space="preserve">Priced Parking </w:t>
      </w:r>
    </w:p>
    <w:p w:rsidR="009A50C3" w:rsidP="6E46E05C" w:rsidRDefault="006F550E" w14:paraId="00000023" w14:textId="002186EA">
      <w:pPr>
        <w:pStyle w:val="Heading2"/>
        <w:rPr>
          <w:b w:val="1"/>
          <w:bCs w:val="1"/>
          <w:i w:val="0"/>
          <w:iCs w:val="0"/>
          <w:color w:val="000000" w:themeColor="text1" w:themeTint="FF" w:themeShade="FF"/>
          <w:sz w:val="22"/>
          <w:szCs w:val="22"/>
        </w:rPr>
      </w:pPr>
      <w:bookmarkStart w:name="_k6t416fbllr5" w:id="108"/>
      <w:bookmarkEnd w:id="108"/>
      <w:r w:rsidR="6E46E05C">
        <w:rPr/>
        <w:t>Station Ac</w:t>
      </w:r>
      <w:r w:rsidR="6E46E05C">
        <w:rPr/>
        <w:t xml:space="preserve">cess and </w:t>
      </w:r>
      <w:r w:rsidR="6E46E05C">
        <w:rPr/>
        <w:t>Circulation</w:t>
      </w:r>
    </w:p>
    <w:p w:rsidRPr="009B3001" w:rsidR="001E022D" w:rsidP="001E022D" w:rsidRDefault="00E06D1F" w14:paraId="3DD3D952" w14:textId="3B414145">
      <w:pPr>
        <w:rPr>
          <w:i/>
          <w:iCs/>
          <w:highlight w:val="yellow"/>
        </w:rPr>
      </w:pPr>
      <w:r>
        <w:t xml:space="preserve">The TOC </w:t>
      </w:r>
      <w:r w:rsidR="002C6F3A">
        <w:t>P</w:t>
      </w:r>
      <w:r>
        <w:t xml:space="preserve">olicy </w:t>
      </w:r>
      <w:r w:rsidR="004D4EA5">
        <w:t>includes</w:t>
      </w:r>
      <w:r w:rsidR="002C6F3A">
        <w:t xml:space="preserve"> </w:t>
      </w:r>
      <w:r w:rsidR="00E46930">
        <w:t>four</w:t>
      </w:r>
      <w:r w:rsidR="004D4EA5">
        <w:t xml:space="preserve"> requirements related to</w:t>
      </w:r>
      <w:r>
        <w:t xml:space="preserve"> station access and circulation</w:t>
      </w:r>
      <w:r w:rsidR="0009586E">
        <w:t>.</w:t>
      </w:r>
      <w:r w:rsidR="009B3001">
        <w:rPr>
          <w:i/>
          <w:iCs/>
        </w:rPr>
        <w:t xml:space="preserve"> </w:t>
      </w:r>
      <w:r w:rsidR="001E022D">
        <w:t xml:space="preserve">Generally, </w:t>
      </w:r>
      <w:r w:rsidRPr="000C33E0" w:rsidR="009B3001">
        <w:rPr>
          <w:i/>
          <w:iCs/>
          <w:highlight w:val="yellow"/>
        </w:rPr>
        <w:t>Jurisdiction Name</w:t>
      </w:r>
      <w:r w:rsidRPr="000C33E0" w:rsidR="009B3001">
        <w:rPr>
          <w:i/>
          <w:iCs/>
        </w:rPr>
        <w:t xml:space="preserve"> </w:t>
      </w:r>
      <w:r w:rsidRPr="000C33E0" w:rsidR="009B3001">
        <w:rPr>
          <w:i/>
          <w:iCs/>
          <w:highlight w:val="yellow"/>
        </w:rPr>
        <w:t>[has/does not have]</w:t>
      </w:r>
      <w:r w:rsidR="009B3001">
        <w:t xml:space="preserve"> </w:t>
      </w:r>
      <w:r w:rsidR="001E022D">
        <w:t xml:space="preserve">policies and planning work consistent with the TOC policy. Staff </w:t>
      </w:r>
      <w:r w:rsidRPr="00345699" w:rsidR="001E022D">
        <w:t xml:space="preserve">recommend </w:t>
      </w:r>
      <w:r w:rsidRPr="002623D6" w:rsidR="001E022D">
        <w:t>[</w:t>
      </w:r>
      <w:r w:rsidRPr="002623D6" w:rsidR="001E022D">
        <w:rPr>
          <w:i/>
          <w:iCs/>
          <w:highlight w:val="yellow"/>
        </w:rPr>
        <w:t>insert relevant improvements, such as bike lanes, pedestrian paths, or mobility hubs</w:t>
      </w:r>
      <w:r w:rsidRPr="002623D6" w:rsidR="001E022D">
        <w:rPr>
          <w:highlight w:val="yellow"/>
        </w:rPr>
        <w:t>].</w:t>
      </w:r>
      <w:r w:rsidRPr="002623D6" w:rsidR="001E022D">
        <w:t xml:space="preserve"> </w:t>
      </w:r>
      <w:r w:rsidRPr="00345699" w:rsidR="001E022D">
        <w:t>These projects will increase access to transit while supporting sustainable transportation options.</w:t>
      </w:r>
    </w:p>
    <w:p w:rsidR="001E022D" w:rsidP="00BD3355" w:rsidRDefault="001E022D" w14:paraId="282C6228" w14:textId="77777777">
      <w:pPr>
        <w:rPr>
          <w:i/>
          <w:iCs/>
          <w:highlight w:val="yellow"/>
        </w:rPr>
      </w:pPr>
    </w:p>
    <w:p w:rsidRPr="000C33E0" w:rsidR="001E022D" w:rsidP="00BD3355" w:rsidRDefault="000C33E0" w14:paraId="3E9F53B5" w14:textId="1B1CB7CE">
      <w:pPr>
        <w:rPr>
          <w:i/>
          <w:iCs/>
        </w:rPr>
      </w:pPr>
      <w:r w:rsidRPr="00C94EC7">
        <w:rPr>
          <w:i/>
          <w:iCs/>
          <w:highlight w:val="yellow"/>
        </w:rPr>
        <w:t>[</w:t>
      </w:r>
      <w:r>
        <w:rPr>
          <w:i/>
          <w:iCs/>
          <w:highlight w:val="yellow"/>
        </w:rPr>
        <w:t>In the table below, d</w:t>
      </w:r>
      <w:r w:rsidRPr="00C94EC7">
        <w:rPr>
          <w:i/>
          <w:iCs/>
          <w:highlight w:val="yellow"/>
        </w:rPr>
        <w:t xml:space="preserve">escribe the current status of </w:t>
      </w:r>
      <w:r>
        <w:rPr>
          <w:i/>
          <w:iCs/>
          <w:highlight w:val="yellow"/>
        </w:rPr>
        <w:t xml:space="preserve">each existing </w:t>
      </w:r>
      <w:r w:rsidRPr="00C94EC7">
        <w:rPr>
          <w:i/>
          <w:iCs/>
          <w:highlight w:val="yellow"/>
        </w:rPr>
        <w:t xml:space="preserve">policy </w:t>
      </w:r>
      <w:r>
        <w:rPr>
          <w:i/>
          <w:iCs/>
          <w:highlight w:val="yellow"/>
        </w:rPr>
        <w:t xml:space="preserve">in complying with TOC requirements </w:t>
      </w:r>
      <w:r w:rsidRPr="00C94EC7">
        <w:rPr>
          <w:i/>
          <w:iCs/>
          <w:highlight w:val="yellow"/>
        </w:rPr>
        <w:t>(e.g., currently consistent, needs amendment, need new policy, etc.).]</w:t>
      </w:r>
    </w:p>
    <w:p w:rsidR="001E022D" w:rsidP="00BD3355" w:rsidRDefault="001E022D" w14:paraId="412CE795" w14:textId="77777777">
      <w:pPr>
        <w:rPr>
          <w:i/>
          <w:iCs/>
          <w:highlight w:val="yellow"/>
        </w:rPr>
      </w:pPr>
    </w:p>
    <w:p w:rsidR="009A50C3" w:rsidP="00BD3355" w:rsidRDefault="0009586E" w14:paraId="00000024" w14:textId="67124DBD">
      <w:pPr>
        <w:rPr>
          <w:i/>
          <w:iCs/>
        </w:rPr>
      </w:pPr>
      <w:r>
        <w:rPr>
          <w:i/>
          <w:iCs/>
          <w:highlight w:val="yellow"/>
        </w:rPr>
        <w:t>[</w:t>
      </w:r>
      <w:r w:rsidRPr="002623D6">
        <w:rPr>
          <w:i/>
          <w:iCs/>
          <w:highlight w:val="yellow"/>
        </w:rPr>
        <w:t xml:space="preserve">Discuss </w:t>
      </w:r>
      <w:r>
        <w:rPr>
          <w:i/>
          <w:iCs/>
          <w:highlight w:val="yellow"/>
        </w:rPr>
        <w:t>how jurisdiction has achieved or will achieve the four requirements</w:t>
      </w:r>
      <w:r w:rsidRPr="002623D6">
        <w:rPr>
          <w:i/>
          <w:iCs/>
          <w:highlight w:val="yellow"/>
        </w:rPr>
        <w:t>.</w:t>
      </w:r>
      <w:r>
        <w:rPr>
          <w:i/>
          <w:iCs/>
        </w:rPr>
        <w:t>]</w:t>
      </w:r>
    </w:p>
    <w:p w:rsidRPr="00BD3355" w:rsidR="00BD3355" w:rsidP="00BD3355" w:rsidRDefault="00BD3355" w14:paraId="7C928E24" w14:textId="77777777">
      <w:pPr>
        <w:rPr>
          <w:i/>
          <w:iCs/>
        </w:rPr>
      </w:pPr>
    </w:p>
    <w:tbl>
      <w:tblPr>
        <w:tblStyle w:val="GridTable4-Accent5"/>
        <w:tblW w:w="9350" w:type="dxa"/>
        <w:tblLayout w:type="fixed"/>
        <w:tblLook w:val="0420" w:firstRow="1" w:lastRow="0" w:firstColumn="0" w:lastColumn="0" w:noHBand="0" w:noVBand="1"/>
      </w:tblPr>
      <w:tblGrid>
        <w:gridCol w:w="6565"/>
        <w:gridCol w:w="2785"/>
      </w:tblGrid>
      <w:tr w:rsidRPr="00F40202" w:rsidR="005C3693" w:rsidTr="005C3693" w14:paraId="63E1D43A" w14:textId="77777777">
        <w:trPr>
          <w:cnfStyle w:val="100000000000" w:firstRow="1" w:lastRow="0" w:firstColumn="0" w:lastColumn="0" w:oddVBand="0" w:evenVBand="0" w:oddHBand="0" w:evenHBand="0" w:firstRowFirstColumn="0" w:firstRowLastColumn="0" w:lastRowFirstColumn="0" w:lastRowLastColumn="0"/>
          <w:trHeight w:val="370" w:hRule="exact"/>
        </w:trPr>
        <w:tc>
          <w:tcPr>
            <w:tcW w:w="6565" w:type="dxa"/>
          </w:tcPr>
          <w:p w:rsidRPr="00F40202" w:rsidR="005C3693" w:rsidP="00E06D1F" w:rsidRDefault="005C3693" w14:paraId="3E30C8DE" w14:textId="58A13051">
            <w:pPr>
              <w:spacing w:after="240"/>
              <w:rPr>
                <w:lang w:val="en-US"/>
              </w:rPr>
            </w:pPr>
            <w:r>
              <w:rPr>
                <w:lang w:val="en-US"/>
              </w:rPr>
              <w:lastRenderedPageBreak/>
              <w:t>Requirement</w:t>
            </w:r>
          </w:p>
        </w:tc>
        <w:tc>
          <w:tcPr>
            <w:tcW w:w="2785" w:type="dxa"/>
          </w:tcPr>
          <w:p w:rsidRPr="00F40202" w:rsidR="005C3693" w:rsidP="00E06D1F" w:rsidRDefault="005C3693" w14:paraId="7096CA75" w14:textId="7EB39224">
            <w:pPr>
              <w:spacing w:after="240"/>
              <w:rPr>
                <w:lang w:val="en-US"/>
              </w:rPr>
            </w:pPr>
            <w:r>
              <w:rPr>
                <w:lang w:val="en-US"/>
              </w:rPr>
              <w:t>Status</w:t>
            </w:r>
          </w:p>
        </w:tc>
      </w:tr>
      <w:tr w:rsidRPr="00F40202" w:rsidR="00E06D1F" w:rsidTr="0088247D" w14:paraId="750AE211" w14:textId="77777777">
        <w:trPr>
          <w:cnfStyle w:val="000000100000" w:firstRow="0" w:lastRow="0" w:firstColumn="0" w:lastColumn="0" w:oddVBand="0" w:evenVBand="0" w:oddHBand="1" w:evenHBand="0" w:firstRowFirstColumn="0" w:firstRowLastColumn="0" w:lastRowFirstColumn="0" w:lastRowLastColumn="0"/>
          <w:trHeight w:val="370" w:hRule="exact"/>
        </w:trPr>
        <w:tc>
          <w:tcPr>
            <w:tcW w:w="6565" w:type="dxa"/>
            <w:shd w:val="clear" w:color="auto" w:fill="FFFFFF" w:themeFill="background1"/>
            <w:hideMark/>
          </w:tcPr>
          <w:p w:rsidRPr="00F40202" w:rsidR="00E06D1F" w:rsidP="00E06D1F" w:rsidRDefault="00E06D1F" w14:paraId="0B3ED1DF" w14:textId="77777777">
            <w:pPr>
              <w:spacing w:after="240" w:line="276" w:lineRule="auto"/>
              <w:rPr>
                <w:lang w:val="en-US"/>
              </w:rPr>
            </w:pPr>
            <w:r w:rsidRPr="00F40202">
              <w:rPr>
                <w:lang w:val="en-US"/>
              </w:rPr>
              <w:t>Adopt a jurisdiction-wide Complete Streets Policy</w:t>
            </w:r>
            <w:r w:rsidRPr="00F40202">
              <w:rPr>
                <w:lang w:val="en-US"/>
              </w:rPr>
              <w:tab/>
            </w:r>
          </w:p>
        </w:tc>
        <w:tc>
          <w:tcPr>
            <w:tcW w:w="2785" w:type="dxa"/>
            <w:shd w:val="clear" w:color="auto" w:fill="FFFFFF" w:themeFill="background1"/>
          </w:tcPr>
          <w:p w:rsidRPr="00F40202" w:rsidR="00E06D1F" w:rsidP="00E06D1F" w:rsidRDefault="00E06D1F" w14:paraId="0405FEC1" w14:textId="4AAB67EC">
            <w:pPr>
              <w:spacing w:after="240" w:line="276" w:lineRule="auto"/>
              <w:rPr>
                <w:lang w:val="en-US"/>
              </w:rPr>
            </w:pPr>
          </w:p>
        </w:tc>
      </w:tr>
      <w:tr w:rsidRPr="00F40202" w:rsidR="00E06D1F" w:rsidTr="000820E0" w14:paraId="5736D5E4" w14:textId="77777777">
        <w:trPr>
          <w:trHeight w:val="640" w:hRule="exact"/>
        </w:trPr>
        <w:tc>
          <w:tcPr>
            <w:tcW w:w="6565" w:type="dxa"/>
            <w:shd w:val="clear" w:color="auto" w:fill="FFFFFF" w:themeFill="background1"/>
            <w:hideMark/>
          </w:tcPr>
          <w:p w:rsidRPr="00F40202" w:rsidR="00E06D1F" w:rsidP="00E06D1F" w:rsidRDefault="00E06D1F" w14:paraId="3D8F899B" w14:textId="0A7B450E">
            <w:pPr>
              <w:spacing w:after="240" w:line="276" w:lineRule="auto"/>
              <w:rPr>
                <w:lang w:val="en-US"/>
              </w:rPr>
            </w:pPr>
            <w:r w:rsidRPr="00F40202">
              <w:rPr>
                <w:lang w:val="en-US"/>
              </w:rPr>
              <w:t xml:space="preserve">Prioritize implementation of active transportation projects in </w:t>
            </w:r>
            <w:r w:rsidR="00E359E2">
              <w:rPr>
                <w:lang w:val="en-US"/>
              </w:rPr>
              <w:t xml:space="preserve">TOC </w:t>
            </w:r>
            <w:r w:rsidRPr="00F40202">
              <w:rPr>
                <w:lang w:val="en-US"/>
              </w:rPr>
              <w:t>area</w:t>
            </w:r>
            <w:r w:rsidR="00E359E2">
              <w:rPr>
                <w:lang w:val="en-US"/>
              </w:rPr>
              <w:t>(</w:t>
            </w:r>
            <w:r w:rsidRPr="00F40202">
              <w:rPr>
                <w:lang w:val="en-US"/>
              </w:rPr>
              <w:t>s</w:t>
            </w:r>
            <w:r w:rsidR="00E359E2">
              <w:rPr>
                <w:lang w:val="en-US"/>
              </w:rPr>
              <w:t>)</w:t>
            </w:r>
          </w:p>
        </w:tc>
        <w:tc>
          <w:tcPr>
            <w:tcW w:w="2785" w:type="dxa"/>
            <w:shd w:val="clear" w:color="auto" w:fill="FFFFFF" w:themeFill="background1"/>
          </w:tcPr>
          <w:p w:rsidRPr="00F40202" w:rsidR="00E06D1F" w:rsidP="00E06D1F" w:rsidRDefault="00E06D1F" w14:paraId="469EDAA5" w14:textId="5DC087C3">
            <w:pPr>
              <w:spacing w:after="240" w:line="276" w:lineRule="auto"/>
              <w:rPr>
                <w:lang w:val="en-US"/>
              </w:rPr>
            </w:pPr>
          </w:p>
        </w:tc>
      </w:tr>
      <w:tr w:rsidRPr="00F40202" w:rsidR="00E06D1F" w:rsidTr="000820E0" w14:paraId="7DB2B419" w14:textId="77777777">
        <w:trPr>
          <w:cnfStyle w:val="000000100000" w:firstRow="0" w:lastRow="0" w:firstColumn="0" w:lastColumn="0" w:oddVBand="0" w:evenVBand="0" w:oddHBand="1" w:evenHBand="0" w:firstRowFirstColumn="0" w:firstRowLastColumn="0" w:lastRowFirstColumn="0" w:lastRowLastColumn="0"/>
          <w:trHeight w:val="631" w:hRule="exact"/>
        </w:trPr>
        <w:tc>
          <w:tcPr>
            <w:tcW w:w="6565" w:type="dxa"/>
            <w:shd w:val="clear" w:color="auto" w:fill="FFFFFF" w:themeFill="background1"/>
            <w:hideMark/>
          </w:tcPr>
          <w:p w:rsidRPr="00F40202" w:rsidR="00E06D1F" w:rsidP="00E06D1F" w:rsidRDefault="00E06D1F" w14:paraId="6DB85F85" w14:textId="0EDA36EB">
            <w:pPr>
              <w:spacing w:after="240" w:line="276" w:lineRule="auto"/>
              <w:rPr>
                <w:lang w:val="en-US"/>
              </w:rPr>
            </w:pPr>
            <w:r w:rsidRPr="00F40202">
              <w:rPr>
                <w:lang w:val="en-US"/>
              </w:rPr>
              <w:t xml:space="preserve">Complete an access gap analysis and capital improvement program for </w:t>
            </w:r>
            <w:r w:rsidR="00E359E2">
              <w:rPr>
                <w:lang w:val="en-US"/>
              </w:rPr>
              <w:t>s</w:t>
            </w:r>
            <w:r w:rsidRPr="00F40202" w:rsidR="00E359E2">
              <w:rPr>
                <w:lang w:val="en-US"/>
              </w:rPr>
              <w:t xml:space="preserve">tation </w:t>
            </w:r>
            <w:r w:rsidRPr="00F40202">
              <w:rPr>
                <w:lang w:val="en-US"/>
              </w:rPr>
              <w:t>access</w:t>
            </w:r>
            <w:r w:rsidRPr="00F40202">
              <w:rPr>
                <w:lang w:val="en-US"/>
              </w:rPr>
              <w:tab/>
            </w:r>
          </w:p>
        </w:tc>
        <w:tc>
          <w:tcPr>
            <w:tcW w:w="2785" w:type="dxa"/>
            <w:shd w:val="clear" w:color="auto" w:fill="FFFFFF" w:themeFill="background1"/>
          </w:tcPr>
          <w:p w:rsidRPr="00F40202" w:rsidR="00E06D1F" w:rsidP="00E06D1F" w:rsidRDefault="00E06D1F" w14:paraId="55356D66" w14:textId="087DC697">
            <w:pPr>
              <w:spacing w:after="240" w:line="276" w:lineRule="auto"/>
              <w:rPr>
                <w:lang w:val="en-US"/>
              </w:rPr>
            </w:pPr>
          </w:p>
        </w:tc>
      </w:tr>
      <w:tr w:rsidRPr="00F40202" w:rsidR="00F40202" w:rsidTr="000820E0" w14:paraId="3039F9BA" w14:textId="77777777">
        <w:trPr>
          <w:trHeight w:val="631" w:hRule="exact"/>
        </w:trPr>
        <w:tc>
          <w:tcPr>
            <w:tcW w:w="6565" w:type="dxa"/>
            <w:shd w:val="clear" w:color="auto" w:fill="FFFFFF" w:themeFill="background1"/>
            <w:hideMark/>
          </w:tcPr>
          <w:p w:rsidRPr="00F40202" w:rsidR="00F40202" w:rsidP="00D70A23" w:rsidRDefault="00F40202" w14:paraId="4BB41F50" w14:textId="30F94EFD">
            <w:pPr>
              <w:spacing w:after="240" w:line="276" w:lineRule="auto"/>
              <w:rPr>
                <w:lang w:val="en-US"/>
              </w:rPr>
            </w:pPr>
            <w:r w:rsidRPr="00F40202">
              <w:rPr>
                <w:lang w:val="en-US"/>
              </w:rPr>
              <w:t xml:space="preserve">Identify Mobility Hub planning and implementation opportunities in </w:t>
            </w:r>
            <w:r w:rsidR="00E359E2">
              <w:rPr>
                <w:lang w:val="en-US"/>
              </w:rPr>
              <w:t xml:space="preserve">TOC </w:t>
            </w:r>
            <w:r w:rsidRPr="00F40202">
              <w:rPr>
                <w:lang w:val="en-US"/>
              </w:rPr>
              <w:t xml:space="preserve">area(s) </w:t>
            </w:r>
            <w:r w:rsidRPr="00F40202">
              <w:rPr>
                <w:lang w:val="en-US"/>
              </w:rPr>
              <w:tab/>
            </w:r>
          </w:p>
        </w:tc>
        <w:tc>
          <w:tcPr>
            <w:tcW w:w="2785" w:type="dxa"/>
            <w:shd w:val="clear" w:color="auto" w:fill="FFFFFF" w:themeFill="background1"/>
          </w:tcPr>
          <w:p w:rsidRPr="00F40202" w:rsidR="00F40202" w:rsidP="00D70A23" w:rsidRDefault="00F40202" w14:paraId="58222032" w14:textId="60424495">
            <w:pPr>
              <w:spacing w:after="240" w:line="276" w:lineRule="auto"/>
              <w:rPr>
                <w:lang w:val="en-US"/>
              </w:rPr>
            </w:pPr>
          </w:p>
        </w:tc>
      </w:tr>
    </w:tbl>
    <w:p w:rsidR="00272612" w:rsidP="3C5F5BBA" w:rsidRDefault="00272612" w14:paraId="01DC6719" w14:noSpellErr="1" w14:textId="7CFBA17D">
      <w:pPr>
        <w:pStyle w:val="Normal"/>
        <w:keepNext w:val="0"/>
        <w:keepLines w:val="0"/>
        <w:spacing w:before="280"/>
      </w:pPr>
      <w:bookmarkStart w:name="_1k7bpld3ocsi" w:id="110"/>
      <w:bookmarkEnd w:id="110"/>
    </w:p>
    <w:p w:rsidR="009A50C3" w:rsidP="001C35E2" w:rsidRDefault="006F550E" w14:paraId="0000002C" w14:textId="77777777">
      <w:pPr>
        <w:pStyle w:val="Heading1"/>
      </w:pPr>
      <w:bookmarkStart w:name="_tfxvw0uo0j6i" w:colFirst="0" w:colLast="0" w:id="124"/>
      <w:bookmarkEnd w:id="124"/>
      <w:r>
        <w:t>ATTACHMENTS</w:t>
      </w:r>
    </w:p>
    <w:p w:rsidR="009A50C3" w:rsidP="3C5F5BBA" w:rsidRDefault="006F550E" w14:paraId="0000002F" w14:textId="32B389EA">
      <w:pPr>
        <w:pStyle w:val="Normal"/>
        <w:rPr>
          <w:rStyle w:val="Hyperlink"/>
        </w:rPr>
      </w:pPr>
      <w:r w:rsidR="3C5F5BBA">
        <w:rPr/>
        <w:t>(TOC Compliance Work Program)</w:t>
      </w:r>
    </w:p>
    <w:p w:rsidR="009A50C3" w:rsidRDefault="006F550E" w14:paraId="00000030" w14:textId="77777777">
      <w:r>
        <w:t>[Relevant Zoning or Housing Policy Documents]</w:t>
      </w:r>
    </w:p>
    <w:p w:rsidR="009A50C3" w:rsidRDefault="009A50C3" w14:paraId="00000032" w14:textId="77777777"/>
    <w:p w:rsidRPr="004C3D0C" w:rsidR="009A50C3" w:rsidP="00E72C12" w:rsidRDefault="006F550E" w14:paraId="00000033" w14:textId="77777777">
      <w:pPr>
        <w:pStyle w:val="Heading1"/>
      </w:pPr>
      <w:r w:rsidRPr="004C3D0C">
        <w:t>RESOURCES</w:t>
      </w:r>
    </w:p>
    <w:p w:rsidR="009A50C3" w:rsidP="00546861" w:rsidRDefault="00B0347B" w14:paraId="00000034" w14:textId="05051341">
      <w:pPr>
        <w:pStyle w:val="ListParagraph"/>
        <w:numPr>
          <w:ilvl w:val="0"/>
          <w:numId w:val="8"/>
        </w:numPr>
      </w:pPr>
      <w:hyperlink w:history="1" r:id="rId7">
        <w:r w:rsidRPr="00B0347B">
          <w:rPr>
            <w:rStyle w:val="Hyperlink"/>
          </w:rPr>
          <w:t>TOC Policy Website</w:t>
        </w:r>
      </w:hyperlink>
    </w:p>
    <w:p w:rsidR="00C438E2" w:rsidP="3C5F5BBA" w:rsidRDefault="001B1945" w14:paraId="15E829CF" w14:noSpellErr="1" w14:textId="4240D6E6">
      <w:pPr>
        <w:pStyle w:val="Normal"/>
        <w:numPr>
          <w:ilvl w:val="0"/>
          <w:numId w:val="8"/>
        </w:numPr>
        <w:rPr>
          <w:sz w:val="22"/>
          <w:szCs w:val="22"/>
        </w:rPr>
      </w:pPr>
      <w:hyperlink r:id="Rc8c2d1ab1e3947ec">
        <w:r w:rsidRPr="3C5F5BBA" w:rsidR="3C5F5BBA">
          <w:rPr>
            <w:rStyle w:val="Hyperlink"/>
          </w:rPr>
          <w:t>List of Station Areas &amp; Jurisdictions Subject to TOC Policy</w:t>
        </w:r>
      </w:hyperlink>
    </w:p>
    <w:p w:rsidR="001240D9" w:rsidP="00546861" w:rsidRDefault="001240D9" w14:paraId="361A844C" w14:textId="36E59BFA">
      <w:pPr>
        <w:pStyle w:val="ListParagraph"/>
        <w:numPr>
          <w:ilvl w:val="0"/>
          <w:numId w:val="8"/>
        </w:numPr>
      </w:pPr>
      <w:hyperlink w:history="1" r:id="rId9">
        <w:r w:rsidRPr="001240D9">
          <w:rPr>
            <w:rStyle w:val="Hyperlink"/>
          </w:rPr>
          <w:t>Map of TOC Areas</w:t>
        </w:r>
      </w:hyperlink>
    </w:p>
    <w:p w:rsidR="00B0347B" w:rsidRDefault="00B0347B" w14:paraId="02AE5320" w14:textId="77777777"/>
    <w:p w:rsidR="009A50C3" w:rsidRDefault="009A50C3" w14:paraId="00000037" w14:textId="77777777"/>
    <w:p w:rsidR="009A50C3" w:rsidP="001C35E2" w:rsidRDefault="006F550E" w14:paraId="00000038" w14:textId="77777777">
      <w:pPr>
        <w:pStyle w:val="Heading1"/>
      </w:pPr>
      <w:bookmarkStart w:name="_udp0b4zdfe6t" w:colFirst="0" w:colLast="0" w:id="131"/>
      <w:bookmarkEnd w:id="131"/>
      <w:r>
        <w:t>REPORT PREPARED BY</w:t>
      </w:r>
    </w:p>
    <w:p w:rsidR="009A50C3" w:rsidRDefault="006F550E" w14:paraId="00000039" w14:textId="77777777">
      <w:r>
        <w:t>[Your Name], [Your Title]</w:t>
      </w:r>
    </w:p>
    <w:p w:rsidR="007F01B0" w:rsidRDefault="007F01B0" w14:paraId="64452E01" w14:textId="77777777"/>
    <w:p w:rsidR="009A50C3" w:rsidP="001C35E2" w:rsidRDefault="006F550E" w14:paraId="0000003B" w14:textId="77777777">
      <w:pPr>
        <w:pStyle w:val="Heading1"/>
      </w:pPr>
      <w:bookmarkStart w:name="_ffm831g8vdsw" w:colFirst="0" w:colLast="0" w:id="132"/>
      <w:bookmarkEnd w:id="132"/>
      <w:r>
        <w:t>APPROVED BY</w:t>
      </w:r>
    </w:p>
    <w:p w:rsidR="009A50C3" w:rsidRDefault="006F550E" w14:paraId="0000003C" w14:textId="77777777">
      <w:r>
        <w:t>[Supervising Official]</w:t>
      </w:r>
    </w:p>
    <w:sectPr w:rsidR="009A50C3">
      <w:headerReference w:type="default" r:id="rId10"/>
      <w:footerReference w:type="default" r:id="rId11"/>
      <w:headerReference w:type="first" r:id="rId12"/>
      <w:pgSz w:w="12240" w:h="15840" w:orient="portrait"/>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8F4" w:rsidRDefault="00D078F4" w14:paraId="14C03172" w14:textId="77777777">
      <w:pPr>
        <w:spacing w:line="240" w:lineRule="auto"/>
      </w:pPr>
      <w:r>
        <w:separator/>
      </w:r>
    </w:p>
  </w:endnote>
  <w:endnote w:type="continuationSeparator" w:id="0">
    <w:p w:rsidR="00D078F4" w:rsidRDefault="00D078F4" w14:paraId="20EEE48B" w14:textId="77777777">
      <w:pPr>
        <w:spacing w:line="240" w:lineRule="auto"/>
      </w:pPr>
      <w:r>
        <w:continuationSeparator/>
      </w:r>
    </w:p>
  </w:endnote>
  <w:endnote w:type="continuationNotice" w:id="1">
    <w:p w:rsidR="00D078F4" w:rsidRDefault="00D078F4" w14:paraId="47C7C03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303611"/>
      <w:docPartObj>
        <w:docPartGallery w:val="Page Numbers (Bottom of Page)"/>
        <w:docPartUnique/>
      </w:docPartObj>
    </w:sdtPr>
    <w:sdtEndPr>
      <w:rPr>
        <w:noProof/>
      </w:rPr>
    </w:sdtEndPr>
    <w:sdtContent>
      <w:p w:rsidR="00D70A23" w:rsidRDefault="00D70A23" w14:paraId="6323AA1B" w14:textId="3D865F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A50C3" w:rsidRDefault="00D70A23" w14:paraId="0000003D" w14:textId="6BE0EDC3">
    <w:r>
      <w:t>INSERT CITY FOOTER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8F4" w:rsidRDefault="00D078F4" w14:paraId="0CB09EC7" w14:textId="77777777">
      <w:pPr>
        <w:spacing w:line="240" w:lineRule="auto"/>
      </w:pPr>
      <w:r>
        <w:separator/>
      </w:r>
    </w:p>
  </w:footnote>
  <w:footnote w:type="continuationSeparator" w:id="0">
    <w:p w:rsidR="00D078F4" w:rsidRDefault="00D078F4" w14:paraId="096FD66E" w14:textId="77777777">
      <w:pPr>
        <w:spacing w:line="240" w:lineRule="auto"/>
      </w:pPr>
      <w:r>
        <w:continuationSeparator/>
      </w:r>
    </w:p>
  </w:footnote>
  <w:footnote w:type="continuationNotice" w:id="1">
    <w:p w:rsidR="00D078F4" w:rsidRDefault="00D078F4" w14:paraId="6AFAD05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0C3" w:rsidRDefault="009A50C3" w14:paraId="0000003E" w14:textId="7777777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0C3" w:rsidRDefault="006F550E" w14:paraId="0000003F" w14:textId="77777777">
    <w:pPr>
      <w:jc w:val="right"/>
    </w:pPr>
    <w:r>
      <w:t>STAFF REPORT</w:t>
    </w:r>
  </w:p>
  <w:p w:rsidR="009A50C3" w:rsidRDefault="006F550E" w14:paraId="00000040" w14:textId="77777777">
    <w:pPr>
      <w:jc w:val="right"/>
    </w:pPr>
    <w:r>
      <w:t>To the Honorable Mayor and City Council</w:t>
    </w:r>
  </w:p>
  <w:p w:rsidRPr="002623D6" w:rsidR="009A50C3" w:rsidRDefault="006F550E" w14:paraId="00000041" w14:textId="77777777">
    <w:pPr>
      <w:jc w:val="right"/>
      <w:rPr>
        <w:i/>
        <w:iCs/>
      </w:rPr>
    </w:pPr>
    <w:r w:rsidRPr="002623D6">
      <w:rPr>
        <w:i/>
        <w:iCs/>
      </w:rPr>
      <w:t>From Jurisdiction Staff/the City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5864bbba"/>
    <w:multiLevelType xmlns:w="http://schemas.openxmlformats.org/wordprocessingml/2006/main" w:val="hybridMultilevel"/>
    <w:lvl xmlns:w="http://schemas.openxmlformats.org/wordprocessingml/2006/main" w:ilvl="0">
      <w:start w:val="1"/>
      <w:numFmt w:val="decimal"/>
      <w:lvlText w:val="%1."/>
      <w:lvlJc w:val="left"/>
      <w:pPr>
        <w:ind w:left="450" w:hanging="360"/>
      </w:pPr>
    </w:lvl>
    <w:lvl xmlns:w="http://schemas.openxmlformats.org/wordprocessingml/2006/main" w:ilvl="1">
      <w:start w:val="1"/>
      <w:numFmt w:val="lowerLetter"/>
      <w:lvlText w:val="%2."/>
      <w:lvlJc w:val="left"/>
      <w:pPr>
        <w:ind w:left="1170" w:hanging="360"/>
      </w:pPr>
    </w:lvl>
    <w:lvl xmlns:w="http://schemas.openxmlformats.org/wordprocessingml/2006/main" w:ilvl="2">
      <w:start w:val="1"/>
      <w:numFmt w:val="lowerRoman"/>
      <w:lvlText w:val="%3."/>
      <w:lvlJc w:val="right"/>
      <w:pPr>
        <w:ind w:left="1890" w:hanging="180"/>
      </w:pPr>
    </w:lvl>
    <w:lvl xmlns:w="http://schemas.openxmlformats.org/wordprocessingml/2006/main" w:ilvl="3">
      <w:start w:val="1"/>
      <w:numFmt w:val="decimal"/>
      <w:lvlText w:val="%4."/>
      <w:lvlJc w:val="left"/>
      <w:pPr>
        <w:ind w:left="2610" w:hanging="360"/>
      </w:pPr>
    </w:lvl>
    <w:lvl xmlns:w="http://schemas.openxmlformats.org/wordprocessingml/2006/main" w:ilvl="4">
      <w:start w:val="1"/>
      <w:numFmt w:val="lowerLetter"/>
      <w:lvlText w:val="%5."/>
      <w:lvlJc w:val="left"/>
      <w:pPr>
        <w:ind w:left="3330" w:hanging="360"/>
      </w:pPr>
    </w:lvl>
    <w:lvl xmlns:w="http://schemas.openxmlformats.org/wordprocessingml/2006/main" w:ilvl="5">
      <w:start w:val="1"/>
      <w:numFmt w:val="lowerRoman"/>
      <w:lvlText w:val="%6."/>
      <w:lvlJc w:val="right"/>
      <w:pPr>
        <w:ind w:left="4050" w:hanging="180"/>
      </w:pPr>
    </w:lvl>
    <w:lvl xmlns:w="http://schemas.openxmlformats.org/wordprocessingml/2006/main" w:ilvl="6">
      <w:start w:val="1"/>
      <w:numFmt w:val="decimal"/>
      <w:lvlText w:val="%7."/>
      <w:lvlJc w:val="left"/>
      <w:pPr>
        <w:ind w:left="4770" w:hanging="360"/>
      </w:pPr>
    </w:lvl>
    <w:lvl xmlns:w="http://schemas.openxmlformats.org/wordprocessingml/2006/main" w:ilvl="7">
      <w:start w:val="1"/>
      <w:numFmt w:val="lowerLetter"/>
      <w:lvlText w:val="%8."/>
      <w:lvlJc w:val="left"/>
      <w:pPr>
        <w:ind w:left="5490" w:hanging="360"/>
      </w:pPr>
    </w:lvl>
    <w:lvl xmlns:w="http://schemas.openxmlformats.org/wordprocessingml/2006/main" w:ilvl="8">
      <w:start w:val="1"/>
      <w:numFmt w:val="lowerRoman"/>
      <w:lvlText w:val="%9."/>
      <w:lvlJc w:val="right"/>
      <w:pPr>
        <w:ind w:left="6210" w:hanging="180"/>
      </w:pPr>
    </w:lvl>
  </w:abstractNum>
  <w:abstractNum xmlns:w="http://schemas.openxmlformats.org/wordprocessingml/2006/main" w:abstractNumId="13">
    <w:nsid w:val="2bc5ec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23979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94546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9695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c0b72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2966c37"/>
    <w:multiLevelType xmlns:w="http://schemas.openxmlformats.org/wordprocessingml/2006/main" w:val="multilevel"/>
    <w:lvl xmlns:w="http://schemas.openxmlformats.org/wordprocessingml/2006/main" w:ilvl="0">
      <w:start w:val="1"/>
      <w:numFmt w:val="decimal"/>
      <w:pStyle w:val="Heading2"/>
      <w:lvlText w:val="%4."/>
      <w:lvlJc w:val="left"/>
      <w:pPr>
        <w:ind w:left="2880" w:hanging="360"/>
      </w:pPr>
    </w:lvl>
    <w:lvl xmlns:w="http://schemas.openxmlformats.org/wordprocessingml/2006/main" w:ilvl="1">
      <w:start w:val="1"/>
      <w:numFmt w:val="lowerLetter"/>
      <w:lvlText w:val="%2."/>
      <w:lvlJc w:val="left"/>
      <w:pPr>
        <w:ind w:left="1170" w:hanging="360"/>
      </w:pPr>
    </w:lvl>
    <w:lvl xmlns:w="http://schemas.openxmlformats.org/wordprocessingml/2006/main" w:ilvl="2">
      <w:start w:val="1"/>
      <w:numFmt w:val="lowerRoman"/>
      <w:lvlText w:val="%3."/>
      <w:lvlJc w:val="right"/>
      <w:pPr>
        <w:ind w:left="1890" w:hanging="180"/>
      </w:pPr>
    </w:lvl>
    <w:lvl xmlns:w="http://schemas.openxmlformats.org/wordprocessingml/2006/main" w:ilvl="3">
      <w:start w:val="1"/>
      <w:numFmt w:val="decimal"/>
      <w:lvlText w:val="%4."/>
      <w:lvlJc w:val="left"/>
      <w:pPr>
        <w:ind w:left="2610" w:hanging="360"/>
      </w:pPr>
    </w:lvl>
    <w:lvl xmlns:w="http://schemas.openxmlformats.org/wordprocessingml/2006/main" w:ilvl="4">
      <w:start w:val="1"/>
      <w:numFmt w:val="lowerLetter"/>
      <w:lvlText w:val="%5."/>
      <w:lvlJc w:val="left"/>
      <w:pPr>
        <w:ind w:left="3330" w:hanging="360"/>
      </w:pPr>
    </w:lvl>
    <w:lvl xmlns:w="http://schemas.openxmlformats.org/wordprocessingml/2006/main" w:ilvl="5">
      <w:start w:val="1"/>
      <w:numFmt w:val="lowerRoman"/>
      <w:lvlText w:val="%6."/>
      <w:lvlJc w:val="right"/>
      <w:pPr>
        <w:ind w:left="4050" w:hanging="180"/>
      </w:pPr>
    </w:lvl>
    <w:lvl xmlns:w="http://schemas.openxmlformats.org/wordprocessingml/2006/main" w:ilvl="6">
      <w:start w:val="1"/>
      <w:numFmt w:val="decimal"/>
      <w:lvlText w:val="%7."/>
      <w:lvlJc w:val="left"/>
      <w:pPr>
        <w:ind w:left="4770" w:hanging="360"/>
      </w:pPr>
    </w:lvl>
    <w:lvl xmlns:w="http://schemas.openxmlformats.org/wordprocessingml/2006/main" w:ilvl="7">
      <w:start w:val="1"/>
      <w:numFmt w:val="lowerLetter"/>
      <w:lvlText w:val="%8."/>
      <w:lvlJc w:val="left"/>
      <w:pPr>
        <w:ind w:left="5490" w:hanging="360"/>
      </w:pPr>
    </w:lvl>
    <w:lvl xmlns:w="http://schemas.openxmlformats.org/wordprocessingml/2006/main" w:ilvl="8">
      <w:start w:val="1"/>
      <w:numFmt w:val="lowerRoman"/>
      <w:lvlText w:val="%9."/>
      <w:lvlJc w:val="right"/>
      <w:pPr>
        <w:ind w:left="6210" w:hanging="180"/>
      </w:pPr>
    </w:lvl>
  </w:abstractNum>
  <w:abstractNum w:abstractNumId="0" w15:restartNumberingAfterBreak="0">
    <w:nsid w:val="0EB977DD"/>
    <w:multiLevelType w:val="multilevel"/>
    <w:tmpl w:val="69B24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2D27D9"/>
    <w:multiLevelType w:val="hybridMultilevel"/>
    <w:tmpl w:val="6E1CBE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8286498"/>
    <w:multiLevelType w:val="multilevel"/>
    <w:tmpl w:val="AF84D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955AC3"/>
    <w:multiLevelType w:val="multilevel"/>
    <w:tmpl w:val="27CE6A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CB90354"/>
    <w:multiLevelType w:val="multilevel"/>
    <w:tmpl w:val="9A54F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173F5F"/>
    <w:multiLevelType w:val="hybridMultilevel"/>
    <w:tmpl w:val="D25457C6"/>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71E4382"/>
    <w:multiLevelType w:val="multilevel"/>
    <w:tmpl w:val="ED8A8E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pStyle w:val="Heading2"/>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7DF03755"/>
    <w:multiLevelType w:val="multilevel"/>
    <w:tmpl w:val="06429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16cid:durableId="1503861304">
    <w:abstractNumId w:val="6"/>
  </w:num>
  <w:num w:numId="2" w16cid:durableId="1831945243">
    <w:abstractNumId w:val="0"/>
  </w:num>
  <w:num w:numId="3" w16cid:durableId="1904098221">
    <w:abstractNumId w:val="4"/>
  </w:num>
  <w:num w:numId="4" w16cid:durableId="756366997">
    <w:abstractNumId w:val="2"/>
  </w:num>
  <w:num w:numId="5" w16cid:durableId="1731415961">
    <w:abstractNumId w:val="7"/>
  </w:num>
  <w:num w:numId="6" w16cid:durableId="2012099948">
    <w:abstractNumId w:val="3"/>
  </w:num>
  <w:num w:numId="7" w16cid:durableId="1953711015">
    <w:abstractNumId w:val="1"/>
  </w:num>
  <w:num w:numId="8" w16cid:durableId="1070620439">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C3"/>
    <w:rsid w:val="0000326D"/>
    <w:rsid w:val="00012603"/>
    <w:rsid w:val="00012CC1"/>
    <w:rsid w:val="00014F08"/>
    <w:rsid w:val="0001615A"/>
    <w:rsid w:val="00027B27"/>
    <w:rsid w:val="00040452"/>
    <w:rsid w:val="00040C5D"/>
    <w:rsid w:val="00057856"/>
    <w:rsid w:val="000677A8"/>
    <w:rsid w:val="000820E0"/>
    <w:rsid w:val="00084A9B"/>
    <w:rsid w:val="00092715"/>
    <w:rsid w:val="0009586E"/>
    <w:rsid w:val="000C33E0"/>
    <w:rsid w:val="000D4D83"/>
    <w:rsid w:val="000E0EB8"/>
    <w:rsid w:val="000E434C"/>
    <w:rsid w:val="000E4A4F"/>
    <w:rsid w:val="000F42D6"/>
    <w:rsid w:val="0011472A"/>
    <w:rsid w:val="001240D9"/>
    <w:rsid w:val="00125BEA"/>
    <w:rsid w:val="00127E33"/>
    <w:rsid w:val="00136036"/>
    <w:rsid w:val="001362E5"/>
    <w:rsid w:val="00143F1D"/>
    <w:rsid w:val="00146A2A"/>
    <w:rsid w:val="00161807"/>
    <w:rsid w:val="00163B3F"/>
    <w:rsid w:val="001A4B48"/>
    <w:rsid w:val="001B1945"/>
    <w:rsid w:val="001C35E2"/>
    <w:rsid w:val="001E009F"/>
    <w:rsid w:val="001E022D"/>
    <w:rsid w:val="001F7C67"/>
    <w:rsid w:val="00201BB9"/>
    <w:rsid w:val="002224EC"/>
    <w:rsid w:val="00225D57"/>
    <w:rsid w:val="00236243"/>
    <w:rsid w:val="00246FD3"/>
    <w:rsid w:val="00255D75"/>
    <w:rsid w:val="002623D6"/>
    <w:rsid w:val="00265ED6"/>
    <w:rsid w:val="002707C3"/>
    <w:rsid w:val="00272612"/>
    <w:rsid w:val="00283428"/>
    <w:rsid w:val="00285F64"/>
    <w:rsid w:val="00291DC8"/>
    <w:rsid w:val="002A0C6E"/>
    <w:rsid w:val="002A5966"/>
    <w:rsid w:val="002B4251"/>
    <w:rsid w:val="002B6E13"/>
    <w:rsid w:val="002C0A82"/>
    <w:rsid w:val="002C2925"/>
    <w:rsid w:val="002C3AD5"/>
    <w:rsid w:val="002C6F3A"/>
    <w:rsid w:val="002D0E62"/>
    <w:rsid w:val="002D1B00"/>
    <w:rsid w:val="002D63A1"/>
    <w:rsid w:val="002E6552"/>
    <w:rsid w:val="003235DA"/>
    <w:rsid w:val="00336059"/>
    <w:rsid w:val="00345699"/>
    <w:rsid w:val="003535D5"/>
    <w:rsid w:val="003561DB"/>
    <w:rsid w:val="00375CFA"/>
    <w:rsid w:val="00394C21"/>
    <w:rsid w:val="003A439B"/>
    <w:rsid w:val="003C39FF"/>
    <w:rsid w:val="003D17E9"/>
    <w:rsid w:val="003E664C"/>
    <w:rsid w:val="003F1AE0"/>
    <w:rsid w:val="003F4C9F"/>
    <w:rsid w:val="00426058"/>
    <w:rsid w:val="004514CC"/>
    <w:rsid w:val="004915B4"/>
    <w:rsid w:val="00494EE1"/>
    <w:rsid w:val="004C3D0C"/>
    <w:rsid w:val="004C5CCE"/>
    <w:rsid w:val="004C7D9E"/>
    <w:rsid w:val="004D4EA5"/>
    <w:rsid w:val="004E682F"/>
    <w:rsid w:val="004F27F9"/>
    <w:rsid w:val="00521779"/>
    <w:rsid w:val="00541464"/>
    <w:rsid w:val="00541F8D"/>
    <w:rsid w:val="00546861"/>
    <w:rsid w:val="00552424"/>
    <w:rsid w:val="005713E5"/>
    <w:rsid w:val="00573D44"/>
    <w:rsid w:val="00590E3B"/>
    <w:rsid w:val="00596160"/>
    <w:rsid w:val="005A4932"/>
    <w:rsid w:val="005B467D"/>
    <w:rsid w:val="005C3693"/>
    <w:rsid w:val="005C4AD6"/>
    <w:rsid w:val="005D0161"/>
    <w:rsid w:val="005D3161"/>
    <w:rsid w:val="005E45F6"/>
    <w:rsid w:val="0063145C"/>
    <w:rsid w:val="006441EE"/>
    <w:rsid w:val="006618C2"/>
    <w:rsid w:val="00663088"/>
    <w:rsid w:val="00670C07"/>
    <w:rsid w:val="00681535"/>
    <w:rsid w:val="00694B9D"/>
    <w:rsid w:val="006C07A5"/>
    <w:rsid w:val="006C350E"/>
    <w:rsid w:val="006E4689"/>
    <w:rsid w:val="006F1B13"/>
    <w:rsid w:val="006F378E"/>
    <w:rsid w:val="006F550E"/>
    <w:rsid w:val="00702BBE"/>
    <w:rsid w:val="00726E95"/>
    <w:rsid w:val="00744B4E"/>
    <w:rsid w:val="00750407"/>
    <w:rsid w:val="00755EA4"/>
    <w:rsid w:val="007568D8"/>
    <w:rsid w:val="00765CA0"/>
    <w:rsid w:val="00786D87"/>
    <w:rsid w:val="00794221"/>
    <w:rsid w:val="007B3490"/>
    <w:rsid w:val="007B44A3"/>
    <w:rsid w:val="007D0BFD"/>
    <w:rsid w:val="007F01B0"/>
    <w:rsid w:val="007F3608"/>
    <w:rsid w:val="007F7C63"/>
    <w:rsid w:val="00823888"/>
    <w:rsid w:val="00847F7A"/>
    <w:rsid w:val="0085078E"/>
    <w:rsid w:val="00871445"/>
    <w:rsid w:val="0088247D"/>
    <w:rsid w:val="00894056"/>
    <w:rsid w:val="008A3561"/>
    <w:rsid w:val="008B3220"/>
    <w:rsid w:val="008E03FA"/>
    <w:rsid w:val="008E07E9"/>
    <w:rsid w:val="009069A3"/>
    <w:rsid w:val="00921728"/>
    <w:rsid w:val="009407D9"/>
    <w:rsid w:val="00946FDA"/>
    <w:rsid w:val="00947DF4"/>
    <w:rsid w:val="0095346D"/>
    <w:rsid w:val="00954320"/>
    <w:rsid w:val="0095473C"/>
    <w:rsid w:val="00973A6E"/>
    <w:rsid w:val="0098521D"/>
    <w:rsid w:val="00986271"/>
    <w:rsid w:val="00987A61"/>
    <w:rsid w:val="00987E48"/>
    <w:rsid w:val="009A02AA"/>
    <w:rsid w:val="009A50C3"/>
    <w:rsid w:val="009A5C70"/>
    <w:rsid w:val="009B1EAD"/>
    <w:rsid w:val="009B3001"/>
    <w:rsid w:val="009C5CF6"/>
    <w:rsid w:val="009D3AA9"/>
    <w:rsid w:val="00A016C3"/>
    <w:rsid w:val="00A237E5"/>
    <w:rsid w:val="00A26E15"/>
    <w:rsid w:val="00A27D9D"/>
    <w:rsid w:val="00A47A1B"/>
    <w:rsid w:val="00A51BF0"/>
    <w:rsid w:val="00A543F5"/>
    <w:rsid w:val="00A772EE"/>
    <w:rsid w:val="00A8037F"/>
    <w:rsid w:val="00A916D0"/>
    <w:rsid w:val="00A95238"/>
    <w:rsid w:val="00AA768C"/>
    <w:rsid w:val="00AB0227"/>
    <w:rsid w:val="00AB3A2C"/>
    <w:rsid w:val="00AB7449"/>
    <w:rsid w:val="00AC1F04"/>
    <w:rsid w:val="00AC6775"/>
    <w:rsid w:val="00AD0A67"/>
    <w:rsid w:val="00AE5D6F"/>
    <w:rsid w:val="00AE6204"/>
    <w:rsid w:val="00AF4001"/>
    <w:rsid w:val="00B0347B"/>
    <w:rsid w:val="00B12F3B"/>
    <w:rsid w:val="00B173AF"/>
    <w:rsid w:val="00B26CC8"/>
    <w:rsid w:val="00B566FB"/>
    <w:rsid w:val="00B71B56"/>
    <w:rsid w:val="00B7610C"/>
    <w:rsid w:val="00BB755A"/>
    <w:rsid w:val="00BC2178"/>
    <w:rsid w:val="00BC3AD5"/>
    <w:rsid w:val="00BD3355"/>
    <w:rsid w:val="00BD6573"/>
    <w:rsid w:val="00BD7F4D"/>
    <w:rsid w:val="00BE14CE"/>
    <w:rsid w:val="00BF213A"/>
    <w:rsid w:val="00C12D7F"/>
    <w:rsid w:val="00C1663A"/>
    <w:rsid w:val="00C32D61"/>
    <w:rsid w:val="00C42FA6"/>
    <w:rsid w:val="00C43761"/>
    <w:rsid w:val="00C438E2"/>
    <w:rsid w:val="00C614F1"/>
    <w:rsid w:val="00C62F10"/>
    <w:rsid w:val="00C66191"/>
    <w:rsid w:val="00C9022F"/>
    <w:rsid w:val="00C94EC7"/>
    <w:rsid w:val="00CB039B"/>
    <w:rsid w:val="00CB5B51"/>
    <w:rsid w:val="00CC09EA"/>
    <w:rsid w:val="00CC19B7"/>
    <w:rsid w:val="00CE33F6"/>
    <w:rsid w:val="00CF2DE7"/>
    <w:rsid w:val="00D023D3"/>
    <w:rsid w:val="00D078F4"/>
    <w:rsid w:val="00D14E76"/>
    <w:rsid w:val="00D172C7"/>
    <w:rsid w:val="00D328E0"/>
    <w:rsid w:val="00D40079"/>
    <w:rsid w:val="00D4146E"/>
    <w:rsid w:val="00D63C94"/>
    <w:rsid w:val="00D70A23"/>
    <w:rsid w:val="00D8136E"/>
    <w:rsid w:val="00D96E9B"/>
    <w:rsid w:val="00DB00B7"/>
    <w:rsid w:val="00DB5D3D"/>
    <w:rsid w:val="00DC4C51"/>
    <w:rsid w:val="00DD22D9"/>
    <w:rsid w:val="00DD62A5"/>
    <w:rsid w:val="00DE6609"/>
    <w:rsid w:val="00E00794"/>
    <w:rsid w:val="00E06D1F"/>
    <w:rsid w:val="00E138D7"/>
    <w:rsid w:val="00E2476A"/>
    <w:rsid w:val="00E359E2"/>
    <w:rsid w:val="00E44569"/>
    <w:rsid w:val="00E46086"/>
    <w:rsid w:val="00E46930"/>
    <w:rsid w:val="00E622C3"/>
    <w:rsid w:val="00E6251A"/>
    <w:rsid w:val="00E70711"/>
    <w:rsid w:val="00E72C12"/>
    <w:rsid w:val="00E96BD0"/>
    <w:rsid w:val="00E97C3D"/>
    <w:rsid w:val="00EB2E2A"/>
    <w:rsid w:val="00EB4CF0"/>
    <w:rsid w:val="00EC368F"/>
    <w:rsid w:val="00EC4E7D"/>
    <w:rsid w:val="00EC7019"/>
    <w:rsid w:val="00ED0087"/>
    <w:rsid w:val="00ED332B"/>
    <w:rsid w:val="00EE3699"/>
    <w:rsid w:val="00EF38B7"/>
    <w:rsid w:val="00F0004C"/>
    <w:rsid w:val="00F120C9"/>
    <w:rsid w:val="00F2508E"/>
    <w:rsid w:val="00F349E6"/>
    <w:rsid w:val="00F40202"/>
    <w:rsid w:val="00F603AA"/>
    <w:rsid w:val="00F64F9F"/>
    <w:rsid w:val="00F70F6C"/>
    <w:rsid w:val="00F8056C"/>
    <w:rsid w:val="00F87B21"/>
    <w:rsid w:val="00FA2E71"/>
    <w:rsid w:val="00FB6A8A"/>
    <w:rsid w:val="00FC4275"/>
    <w:rsid w:val="00FD0B55"/>
    <w:rsid w:val="00FF3595"/>
    <w:rsid w:val="00FF436F"/>
    <w:rsid w:val="18F2B374"/>
    <w:rsid w:val="1985BEE0"/>
    <w:rsid w:val="25D9D233"/>
    <w:rsid w:val="297C3BAE"/>
    <w:rsid w:val="2CA0B8B6"/>
    <w:rsid w:val="3C5F5BBA"/>
    <w:rsid w:val="50308BB3"/>
    <w:rsid w:val="65A8FFED"/>
    <w:rsid w:val="6A9B8BBD"/>
    <w:rsid w:val="6E46E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E5B7A"/>
  <w15:docId w15:val="{B28BEEEC-7DC8-4898-A329-4DAB930D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01C35E2"/>
    <w:pPr>
      <w:keepNext/>
      <w:keepLines/>
      <w:spacing w:after="200"/>
      <w:outlineLvl w:val="0"/>
    </w:pPr>
    <w:rPr>
      <w:b/>
    </w:rPr>
  </w:style>
  <w:style w:type="paragraph" w:styleId="Heading2">
    <w:uiPriority w:val="9"/>
    <w:name w:val="heading 2"/>
    <w:basedOn w:val="Heading4"/>
    <w:next w:val="Normal"/>
    <w:unhideWhenUsed/>
    <w:qFormat/>
    <w:rsid w:val="6E46E05C"/>
    <w:rPr>
      <w:b w:val="1"/>
      <w:bCs w:val="1"/>
      <w:i w:val="0"/>
      <w:iCs w:val="0"/>
      <w:color w:val="000000" w:themeColor="text1" w:themeTint="FF" w:themeShade="FF"/>
    </w:rPr>
    <w:pPr>
      <w:keepNext w:val="0"/>
      <w:keepLines w:val="0"/>
      <w:numPr>
        <w:ilvl w:val="3"/>
        <w:numId w:val="1"/>
      </w:numPr>
      <w:ind w:left="450" w:hanging="360"/>
      <w:outlineLvl w:val="1"/>
    </w:pPr>
  </w:style>
  <w:style w:type="paragraph" w:styleId="Heading3">
    <w:uiPriority w:val="9"/>
    <w:name w:val="heading 3"/>
    <w:basedOn w:val="Normal"/>
    <w:next w:val="Normal"/>
    <w:unhideWhenUsed/>
    <w:qFormat/>
    <w:rsid w:val="6E46E05C"/>
    <w:rPr>
      <w:rFonts w:ascii="Arial" w:hAnsi="Arial" w:eastAsia="Arial" w:cs="Arial"/>
      <w:b w:val="1"/>
      <w:bCs w:val="1"/>
      <w:i w:val="0"/>
      <w:iCs w:val="0"/>
      <w:sz w:val="22"/>
      <w:szCs w:val="22"/>
    </w:rPr>
    <w:pPr>
      <w:outlineLvl w:val="2"/>
    </w:pPr>
  </w:style>
  <w:style w:type="paragraph" w:styleId="Heading4">
    <w:uiPriority w:val="9"/>
    <w:name w:val="heading 4"/>
    <w:basedOn w:val="Normal"/>
    <w:next w:val="Normal"/>
    <w:unhideWhenUsed/>
    <w:qFormat/>
    <w:rsid w:val="6E46E05C"/>
    <w:rPr>
      <w:rFonts w:ascii="Arial" w:hAnsi="Arial" w:eastAsia="Arial" w:cs="Arial"/>
      <w:b w:val="0"/>
      <w:bCs w:val="0"/>
      <w:i w:val="1"/>
      <w:iCs w:val="1"/>
      <w:sz w:val="22"/>
      <w:szCs w:val="22"/>
    </w:rPr>
    <w:pPr>
      <w:keepNext w:val="1"/>
      <w:keepLines w:val="1"/>
      <w:spacing w:before="240" w:after="40"/>
      <w:outlineLvl w:val="3"/>
    </w:p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C3D0C"/>
    <w:pPr>
      <w:tabs>
        <w:tab w:val="center" w:pos="4680"/>
        <w:tab w:val="right" w:pos="9360"/>
      </w:tabs>
      <w:spacing w:line="240" w:lineRule="auto"/>
    </w:pPr>
  </w:style>
  <w:style w:type="character" w:styleId="HeaderChar" w:customStyle="1">
    <w:name w:val="Header Char"/>
    <w:basedOn w:val="DefaultParagraphFont"/>
    <w:link w:val="Header"/>
    <w:uiPriority w:val="99"/>
    <w:rsid w:val="004C3D0C"/>
  </w:style>
  <w:style w:type="paragraph" w:styleId="Footer">
    <w:name w:val="footer"/>
    <w:basedOn w:val="Normal"/>
    <w:link w:val="FooterChar"/>
    <w:uiPriority w:val="99"/>
    <w:unhideWhenUsed/>
    <w:rsid w:val="004C3D0C"/>
    <w:pPr>
      <w:tabs>
        <w:tab w:val="center" w:pos="4680"/>
        <w:tab w:val="right" w:pos="9360"/>
      </w:tabs>
      <w:spacing w:line="240" w:lineRule="auto"/>
    </w:pPr>
  </w:style>
  <w:style w:type="character" w:styleId="FooterChar" w:customStyle="1">
    <w:name w:val="Footer Char"/>
    <w:basedOn w:val="DefaultParagraphFont"/>
    <w:link w:val="Footer"/>
    <w:uiPriority w:val="99"/>
    <w:rsid w:val="004C3D0C"/>
  </w:style>
  <w:style w:type="paragraph" w:styleId="NormalWeb">
    <w:name w:val="Normal (Web)"/>
    <w:basedOn w:val="Normal"/>
    <w:uiPriority w:val="99"/>
    <w:semiHidden/>
    <w:unhideWhenUsed/>
    <w:rsid w:val="00A772EE"/>
    <w:pPr>
      <w:spacing w:before="100" w:beforeAutospacing="1" w:after="100" w:afterAutospacing="1" w:line="240" w:lineRule="auto"/>
    </w:pPr>
    <w:rPr>
      <w:rFonts w:ascii="Times New Roman" w:hAnsi="Times New Roman" w:eastAsia="Times New Roman" w:cs="Times New Roman"/>
      <w:sz w:val="24"/>
      <w:szCs w:val="24"/>
      <w:lang w:val="en-US"/>
    </w:rPr>
  </w:style>
  <w:style w:type="table" w:styleId="GridTable4-Accent5">
    <w:name w:val="Grid Table 4 Accent 5"/>
    <w:basedOn w:val="TableNormal"/>
    <w:uiPriority w:val="49"/>
    <w:rsid w:val="00A772EE"/>
    <w:pPr>
      <w:spacing w:line="240" w:lineRule="auto"/>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5">
    <w:name w:val="Grid Table 5 Dark Accent 5"/>
    <w:basedOn w:val="TableNormal"/>
    <w:uiPriority w:val="50"/>
    <w:rsid w:val="00F40202"/>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ListParagraph">
    <w:name w:val="List Paragraph"/>
    <w:basedOn w:val="Normal"/>
    <w:uiPriority w:val="34"/>
    <w:qFormat/>
    <w:rsid w:val="00246FD3"/>
    <w:pPr>
      <w:ind w:left="720"/>
      <w:contextualSpacing/>
    </w:pPr>
  </w:style>
  <w:style w:type="character" w:styleId="CommentReference">
    <w:name w:val="annotation reference"/>
    <w:basedOn w:val="DefaultParagraphFont"/>
    <w:uiPriority w:val="99"/>
    <w:semiHidden/>
    <w:unhideWhenUsed/>
    <w:rsid w:val="00D70A23"/>
    <w:rPr>
      <w:sz w:val="16"/>
      <w:szCs w:val="16"/>
    </w:rPr>
  </w:style>
  <w:style w:type="paragraph" w:styleId="CommentText">
    <w:name w:val="annotation text"/>
    <w:basedOn w:val="Normal"/>
    <w:link w:val="CommentTextChar"/>
    <w:uiPriority w:val="99"/>
    <w:unhideWhenUsed/>
    <w:rsid w:val="00D70A23"/>
    <w:pPr>
      <w:spacing w:line="240" w:lineRule="auto"/>
    </w:pPr>
    <w:rPr>
      <w:sz w:val="20"/>
      <w:szCs w:val="20"/>
    </w:rPr>
  </w:style>
  <w:style w:type="character" w:styleId="CommentTextChar" w:customStyle="1">
    <w:name w:val="Comment Text Char"/>
    <w:basedOn w:val="DefaultParagraphFont"/>
    <w:link w:val="CommentText"/>
    <w:uiPriority w:val="99"/>
    <w:rsid w:val="00D70A23"/>
    <w:rPr>
      <w:sz w:val="20"/>
      <w:szCs w:val="20"/>
    </w:rPr>
  </w:style>
  <w:style w:type="paragraph" w:styleId="CommentSubject">
    <w:name w:val="annotation subject"/>
    <w:basedOn w:val="CommentText"/>
    <w:next w:val="CommentText"/>
    <w:link w:val="CommentSubjectChar"/>
    <w:uiPriority w:val="99"/>
    <w:semiHidden/>
    <w:unhideWhenUsed/>
    <w:rsid w:val="00D70A23"/>
    <w:rPr>
      <w:b/>
      <w:bCs/>
    </w:rPr>
  </w:style>
  <w:style w:type="character" w:styleId="CommentSubjectChar" w:customStyle="1">
    <w:name w:val="Comment Subject Char"/>
    <w:basedOn w:val="CommentTextChar"/>
    <w:link w:val="CommentSubject"/>
    <w:uiPriority w:val="99"/>
    <w:semiHidden/>
    <w:rsid w:val="00D70A23"/>
    <w:rPr>
      <w:b/>
      <w:bCs/>
      <w:sz w:val="20"/>
      <w:szCs w:val="20"/>
    </w:rPr>
  </w:style>
  <w:style w:type="paragraph" w:styleId="Revision">
    <w:name w:val="Revision"/>
    <w:hidden/>
    <w:uiPriority w:val="99"/>
    <w:semiHidden/>
    <w:rsid w:val="001362E5"/>
    <w:pPr>
      <w:spacing w:line="240" w:lineRule="auto"/>
    </w:pPr>
  </w:style>
  <w:style w:type="character" w:styleId="normaltextrun" w:customStyle="1">
    <w:name w:val="normaltextrun"/>
    <w:basedOn w:val="DefaultParagraphFont"/>
    <w:rsid w:val="0085078E"/>
  </w:style>
  <w:style w:type="character" w:styleId="eop" w:customStyle="1">
    <w:name w:val="eop"/>
    <w:basedOn w:val="DefaultParagraphFont"/>
    <w:rsid w:val="0085078E"/>
  </w:style>
  <w:style w:type="character" w:styleId="Hyperlink">
    <w:name w:val="Hyperlink"/>
    <w:basedOn w:val="DefaultParagraphFont"/>
    <w:uiPriority w:val="99"/>
    <w:unhideWhenUsed/>
    <w:rsid w:val="001B1945"/>
    <w:rPr>
      <w:color w:val="0000FF" w:themeColor="hyperlink"/>
      <w:u w:val="single"/>
    </w:rPr>
  </w:style>
  <w:style w:type="character" w:styleId="UnresolvedMention">
    <w:name w:val="Unresolved Mention"/>
    <w:basedOn w:val="DefaultParagraphFont"/>
    <w:uiPriority w:val="99"/>
    <w:semiHidden/>
    <w:unhideWhenUsed/>
    <w:rsid w:val="001B1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886">
      <w:bodyDiv w:val="1"/>
      <w:marLeft w:val="0"/>
      <w:marRight w:val="0"/>
      <w:marTop w:val="0"/>
      <w:marBottom w:val="0"/>
      <w:divBdr>
        <w:top w:val="none" w:sz="0" w:space="0" w:color="auto"/>
        <w:left w:val="none" w:sz="0" w:space="0" w:color="auto"/>
        <w:bottom w:val="none" w:sz="0" w:space="0" w:color="auto"/>
        <w:right w:val="none" w:sz="0" w:space="0" w:color="auto"/>
      </w:divBdr>
    </w:div>
    <w:div w:id="478112321">
      <w:bodyDiv w:val="1"/>
      <w:marLeft w:val="0"/>
      <w:marRight w:val="0"/>
      <w:marTop w:val="0"/>
      <w:marBottom w:val="0"/>
      <w:divBdr>
        <w:top w:val="none" w:sz="0" w:space="0" w:color="auto"/>
        <w:left w:val="none" w:sz="0" w:space="0" w:color="auto"/>
        <w:bottom w:val="none" w:sz="0" w:space="0" w:color="auto"/>
        <w:right w:val="none" w:sz="0" w:space="0" w:color="auto"/>
      </w:divBdr>
    </w:div>
    <w:div w:id="479928955">
      <w:bodyDiv w:val="1"/>
      <w:marLeft w:val="0"/>
      <w:marRight w:val="0"/>
      <w:marTop w:val="0"/>
      <w:marBottom w:val="0"/>
      <w:divBdr>
        <w:top w:val="none" w:sz="0" w:space="0" w:color="auto"/>
        <w:left w:val="none" w:sz="0" w:space="0" w:color="auto"/>
        <w:bottom w:val="none" w:sz="0" w:space="0" w:color="auto"/>
        <w:right w:val="none" w:sz="0" w:space="0" w:color="auto"/>
      </w:divBdr>
    </w:div>
    <w:div w:id="724453479">
      <w:bodyDiv w:val="1"/>
      <w:marLeft w:val="0"/>
      <w:marRight w:val="0"/>
      <w:marTop w:val="0"/>
      <w:marBottom w:val="0"/>
      <w:divBdr>
        <w:top w:val="none" w:sz="0" w:space="0" w:color="auto"/>
        <w:left w:val="none" w:sz="0" w:space="0" w:color="auto"/>
        <w:bottom w:val="none" w:sz="0" w:space="0" w:color="auto"/>
        <w:right w:val="none" w:sz="0" w:space="0" w:color="auto"/>
      </w:divBdr>
    </w:div>
    <w:div w:id="955064905">
      <w:bodyDiv w:val="1"/>
      <w:marLeft w:val="0"/>
      <w:marRight w:val="0"/>
      <w:marTop w:val="0"/>
      <w:marBottom w:val="0"/>
      <w:divBdr>
        <w:top w:val="none" w:sz="0" w:space="0" w:color="auto"/>
        <w:left w:val="none" w:sz="0" w:space="0" w:color="auto"/>
        <w:bottom w:val="none" w:sz="0" w:space="0" w:color="auto"/>
        <w:right w:val="none" w:sz="0" w:space="0" w:color="auto"/>
      </w:divBdr>
    </w:div>
    <w:div w:id="1204438221">
      <w:bodyDiv w:val="1"/>
      <w:marLeft w:val="0"/>
      <w:marRight w:val="0"/>
      <w:marTop w:val="0"/>
      <w:marBottom w:val="0"/>
      <w:divBdr>
        <w:top w:val="none" w:sz="0" w:space="0" w:color="auto"/>
        <w:left w:val="none" w:sz="0" w:space="0" w:color="auto"/>
        <w:bottom w:val="none" w:sz="0" w:space="0" w:color="auto"/>
        <w:right w:val="none" w:sz="0" w:space="0" w:color="auto"/>
      </w:divBdr>
    </w:div>
    <w:div w:id="1296520891">
      <w:bodyDiv w:val="1"/>
      <w:marLeft w:val="0"/>
      <w:marRight w:val="0"/>
      <w:marTop w:val="0"/>
      <w:marBottom w:val="0"/>
      <w:divBdr>
        <w:top w:val="none" w:sz="0" w:space="0" w:color="auto"/>
        <w:left w:val="none" w:sz="0" w:space="0" w:color="auto"/>
        <w:bottom w:val="none" w:sz="0" w:space="0" w:color="auto"/>
        <w:right w:val="none" w:sz="0" w:space="0" w:color="auto"/>
      </w:divBdr>
    </w:div>
    <w:div w:id="1444611687">
      <w:bodyDiv w:val="1"/>
      <w:marLeft w:val="0"/>
      <w:marRight w:val="0"/>
      <w:marTop w:val="0"/>
      <w:marBottom w:val="0"/>
      <w:divBdr>
        <w:top w:val="none" w:sz="0" w:space="0" w:color="auto"/>
        <w:left w:val="none" w:sz="0" w:space="0" w:color="auto"/>
        <w:bottom w:val="none" w:sz="0" w:space="0" w:color="auto"/>
        <w:right w:val="none" w:sz="0" w:space="0" w:color="auto"/>
      </w:divBdr>
    </w:div>
    <w:div w:id="1524398711">
      <w:bodyDiv w:val="1"/>
      <w:marLeft w:val="0"/>
      <w:marRight w:val="0"/>
      <w:marTop w:val="0"/>
      <w:marBottom w:val="0"/>
      <w:divBdr>
        <w:top w:val="none" w:sz="0" w:space="0" w:color="auto"/>
        <w:left w:val="none" w:sz="0" w:space="0" w:color="auto"/>
        <w:bottom w:val="none" w:sz="0" w:space="0" w:color="auto"/>
        <w:right w:val="none" w:sz="0" w:space="0" w:color="auto"/>
      </w:divBdr>
      <w:divsChild>
        <w:div w:id="1258782439">
          <w:marLeft w:val="0"/>
          <w:marRight w:val="0"/>
          <w:marTop w:val="0"/>
          <w:marBottom w:val="0"/>
          <w:divBdr>
            <w:top w:val="none" w:sz="0" w:space="0" w:color="auto"/>
            <w:left w:val="none" w:sz="0" w:space="0" w:color="auto"/>
            <w:bottom w:val="none" w:sz="0" w:space="0" w:color="auto"/>
            <w:right w:val="none" w:sz="0" w:space="0" w:color="auto"/>
          </w:divBdr>
        </w:div>
        <w:div w:id="91706012">
          <w:marLeft w:val="0"/>
          <w:marRight w:val="0"/>
          <w:marTop w:val="0"/>
          <w:marBottom w:val="0"/>
          <w:divBdr>
            <w:top w:val="none" w:sz="0" w:space="0" w:color="auto"/>
            <w:left w:val="none" w:sz="0" w:space="0" w:color="auto"/>
            <w:bottom w:val="none" w:sz="0" w:space="0" w:color="auto"/>
            <w:right w:val="none" w:sz="0" w:space="0" w:color="auto"/>
          </w:divBdr>
        </w:div>
        <w:div w:id="1252472958">
          <w:marLeft w:val="0"/>
          <w:marRight w:val="0"/>
          <w:marTop w:val="0"/>
          <w:marBottom w:val="0"/>
          <w:divBdr>
            <w:top w:val="none" w:sz="0" w:space="0" w:color="auto"/>
            <w:left w:val="none" w:sz="0" w:space="0" w:color="auto"/>
            <w:bottom w:val="none" w:sz="0" w:space="0" w:color="auto"/>
            <w:right w:val="none" w:sz="0" w:space="0" w:color="auto"/>
          </w:divBdr>
        </w:div>
      </w:divsChild>
    </w:div>
    <w:div w:id="1656571552">
      <w:bodyDiv w:val="1"/>
      <w:marLeft w:val="0"/>
      <w:marRight w:val="0"/>
      <w:marTop w:val="0"/>
      <w:marBottom w:val="0"/>
      <w:divBdr>
        <w:top w:val="none" w:sz="0" w:space="0" w:color="auto"/>
        <w:left w:val="none" w:sz="0" w:space="0" w:color="auto"/>
        <w:bottom w:val="none" w:sz="0" w:space="0" w:color="auto"/>
        <w:right w:val="none" w:sz="0" w:space="0" w:color="auto"/>
      </w:divBdr>
    </w:div>
    <w:div w:id="1904675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mtc.ca.gov/planning/land-use/transit-oriented-communities-toc-policy" TargetMode="External" Id="rId7" /><Relationship Type="http://schemas.openxmlformats.org/officeDocument/2006/relationships/header" Target="head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experience.arcgis.com/experience/01311260043f4bd689907c9df577bfff" TargetMode="External" Id="rId9" /><Relationship Type="http://schemas.microsoft.com/office/2011/relationships/people" Target="people.xml" Id="rId14" /><Relationship Type="http://schemas.openxmlformats.org/officeDocument/2006/relationships/hyperlink" Target="https://mtc.ca.gov/digital-library/5033763-list-station-areas-jurisdictions-subject-mtcs-transit-oriented-communities-toc-policy" TargetMode="External" Id="Rc8c2d1ab1e3947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Staff Report Template about TOC Policy</dc:title>
  <dc:subject/>
  <dc:creator>MTC</dc:creator>
  <keywords/>
  <dc:description/>
  <lastModifiedBy>Sophie Gabel-Scheinbaum</lastModifiedBy>
  <revision>17</revision>
  <lastPrinted>2024-11-15T00:22:00.0000000Z</lastPrinted>
  <dcterms:created xsi:type="dcterms:W3CDTF">2025-02-01T07:19:00.0000000Z</dcterms:created>
  <dcterms:modified xsi:type="dcterms:W3CDTF">2025-03-04T17:57:06.1189682Z</dcterms:modified>
  <category/>
</coreProperties>
</file>