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B3346" w14:textId="1F3D09D9" w:rsidR="000B1D4D" w:rsidRPr="00372958" w:rsidRDefault="006C47E4" w:rsidP="00372958">
      <w:pPr>
        <w:pStyle w:val="Heading1"/>
      </w:pPr>
      <w:r w:rsidRPr="00372958">
        <w:t xml:space="preserve">A Checklist for Getting Rezoning Right </w:t>
      </w:r>
    </w:p>
    <w:p w14:paraId="7961A94D" w14:textId="249741A4" w:rsidR="00204943" w:rsidRPr="000D277A" w:rsidRDefault="00000000" w:rsidP="00204943">
      <w:r w:rsidRPr="000D277A">
        <w:t xml:space="preserve">This checklist offers a simplified tool for how to approach a rezoning project. For further details see </w:t>
      </w:r>
      <w:r w:rsidR="000D277A" w:rsidRPr="000D277A">
        <w:t xml:space="preserve">the full collection of </w:t>
      </w:r>
      <w:hyperlink r:id="rId8" w:history="1">
        <w:r w:rsidR="000D277A" w:rsidRPr="000D277A">
          <w:rPr>
            <w:rStyle w:val="Hyperlink"/>
          </w:rPr>
          <w:t>Getting Rezoning Right</w:t>
        </w:r>
      </w:hyperlink>
      <w:r w:rsidR="000D277A" w:rsidRPr="000D277A">
        <w:rPr>
          <w:color w:val="062F87" w:themeColor="accent1"/>
        </w:rPr>
        <w:t xml:space="preserve"> </w:t>
      </w:r>
      <w:r w:rsidR="000D277A" w:rsidRPr="000D277A">
        <w:t>materials.</w:t>
      </w:r>
    </w:p>
    <w:p w14:paraId="01475CB6" w14:textId="642F1E61" w:rsidR="000B1D4D" w:rsidRPr="000D277A" w:rsidRDefault="00000000" w:rsidP="000D277A">
      <w:pPr>
        <w:pStyle w:val="Heading2"/>
      </w:pPr>
      <w:r w:rsidRPr="000D277A">
        <w:t xml:space="preserve">1 Follow State Law </w:t>
      </w:r>
    </w:p>
    <w:p w14:paraId="29BC55DC" w14:textId="7F83D630" w:rsidR="000B1D4D" w:rsidRPr="006C47E4" w:rsidRDefault="00000000" w:rsidP="006C47E4">
      <w:pPr>
        <w:pStyle w:val="ListParagraph"/>
      </w:pPr>
      <w:r w:rsidRPr="006C47E4">
        <w:t xml:space="preserve">Identify applicable State laws (e.g., SB 330 (2019), Housing Element Law) </w:t>
      </w:r>
    </w:p>
    <w:p w14:paraId="3936A50D" w14:textId="09C879D1" w:rsidR="000B1D4D" w:rsidRPr="006C47E4" w:rsidRDefault="00000000" w:rsidP="006C47E4">
      <w:pPr>
        <w:pStyle w:val="ListParagraph"/>
      </w:pPr>
      <w:r w:rsidRPr="006C47E4">
        <w:t>Document which elements of State law need to be codified in the zoning ordinance</w:t>
      </w:r>
    </w:p>
    <w:p w14:paraId="0066B7AF" w14:textId="0B459ABB" w:rsidR="000B1D4D" w:rsidRDefault="00000000" w:rsidP="006C47E4">
      <w:pPr>
        <w:pStyle w:val="ListParagraph"/>
      </w:pPr>
      <w:r w:rsidRPr="006C47E4">
        <w:t xml:space="preserve">Identify required </w:t>
      </w:r>
      <w:r>
        <w:t>deadlines for rezoning related to State Housing Element law</w:t>
      </w:r>
    </w:p>
    <w:p w14:paraId="7FA1692C" w14:textId="7EAD6133" w:rsidR="000B1D4D" w:rsidRDefault="00000000" w:rsidP="00372958">
      <w:pPr>
        <w:pStyle w:val="Heading2"/>
      </w:pPr>
      <w:r>
        <w:t>2 Set Clear Goals and Expectations based on Adopted Policies</w:t>
      </w:r>
    </w:p>
    <w:p w14:paraId="6E4CAA74" w14:textId="6AF5F89A" w:rsidR="000B1D4D" w:rsidRPr="006C47E4" w:rsidRDefault="00000000" w:rsidP="006C47E4">
      <w:pPr>
        <w:pStyle w:val="ListParagraph"/>
      </w:pPr>
      <w:r w:rsidRPr="006C47E4">
        <w:t xml:space="preserve">Collect goals, policies, programs and design guidelines from adopted policy documents </w:t>
      </w:r>
    </w:p>
    <w:p w14:paraId="0E341AC1" w14:textId="77777777" w:rsidR="000B1D4D" w:rsidRPr="006C47E4" w:rsidRDefault="00000000" w:rsidP="006C47E4">
      <w:pPr>
        <w:pStyle w:val="ListParagraph"/>
      </w:pPr>
      <w:r w:rsidRPr="006C47E4">
        <w:t>If scoping an RFP for a new  (General Plan, Specific Plan, etc.), include land use map and zoning amendments in the scope of work</w:t>
      </w:r>
    </w:p>
    <w:p w14:paraId="7FF32644" w14:textId="77777777" w:rsidR="000B1D4D" w:rsidRDefault="00000000" w:rsidP="006C47E4">
      <w:pPr>
        <w:pStyle w:val="ListParagraph"/>
      </w:pPr>
      <w:r w:rsidRPr="006C47E4">
        <w:t>Identify deadlines for r</w:t>
      </w:r>
      <w:r>
        <w:t>ezoning related to general plan and housing element programs</w:t>
      </w:r>
    </w:p>
    <w:p w14:paraId="2E0FFBD6" w14:textId="6A93971D" w:rsidR="000B1D4D" w:rsidRDefault="006C47E4" w:rsidP="00372958">
      <w:pPr>
        <w:pStyle w:val="Heading2"/>
      </w:pPr>
      <w:r>
        <w:t xml:space="preserve">3 Align Vision and Implementation to Ensure Desired Outcomes </w:t>
      </w:r>
    </w:p>
    <w:p w14:paraId="4BEC2D0D" w14:textId="77777777" w:rsidR="006C47E4" w:rsidRDefault="00000000" w:rsidP="006C47E4">
      <w:pPr>
        <w:pStyle w:val="ListParagraph"/>
      </w:pPr>
      <w:r>
        <w:t xml:space="preserve">Determine whether existing zoning regulations support the vision, goals and policies for housing in the General Plan/Housing Element </w:t>
      </w:r>
    </w:p>
    <w:p w14:paraId="7418159A" w14:textId="77777777" w:rsidR="006C47E4" w:rsidRDefault="00000000" w:rsidP="006C47E4">
      <w:pPr>
        <w:pStyle w:val="ListParagraph"/>
        <w:numPr>
          <w:ilvl w:val="1"/>
          <w:numId w:val="7"/>
        </w:numPr>
      </w:pPr>
      <w:r>
        <w:t>“Audit” the code to check for alignment in use regulations, densities, and vision of General Plan designations, Housing Element programs, and Zoning districts</w:t>
      </w:r>
    </w:p>
    <w:p w14:paraId="2B72CFF5" w14:textId="77777777" w:rsidR="006C47E4" w:rsidRDefault="00000000" w:rsidP="006C47E4">
      <w:pPr>
        <w:pStyle w:val="ListParagraph"/>
        <w:numPr>
          <w:ilvl w:val="1"/>
          <w:numId w:val="7"/>
        </w:numPr>
      </w:pPr>
      <w:r>
        <w:t xml:space="preserve">Is the desired outcome </w:t>
      </w:r>
      <w:r w:rsidRPr="006C47E4">
        <w:rPr>
          <w:u w:val="single"/>
        </w:rPr>
        <w:t>possible</w:t>
      </w:r>
      <w:r>
        <w:t>? (e.g., uses by right, no special conditions)</w:t>
      </w:r>
    </w:p>
    <w:p w14:paraId="74B78F81" w14:textId="794F1631" w:rsidR="006C47E4" w:rsidRDefault="006C47E4" w:rsidP="006C47E4">
      <w:pPr>
        <w:pStyle w:val="ListParagraph"/>
        <w:numPr>
          <w:ilvl w:val="1"/>
          <w:numId w:val="7"/>
        </w:numPr>
      </w:pPr>
      <w:r>
        <w:t xml:space="preserve">Is the desired outcome </w:t>
      </w:r>
      <w:r w:rsidRPr="006C47E4">
        <w:rPr>
          <w:u w:val="single"/>
        </w:rPr>
        <w:t>feasible</w:t>
      </w:r>
      <w:r>
        <w:t>? (physically and economically when considering all applicable development standards)</w:t>
      </w:r>
    </w:p>
    <w:p w14:paraId="7DA4A2C8" w14:textId="77777777" w:rsidR="006C47E4" w:rsidRDefault="00000000" w:rsidP="006C47E4">
      <w:pPr>
        <w:pStyle w:val="ListParagraph"/>
        <w:numPr>
          <w:ilvl w:val="1"/>
          <w:numId w:val="7"/>
        </w:numPr>
      </w:pPr>
      <w:r>
        <w:t xml:space="preserve">Is the desired outcome </w:t>
      </w:r>
      <w:r w:rsidRPr="006C47E4">
        <w:rPr>
          <w:u w:val="single"/>
        </w:rPr>
        <w:t>probable</w:t>
      </w:r>
      <w:r>
        <w:t>? (e.g., market and site conditions support outcome)</w:t>
      </w:r>
    </w:p>
    <w:p w14:paraId="16195D9E" w14:textId="77777777" w:rsidR="006C47E4" w:rsidRDefault="00000000" w:rsidP="006C47E4">
      <w:pPr>
        <w:pStyle w:val="ListParagraph"/>
      </w:pPr>
      <w:r>
        <w:t>Identify zoning amendments and incentives to better support desired outcomes</w:t>
      </w:r>
    </w:p>
    <w:p w14:paraId="2766FC97" w14:textId="59CFDB35" w:rsidR="000B1D4D" w:rsidRDefault="00000000" w:rsidP="006C47E4">
      <w:pPr>
        <w:pStyle w:val="ListParagraph"/>
      </w:pPr>
      <w:r>
        <w:t>Test drive draft zoning changes with local architects, developers or a hired consultant</w:t>
      </w:r>
    </w:p>
    <w:p w14:paraId="34F5069F" w14:textId="6629364F" w:rsidR="000B1D4D" w:rsidRDefault="00000000" w:rsidP="00372958">
      <w:pPr>
        <w:pStyle w:val="Heading2"/>
      </w:pPr>
      <w:r>
        <w:t xml:space="preserve">4 Hone the Rezoning Strategy </w:t>
      </w:r>
    </w:p>
    <w:p w14:paraId="370BCC77" w14:textId="77777777" w:rsidR="000B1D4D" w:rsidRDefault="00000000" w:rsidP="006C47E4">
      <w:pPr>
        <w:pStyle w:val="ListParagraph"/>
        <w:numPr>
          <w:ilvl w:val="0"/>
          <w:numId w:val="10"/>
        </w:numPr>
      </w:pPr>
      <w:r>
        <w:t>Explore options for rezoning (e.g., map amendment, text amendments, new zoning districts, modified standards, overlay)</w:t>
      </w:r>
    </w:p>
    <w:p w14:paraId="5AAFCEBD" w14:textId="77777777" w:rsidR="000B1D4D" w:rsidRPr="00204943" w:rsidRDefault="00000000" w:rsidP="006C47E4">
      <w:pPr>
        <w:pStyle w:val="ListParagraph"/>
        <w:numPr>
          <w:ilvl w:val="0"/>
          <w:numId w:val="10"/>
        </w:numPr>
        <w:rPr>
          <w:sz w:val="26"/>
          <w:szCs w:val="26"/>
        </w:rPr>
      </w:pPr>
      <w:r>
        <w:t>Conduct any necessary analyses (e.g., site tests, GIS, review of recent projects, interviews with architects and developers)</w:t>
      </w:r>
    </w:p>
    <w:p w14:paraId="259B1CE0" w14:textId="77777777" w:rsidR="000B1D4D" w:rsidRDefault="00000000" w:rsidP="006C47E4">
      <w:pPr>
        <w:pStyle w:val="ListParagraph"/>
        <w:numPr>
          <w:ilvl w:val="0"/>
          <w:numId w:val="10"/>
        </w:numPr>
      </w:pPr>
      <w:r>
        <w:t>Consider benefits and drawbacks of various options (e.g., complexity, cost, consultant needs, deadlines, CEQA, value capture, effects on existing uses, limitations of online code provider)</w:t>
      </w:r>
    </w:p>
    <w:p w14:paraId="4AAF8CA6" w14:textId="77777777" w:rsidR="000B1D4D" w:rsidRDefault="00000000" w:rsidP="006C47E4">
      <w:pPr>
        <w:pStyle w:val="ListParagraph"/>
        <w:numPr>
          <w:ilvl w:val="0"/>
          <w:numId w:val="10"/>
        </w:numPr>
      </w:pPr>
      <w:r>
        <w:lastRenderedPageBreak/>
        <w:t>Select a rezoning strategy,  based on input from stakeholders (see Rule 6)</w:t>
      </w:r>
    </w:p>
    <w:p w14:paraId="4BB39CE3" w14:textId="77777777" w:rsidR="000B1D4D" w:rsidRPr="00204943" w:rsidRDefault="00000000" w:rsidP="006C47E4">
      <w:pPr>
        <w:pStyle w:val="ListParagraph"/>
        <w:numPr>
          <w:ilvl w:val="0"/>
          <w:numId w:val="10"/>
        </w:numPr>
        <w:rPr>
          <w:sz w:val="26"/>
          <w:szCs w:val="26"/>
        </w:rPr>
      </w:pPr>
      <w:r>
        <w:t>Identify CEQA review strategy (e.g., exempt, covered by previous efforts, etc.)</w:t>
      </w:r>
    </w:p>
    <w:p w14:paraId="44968F79" w14:textId="77777777" w:rsidR="000B1D4D" w:rsidRDefault="00000000" w:rsidP="006C47E4">
      <w:pPr>
        <w:pStyle w:val="ListParagraph"/>
        <w:numPr>
          <w:ilvl w:val="0"/>
          <w:numId w:val="10"/>
        </w:numPr>
      </w:pPr>
      <w:r>
        <w:t>Ensure clarity among the project team and city leadership on the selected strategy</w:t>
      </w:r>
    </w:p>
    <w:p w14:paraId="434F4492" w14:textId="58B567CC" w:rsidR="000B1D4D" w:rsidRPr="00372958" w:rsidRDefault="00000000" w:rsidP="00372958">
      <w:pPr>
        <w:pStyle w:val="Heading2"/>
        <w:rPr>
          <w:highlight w:val="yellow"/>
        </w:rPr>
      </w:pPr>
      <w:r w:rsidRPr="00372958">
        <w:t xml:space="preserve">5 Develop a Detailed Roadmap for the Project Work Plan, Timeline and Budget </w:t>
      </w:r>
    </w:p>
    <w:p w14:paraId="53067D1D" w14:textId="6A134584" w:rsidR="000B1D4D" w:rsidRDefault="00000000" w:rsidP="006C47E4">
      <w:pPr>
        <w:pStyle w:val="ListParagraph"/>
      </w:pPr>
      <w:r>
        <w:t>Outline the project scope, key tasks, timing and budget</w:t>
      </w:r>
      <w:r w:rsidRPr="00204943">
        <w:rPr>
          <w:b/>
        </w:rPr>
        <w:t>:</w:t>
      </w:r>
    </w:p>
    <w:p w14:paraId="3AFAA6D7" w14:textId="77777777" w:rsidR="000B1D4D" w:rsidRDefault="00000000" w:rsidP="006C47E4">
      <w:pPr>
        <w:pStyle w:val="ListParagraph"/>
        <w:numPr>
          <w:ilvl w:val="1"/>
          <w:numId w:val="7"/>
        </w:numPr>
      </w:pPr>
      <w:r>
        <w:t>Identify any consultant needs, such as designers, economists, zoning professionals, GIS or engagement specialists</w:t>
      </w:r>
    </w:p>
    <w:p w14:paraId="3CDF4FC3" w14:textId="77777777" w:rsidR="000B1D4D" w:rsidRDefault="00000000" w:rsidP="006C47E4">
      <w:pPr>
        <w:pStyle w:val="ListParagraph"/>
        <w:numPr>
          <w:ilvl w:val="1"/>
          <w:numId w:val="7"/>
        </w:numPr>
      </w:pPr>
      <w:r>
        <w:t>Identify stakeholders, interdepartmental coordination needs, and boards and commissions; develop outreach strategy</w:t>
      </w:r>
    </w:p>
    <w:p w14:paraId="5E03B485" w14:textId="77777777" w:rsidR="000B1D4D" w:rsidRDefault="00000000" w:rsidP="006C47E4">
      <w:pPr>
        <w:pStyle w:val="ListParagraph"/>
      </w:pPr>
      <w:r>
        <w:t>Develop options and recommendations for zoning amendments (see Rule 4)</w:t>
      </w:r>
    </w:p>
    <w:p w14:paraId="4F31337F" w14:textId="77777777" w:rsidR="000B1D4D" w:rsidRDefault="00000000" w:rsidP="006C47E4">
      <w:pPr>
        <w:pStyle w:val="ListParagraph"/>
      </w:pPr>
      <w:r>
        <w:t>Prepare zoning amendments:</w:t>
      </w:r>
    </w:p>
    <w:p w14:paraId="2D917F88" w14:textId="77777777" w:rsidR="000B1D4D" w:rsidRDefault="00000000" w:rsidP="006C47E4">
      <w:pPr>
        <w:pStyle w:val="ListParagraph"/>
        <w:numPr>
          <w:ilvl w:val="1"/>
          <w:numId w:val="7"/>
        </w:numPr>
      </w:pPr>
      <w:r>
        <w:t xml:space="preserve">Prepare a “redline/strikeout” version of draft zoning amendments </w:t>
      </w:r>
    </w:p>
    <w:p w14:paraId="41D64991" w14:textId="77777777" w:rsidR="000B1D4D" w:rsidRDefault="00000000" w:rsidP="006C47E4">
      <w:pPr>
        <w:pStyle w:val="ListParagraph"/>
        <w:numPr>
          <w:ilvl w:val="1"/>
          <w:numId w:val="7"/>
        </w:numPr>
      </w:pPr>
      <w:r>
        <w:t>Prepare graphics that illustrate key concepts as well as any zoning map amendments</w:t>
      </w:r>
    </w:p>
    <w:p w14:paraId="54D10C40" w14:textId="77777777" w:rsidR="000B1D4D" w:rsidRDefault="00000000" w:rsidP="006C47E4">
      <w:pPr>
        <w:pStyle w:val="ListParagraph"/>
        <w:numPr>
          <w:ilvl w:val="1"/>
          <w:numId w:val="7"/>
        </w:numPr>
      </w:pPr>
      <w:r>
        <w:t>Conduct environmental review</w:t>
      </w:r>
    </w:p>
    <w:p w14:paraId="72CFE583" w14:textId="005ED291" w:rsidR="000B1D4D" w:rsidRDefault="00000000" w:rsidP="006C47E4">
      <w:pPr>
        <w:pStyle w:val="ListParagraph"/>
      </w:pPr>
      <w:r>
        <w:t>Prepare adopting ordinances, resolutions and CEQA findings</w:t>
      </w:r>
    </w:p>
    <w:p w14:paraId="2CA4D2DE" w14:textId="77777777" w:rsidR="000B1D4D" w:rsidRDefault="00000000" w:rsidP="006C47E4">
      <w:pPr>
        <w:pStyle w:val="ListParagraph"/>
      </w:pPr>
      <w:r>
        <w:t xml:space="preserve">Conduct public review and adoption process </w:t>
      </w:r>
    </w:p>
    <w:p w14:paraId="4A3A674A" w14:textId="77777777" w:rsidR="000B1D4D" w:rsidRDefault="00000000" w:rsidP="006C47E4">
      <w:pPr>
        <w:pStyle w:val="ListParagraph"/>
      </w:pPr>
      <w:r>
        <w:t>Consider preparing handouts that distill complicated zoning information into a digestible format</w:t>
      </w:r>
    </w:p>
    <w:p w14:paraId="3D995727" w14:textId="7E224FC1" w:rsidR="000B1D4D" w:rsidRDefault="00000000" w:rsidP="00372958">
      <w:pPr>
        <w:pStyle w:val="Heading2"/>
      </w:pPr>
      <w:r>
        <w:t>6 Ensure Consensus At Every Step</w:t>
      </w:r>
    </w:p>
    <w:p w14:paraId="3EB141C5" w14:textId="77777777" w:rsidR="000B1D4D" w:rsidRDefault="00000000" w:rsidP="006C47E4">
      <w:pPr>
        <w:pStyle w:val="ListParagraph"/>
      </w:pPr>
      <w:r>
        <w:t xml:space="preserve">Determine which other departments need to contribute to and review proposed zoning changes </w:t>
      </w:r>
    </w:p>
    <w:p w14:paraId="3134EACC" w14:textId="77777777" w:rsidR="000B1D4D" w:rsidRDefault="00000000" w:rsidP="006C47E4">
      <w:pPr>
        <w:pStyle w:val="ListParagraph"/>
      </w:pPr>
      <w:r>
        <w:t xml:space="preserve">Engage relevant stakeholders, such as community members, decision-makers, property owners and developers (market rate and affordable), advocates and neighborhood groups </w:t>
      </w:r>
    </w:p>
    <w:p w14:paraId="562071D8" w14:textId="77777777" w:rsidR="000B1D4D" w:rsidRDefault="00000000" w:rsidP="006C47E4">
      <w:pPr>
        <w:pStyle w:val="ListParagraph"/>
      </w:pPr>
      <w:r>
        <w:t xml:space="preserve">Consider targeted outreach to underrepresented groups </w:t>
      </w:r>
    </w:p>
    <w:p w14:paraId="35BC4E3A" w14:textId="77777777" w:rsidR="000B1D4D" w:rsidRDefault="00000000" w:rsidP="006C47E4">
      <w:pPr>
        <w:pStyle w:val="ListParagraph"/>
      </w:pPr>
      <w:r>
        <w:t>Notify property owners who will be affected by the rezoning</w:t>
      </w:r>
    </w:p>
    <w:p w14:paraId="1411C9FC" w14:textId="77777777" w:rsidR="000B1D4D" w:rsidRDefault="00000000" w:rsidP="006C47E4">
      <w:pPr>
        <w:pStyle w:val="ListParagraph"/>
      </w:pPr>
      <w:r>
        <w:t>Consider how to include board and commission feedback prior to City Council action</w:t>
      </w:r>
    </w:p>
    <w:p w14:paraId="097E83E5" w14:textId="77777777" w:rsidR="000B1D4D" w:rsidRDefault="00000000" w:rsidP="006C47E4">
      <w:pPr>
        <w:pStyle w:val="ListParagraph"/>
      </w:pPr>
      <w:r>
        <w:t xml:space="preserve">Anticipate key questions that will arise and how to respond </w:t>
      </w:r>
    </w:p>
    <w:p w14:paraId="55969645" w14:textId="77777777" w:rsidR="000B1D4D" w:rsidRDefault="000B1D4D" w:rsidP="00204943">
      <w:pPr>
        <w:rPr>
          <w:shd w:val="clear" w:color="auto" w:fill="F6B26B"/>
        </w:rPr>
      </w:pPr>
    </w:p>
    <w:p w14:paraId="0D0FCA1C" w14:textId="77777777" w:rsidR="000B1D4D" w:rsidRDefault="000B1D4D" w:rsidP="00204943"/>
    <w:p w14:paraId="31C93D02" w14:textId="77777777" w:rsidR="000B1D4D" w:rsidRDefault="000B1D4D" w:rsidP="00204943"/>
    <w:sectPr w:rsidR="000B1D4D" w:rsidSect="00204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0CB83" w14:textId="77777777" w:rsidR="003B4238" w:rsidRDefault="003B4238" w:rsidP="00204943">
      <w:r>
        <w:separator/>
      </w:r>
    </w:p>
  </w:endnote>
  <w:endnote w:type="continuationSeparator" w:id="0">
    <w:p w14:paraId="5BE1E120" w14:textId="77777777" w:rsidR="003B4238" w:rsidRDefault="003B4238" w:rsidP="0020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E5195" w14:textId="77777777" w:rsidR="00204943" w:rsidRDefault="00204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9543" w14:textId="35FC1BF9" w:rsidR="000B1D4D" w:rsidRPr="00204943" w:rsidRDefault="00204943" w:rsidP="00204943">
    <w:pPr>
      <w:pStyle w:val="Footer"/>
      <w:tabs>
        <w:tab w:val="clear" w:pos="4680"/>
        <w:tab w:val="clear" w:pos="9360"/>
        <w:tab w:val="right" w:pos="10350"/>
      </w:tabs>
      <w:rPr>
        <w:sz w:val="20"/>
        <w:szCs w:val="20"/>
      </w:rPr>
    </w:pPr>
    <w:r w:rsidRPr="00204943">
      <w:rPr>
        <w:b/>
        <w:bCs/>
        <w:color w:val="062F87" w:themeColor="accent1"/>
        <w:sz w:val="20"/>
        <w:szCs w:val="20"/>
      </w:rPr>
      <w:t xml:space="preserve">REZONING CHECKLIST </w:t>
    </w:r>
    <w:r w:rsidRPr="00204943">
      <w:rPr>
        <w:color w:val="1174A9"/>
        <w:sz w:val="20"/>
        <w:szCs w:val="20"/>
      </w:rPr>
      <w:t>JULY 2024</w:t>
    </w:r>
    <w:r w:rsidRPr="00204943">
      <w:rPr>
        <w:sz w:val="20"/>
        <w:szCs w:val="20"/>
      </w:rPr>
      <w:tab/>
    </w:r>
    <w:sdt>
      <w:sdtPr>
        <w:rPr>
          <w:rStyle w:val="PageNumber"/>
          <w:sz w:val="20"/>
          <w:szCs w:val="20"/>
        </w:rPr>
        <w:id w:val="-1001814380"/>
        <w:docPartObj>
          <w:docPartGallery w:val="Page Numbers (Bottom of Page)"/>
          <w:docPartUnique/>
        </w:docPartObj>
      </w:sdtPr>
      <w:sdtContent>
        <w:r w:rsidRPr="00204943">
          <w:rPr>
            <w:rStyle w:val="PageNumber"/>
            <w:b/>
            <w:bCs/>
            <w:color w:val="009192" w:themeColor="accent2"/>
            <w:sz w:val="20"/>
            <w:szCs w:val="20"/>
          </w:rPr>
          <w:fldChar w:fldCharType="begin"/>
        </w:r>
        <w:r w:rsidRPr="00204943">
          <w:rPr>
            <w:rStyle w:val="PageNumber"/>
            <w:b/>
            <w:bCs/>
            <w:color w:val="009192" w:themeColor="accent2"/>
            <w:sz w:val="20"/>
            <w:szCs w:val="20"/>
          </w:rPr>
          <w:instrText xml:space="preserve"> PAGE </w:instrText>
        </w:r>
        <w:r w:rsidRPr="00204943">
          <w:rPr>
            <w:rStyle w:val="PageNumber"/>
            <w:b/>
            <w:bCs/>
            <w:color w:val="009192" w:themeColor="accent2"/>
            <w:sz w:val="20"/>
            <w:szCs w:val="20"/>
          </w:rPr>
          <w:fldChar w:fldCharType="separate"/>
        </w:r>
        <w:r w:rsidRPr="00204943">
          <w:rPr>
            <w:rStyle w:val="PageNumber"/>
            <w:b/>
            <w:bCs/>
            <w:color w:val="009192" w:themeColor="accent2"/>
            <w:sz w:val="20"/>
            <w:szCs w:val="20"/>
          </w:rPr>
          <w:t>1</w:t>
        </w:r>
        <w:r w:rsidRPr="00204943">
          <w:rPr>
            <w:rStyle w:val="PageNumber"/>
            <w:b/>
            <w:bCs/>
            <w:color w:val="009192" w:themeColor="accent2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DF621" w14:textId="77777777" w:rsidR="000B1D4D" w:rsidRDefault="00000000" w:rsidP="00204943">
    <w:r>
      <w:rPr>
        <w:noProof/>
      </w:rPr>
      <w:drawing>
        <wp:inline distT="114300" distB="114300" distL="114300" distR="114300" wp14:anchorId="4DD451A5" wp14:editId="381F29B3">
          <wp:extent cx="5943600" cy="673100"/>
          <wp:effectExtent l="0" t="0" r="0" b="0"/>
          <wp:docPr id="14803215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32152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E1832" w14:textId="77777777" w:rsidR="003B4238" w:rsidRDefault="003B4238" w:rsidP="00204943">
      <w:r>
        <w:separator/>
      </w:r>
    </w:p>
  </w:footnote>
  <w:footnote w:type="continuationSeparator" w:id="0">
    <w:p w14:paraId="7FBA7612" w14:textId="77777777" w:rsidR="003B4238" w:rsidRDefault="003B4238" w:rsidP="0020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02A49" w14:textId="77777777" w:rsidR="00204943" w:rsidRDefault="00204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7466" w14:textId="77777777" w:rsidR="00204943" w:rsidRDefault="00204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03CC7" w14:textId="77777777" w:rsidR="000B1D4D" w:rsidRDefault="00000000" w:rsidP="0020494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917668" wp14:editId="585B0D6E">
          <wp:simplePos x="0" y="0"/>
          <wp:positionH relativeFrom="column">
            <wp:posOffset>2085975</wp:posOffset>
          </wp:positionH>
          <wp:positionV relativeFrom="paragraph">
            <wp:posOffset>-342899</wp:posOffset>
          </wp:positionV>
          <wp:extent cx="1766888" cy="754867"/>
          <wp:effectExtent l="0" t="0" r="5080" b="7620"/>
          <wp:wrapSquare wrapText="bothSides" distT="114300" distB="114300" distL="114300" distR="114300"/>
          <wp:docPr id="2133849137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849137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888" cy="754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57AD"/>
    <w:multiLevelType w:val="multilevel"/>
    <w:tmpl w:val="A9FEE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C43A71"/>
    <w:multiLevelType w:val="multilevel"/>
    <w:tmpl w:val="8FAE7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9D2C97"/>
    <w:multiLevelType w:val="multilevel"/>
    <w:tmpl w:val="B4FCD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D013B2"/>
    <w:multiLevelType w:val="hybridMultilevel"/>
    <w:tmpl w:val="8864D522"/>
    <w:lvl w:ilvl="0" w:tplc="76C00F7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1F4DD6"/>
    <w:multiLevelType w:val="multilevel"/>
    <w:tmpl w:val="B082E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750989"/>
    <w:multiLevelType w:val="multilevel"/>
    <w:tmpl w:val="6632E35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A7C12"/>
    <w:multiLevelType w:val="multilevel"/>
    <w:tmpl w:val="434E79C8"/>
    <w:lvl w:ilvl="0">
      <w:start w:val="1"/>
      <w:numFmt w:val="bullet"/>
      <w:pStyle w:val="ListParagraph"/>
      <w:lvlText w:val="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656B7BA2"/>
    <w:multiLevelType w:val="hybridMultilevel"/>
    <w:tmpl w:val="9ADA2A0A"/>
    <w:lvl w:ilvl="0" w:tplc="D62034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D13C8"/>
    <w:multiLevelType w:val="multilevel"/>
    <w:tmpl w:val="055AB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4C1C31"/>
    <w:multiLevelType w:val="multilevel"/>
    <w:tmpl w:val="055AB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01275087">
    <w:abstractNumId w:val="0"/>
  </w:num>
  <w:num w:numId="2" w16cid:durableId="1142304831">
    <w:abstractNumId w:val="4"/>
  </w:num>
  <w:num w:numId="3" w16cid:durableId="214242210">
    <w:abstractNumId w:val="2"/>
  </w:num>
  <w:num w:numId="4" w16cid:durableId="1071470006">
    <w:abstractNumId w:val="8"/>
  </w:num>
  <w:num w:numId="5" w16cid:durableId="204176494">
    <w:abstractNumId w:val="1"/>
  </w:num>
  <w:num w:numId="6" w16cid:durableId="1883249778">
    <w:abstractNumId w:val="9"/>
  </w:num>
  <w:num w:numId="7" w16cid:durableId="155803883">
    <w:abstractNumId w:val="6"/>
  </w:num>
  <w:num w:numId="8" w16cid:durableId="1652708842">
    <w:abstractNumId w:val="3"/>
  </w:num>
  <w:num w:numId="9" w16cid:durableId="1791557894">
    <w:abstractNumId w:val="7"/>
  </w:num>
  <w:num w:numId="10" w16cid:durableId="2141024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4D"/>
    <w:rsid w:val="000458DF"/>
    <w:rsid w:val="0005500E"/>
    <w:rsid w:val="000B1D4D"/>
    <w:rsid w:val="000D277A"/>
    <w:rsid w:val="00204943"/>
    <w:rsid w:val="00372958"/>
    <w:rsid w:val="003B4238"/>
    <w:rsid w:val="003B7121"/>
    <w:rsid w:val="003C7D96"/>
    <w:rsid w:val="005806D5"/>
    <w:rsid w:val="005D2522"/>
    <w:rsid w:val="006C47E4"/>
    <w:rsid w:val="007F219E"/>
    <w:rsid w:val="009C3830"/>
    <w:rsid w:val="00B72778"/>
    <w:rsid w:val="00C931A2"/>
    <w:rsid w:val="00C94C08"/>
    <w:rsid w:val="00D0059E"/>
    <w:rsid w:val="00D5383D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8063"/>
  <w15:docId w15:val="{35BBC194-B6A2-C248-965D-997FB327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43"/>
    <w:pPr>
      <w:spacing w:after="120" w:line="264" w:lineRule="auto"/>
    </w:pPr>
    <w:rPr>
      <w:rFonts w:ascii="Calibri" w:eastAsia="Calibri" w:hAnsi="Calibri" w:cs="Times New Roman (Body CS)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00372958"/>
    <w:pPr>
      <w:outlineLvl w:val="0"/>
    </w:pPr>
    <w:rPr>
      <w:rFonts w:cs="Calibri"/>
      <w:b/>
      <w:noProof/>
      <w:color w:val="062F87" w:themeColor="accent1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rsid w:val="00372958"/>
    <w:pPr>
      <w:pBdr>
        <w:top w:val="single" w:sz="8" w:space="4" w:color="F5F8F9"/>
        <w:left w:val="single" w:sz="8" w:space="4" w:color="F5F8F9"/>
        <w:bottom w:val="single" w:sz="8" w:space="4" w:color="F5F8F9"/>
        <w:right w:val="single" w:sz="8" w:space="4" w:color="F5F8F9"/>
      </w:pBdr>
      <w:shd w:val="clear" w:color="auto" w:fill="F5F8F9"/>
      <w:spacing w:before="180"/>
      <w:ind w:right="86"/>
      <w:outlineLvl w:val="1"/>
    </w:pPr>
    <w:rPr>
      <w:b/>
      <w:caps/>
      <w:color w:val="009192" w:themeColor="accent2"/>
      <w:spacing w:val="10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72958"/>
    <w:pPr>
      <w:numPr>
        <w:numId w:val="7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20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943"/>
    <w:rPr>
      <w:rFonts w:ascii="Calibri" w:eastAsia="Calibri" w:hAnsi="Calibri" w:cs="Times New Roman (Body CS)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943"/>
    <w:rPr>
      <w:rFonts w:ascii="Calibri" w:eastAsia="Calibri" w:hAnsi="Calibri" w:cs="Times New Roman (Body CS)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04943"/>
  </w:style>
  <w:style w:type="character" w:styleId="CommentReference">
    <w:name w:val="annotation reference"/>
    <w:basedOn w:val="DefaultParagraphFont"/>
    <w:uiPriority w:val="99"/>
    <w:semiHidden/>
    <w:unhideWhenUsed/>
    <w:rsid w:val="00D53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83D"/>
    <w:rPr>
      <w:rFonts w:ascii="Calibri" w:eastAsia="Calibri" w:hAnsi="Calibri" w:cs="Times New Roman (Body CS)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3D"/>
    <w:rPr>
      <w:rFonts w:ascii="Calibri" w:eastAsia="Calibri" w:hAnsi="Calibri" w:cs="Times New Roman (Body CS)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D277A"/>
    <w:rPr>
      <w:color w:val="2A6BF5" w:themeColor="accent1" w:themeTint="9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g.ca.gov/technical-assistance/getting-rezoning-righ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BAG + SB 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62F87"/>
      </a:accent1>
      <a:accent2>
        <a:srgbClr val="009192"/>
      </a:accent2>
      <a:accent3>
        <a:srgbClr val="FEB346"/>
      </a:accent3>
      <a:accent4>
        <a:srgbClr val="007840"/>
      </a:accent4>
      <a:accent5>
        <a:srgbClr val="CD7820"/>
      </a:accent5>
      <a:accent6>
        <a:srgbClr val="633411"/>
      </a:accent6>
      <a:hlink>
        <a:srgbClr val="49B2B2"/>
      </a:hlink>
      <a:folHlink>
        <a:srgbClr val="49B2B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4313-07F1-4D51-82DA-C0D4629F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Checklist for Getting Rezoning Right</dc:title>
  <dc:subject/>
  <dc:creator>Clair A. McDevitt</dc:creator>
  <cp:keywords/>
  <dc:description/>
  <cp:lastModifiedBy>Clair A. McDevitt</cp:lastModifiedBy>
  <cp:revision>3</cp:revision>
  <dcterms:created xsi:type="dcterms:W3CDTF">2024-06-27T23:11:00Z</dcterms:created>
  <dcterms:modified xsi:type="dcterms:W3CDTF">2024-06-27T23:28:00Z</dcterms:modified>
  <cp:category/>
</cp:coreProperties>
</file>