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2601" w14:textId="5A7926EA" w:rsidR="0077235F" w:rsidRDefault="001B741E" w:rsidP="006F5A9B">
      <w:pPr>
        <w:pStyle w:val="Heading1"/>
        <w:pageBreakBefore w:val="0"/>
        <w:spacing w:after="0"/>
      </w:pPr>
      <w:bookmarkStart w:id="0" w:name="_Hlk9169165"/>
      <w:r>
        <w:t xml:space="preserve">BPIAP: </w:t>
      </w:r>
      <w:r w:rsidR="00784C07">
        <w:t>Implementation Program</w:t>
      </w:r>
      <w:r w:rsidR="00696C50">
        <w:t xml:space="preserve"> Guidance</w:t>
      </w:r>
    </w:p>
    <w:p w14:paraId="4CA293A7" w14:textId="67CA73EB" w:rsidR="0052578C" w:rsidRDefault="0052578C" w:rsidP="0052578C">
      <w:r>
        <w:t xml:space="preserve">This </w:t>
      </w:r>
      <w:r w:rsidR="004F6ABA">
        <w:t>document describes sources jurisdictions may reference for design guidelines and funding as part of a Bicycle and Pedestrian Infrastructure Action Plan.</w:t>
      </w:r>
      <w:r>
        <w:t xml:space="preserve"> </w:t>
      </w:r>
    </w:p>
    <w:p w14:paraId="74E8BCDB" w14:textId="2D6B1D34" w:rsidR="0052578C" w:rsidRDefault="0052578C" w:rsidP="0052578C">
      <w:pPr>
        <w:pStyle w:val="Heading2"/>
      </w:pPr>
      <w:bookmarkStart w:id="1" w:name="_Ref112268143"/>
      <w:r>
        <w:t>Design Guideline Sources</w:t>
      </w:r>
      <w:bookmarkEnd w:id="1"/>
    </w:p>
    <w:p w14:paraId="407BAE3C" w14:textId="4F47C1A3" w:rsidR="0052578C" w:rsidRDefault="0052578C" w:rsidP="00ED5C89">
      <w:pPr>
        <w:jc w:val="both"/>
      </w:pPr>
      <w:r w:rsidRPr="0052578C">
        <w:t xml:space="preserve">Taken together, the facility design guidance </w:t>
      </w:r>
      <w:r>
        <w:t xml:space="preserve">and </w:t>
      </w:r>
      <w:r w:rsidRPr="0052578C">
        <w:t xml:space="preserve">treatments offered herein give a range of options stemming from current best practices and established guidance at the state and national levels. The </w:t>
      </w:r>
      <w:r>
        <w:t>following material is intended</w:t>
      </w:r>
      <w:r w:rsidRPr="0052578C">
        <w:t xml:space="preserve"> to serve as a flexible menu of options for developing and refining </w:t>
      </w:r>
      <w:r>
        <w:t xml:space="preserve">bicycle facility </w:t>
      </w:r>
      <w:r w:rsidRPr="0052578C">
        <w:t>project recommendations.</w:t>
      </w:r>
      <w:r w:rsidR="00E42E81">
        <w:t xml:space="preserve"> </w:t>
      </w:r>
    </w:p>
    <w:p w14:paraId="4933AC97" w14:textId="3C0C0B64" w:rsidR="0052578C" w:rsidRDefault="0052578C" w:rsidP="00ED5C89">
      <w:pPr>
        <w:pStyle w:val="Heading3"/>
        <w:jc w:val="both"/>
      </w:pPr>
      <w:r>
        <w:t>National Guidance</w:t>
      </w:r>
    </w:p>
    <w:p w14:paraId="555AE80B" w14:textId="51631DDC" w:rsidR="00823962" w:rsidRDefault="00823962" w:rsidP="00ED5C89">
      <w:pPr>
        <w:pStyle w:val="Heading4"/>
        <w:jc w:val="both"/>
      </w:pPr>
      <w:r w:rsidRPr="00823962">
        <w:t>National Association of City Transportation Officials (NACTO) Urban Street Design Guide</w:t>
      </w:r>
    </w:p>
    <w:p w14:paraId="55315D96" w14:textId="3D4E9ECB" w:rsidR="0052578C" w:rsidRDefault="00823962" w:rsidP="00ED5C89">
      <w:pPr>
        <w:jc w:val="both"/>
      </w:pPr>
      <w:r w:rsidRPr="00823962">
        <w:t>The National Association of City Transportation Officials (NACTO) Urban Street Design Guide (2013) unveils the toolbox and tactics cities can use to make streets safer, more livable, and more economically vibrant. The Guide outlines a clear vision for complete streets and a basic road map for bringing them to fruition. The document charts the principles and practices of the nation's foremost engineers, planners, and designers working in cities.</w:t>
      </w:r>
    </w:p>
    <w:p w14:paraId="20DD28E6" w14:textId="7DE55240" w:rsidR="00823962" w:rsidRDefault="00823962" w:rsidP="00ED5C89">
      <w:pPr>
        <w:pStyle w:val="Heading4"/>
        <w:jc w:val="both"/>
      </w:pPr>
      <w:r w:rsidRPr="00823962">
        <w:t>Separated Bike Lane Planning and Design Guide</w:t>
      </w:r>
    </w:p>
    <w:p w14:paraId="7A2E416F" w14:textId="7D1F7F07" w:rsidR="0052578C" w:rsidRDefault="00823962" w:rsidP="00ED5C89">
      <w:pPr>
        <w:jc w:val="both"/>
      </w:pPr>
      <w:r w:rsidRPr="00823962">
        <w:t>Separated Bike Lane Planning and Design Guide (2015) provides national guidance on the planning and design of separated bike lane facilities. Released by the Federal Highway Administration (FHWA), this Guide documents best practices as demonstrated around the U.S. and offers ideas on future areas of research, evaluation, and design flexibility.</w:t>
      </w:r>
    </w:p>
    <w:p w14:paraId="6CD472B8" w14:textId="2D41DEC7" w:rsidR="00823962" w:rsidRDefault="00823962" w:rsidP="00ED5C89">
      <w:pPr>
        <w:pStyle w:val="Heading4"/>
        <w:jc w:val="both"/>
      </w:pPr>
      <w:r w:rsidRPr="00823962">
        <w:t>NACTO Urban Bikeway Design Guide</w:t>
      </w:r>
    </w:p>
    <w:p w14:paraId="608D08BA" w14:textId="4C4AEC4B" w:rsidR="00823962" w:rsidRDefault="00823962" w:rsidP="00ED5C89">
      <w:pPr>
        <w:jc w:val="both"/>
      </w:pPr>
      <w:r w:rsidRPr="00823962">
        <w:t>The NACTO Urban Bikeway Design Guide (2012) provides cities with state-of-the-practice solutions that can help create complete streets that are safe and enjoyable for bicyclists. Cities developed the designs for cities since unique urban streets require innovative solutions. In August 2013, the Federal Highway Administration issued a memorandum officially supporting the use of the document.</w:t>
      </w:r>
    </w:p>
    <w:p w14:paraId="6BD2B5DD" w14:textId="14042B94" w:rsidR="00823962" w:rsidRDefault="00823962" w:rsidP="00ED5C89">
      <w:pPr>
        <w:pStyle w:val="Heading4"/>
        <w:jc w:val="both"/>
      </w:pPr>
      <w:r w:rsidRPr="00823962">
        <w:t>NACTO Designing for All Ages &amp; Abilities</w:t>
      </w:r>
    </w:p>
    <w:p w14:paraId="1091AEA9" w14:textId="1D94AD8D" w:rsidR="00823962" w:rsidRDefault="00823962" w:rsidP="00ED5C89">
      <w:pPr>
        <w:jc w:val="both"/>
      </w:pPr>
      <w:r w:rsidRPr="00823962">
        <w:t xml:space="preserve">The NACTO Designing for All Ages &amp; Abilities (2017) guide provides cities with detailed contextual guidance to designing and implementing bicycle facilities for people biking of all ages and abilities. </w:t>
      </w:r>
      <w:r w:rsidRPr="00823962">
        <w:lastRenderedPageBreak/>
        <w:t>The Guide provides information, strategies, and options on determining what type of bicycle facility will create the safest and most comfortable facility in varying contexts.</w:t>
      </w:r>
    </w:p>
    <w:p w14:paraId="0D083490" w14:textId="0ED523C6" w:rsidR="00E42E81" w:rsidRDefault="00E42E81" w:rsidP="00ED5C89">
      <w:pPr>
        <w:pStyle w:val="Heading4"/>
        <w:jc w:val="both"/>
      </w:pPr>
      <w:r w:rsidRPr="00823962">
        <w:t>NACTO's Don't Give Up at the Intersection</w:t>
      </w:r>
    </w:p>
    <w:p w14:paraId="4DF0AD01" w14:textId="0203AB8F" w:rsidR="00823962" w:rsidRDefault="00823962" w:rsidP="00ED5C89">
      <w:pPr>
        <w:jc w:val="both"/>
      </w:pPr>
      <w:r w:rsidRPr="00823962">
        <w:t>NACTO's Don't Give Up at the Intersection (2019) guide stresses the importance of intersections within bicycle networks, noting the safety and connectivity obstacles they can present to people bicycling. The Guide provides guidance on multiple intersection treatments to improve safety and visibility.</w:t>
      </w:r>
    </w:p>
    <w:p w14:paraId="61D92B71" w14:textId="63648B7B" w:rsidR="00E42E81" w:rsidRDefault="00E42E81" w:rsidP="00ED5C89">
      <w:pPr>
        <w:pStyle w:val="Heading4"/>
        <w:jc w:val="both"/>
      </w:pPr>
      <w:r w:rsidRPr="00E42E81">
        <w:t>Association of Pedestrian and Bicycle Professionals (APBP) Essentials of Bike Parking</w:t>
      </w:r>
    </w:p>
    <w:p w14:paraId="5BDB43FD" w14:textId="0EDC628F" w:rsidR="00E42E81" w:rsidRDefault="00E42E81" w:rsidP="00ED5C89">
      <w:pPr>
        <w:autoSpaceDE w:val="0"/>
        <w:autoSpaceDN w:val="0"/>
        <w:adjustRightInd w:val="0"/>
        <w:spacing w:before="0" w:after="0" w:line="240" w:lineRule="auto"/>
        <w:jc w:val="both"/>
        <w:rPr>
          <w:rFonts w:ascii="Gotham Light" w:hAnsi="Gotham Light" w:cs="Gotham Light"/>
          <w:color w:val="000000"/>
          <w:sz w:val="22"/>
        </w:rPr>
      </w:pPr>
      <w:r w:rsidRPr="00E42E81">
        <w:rPr>
          <w:rFonts w:ascii="Gotham Light" w:hAnsi="Gotham Light" w:cs="Gotham Light"/>
          <w:color w:val="000000"/>
          <w:sz w:val="22"/>
        </w:rPr>
        <w:t xml:space="preserve">The Association of Pedestrian and Bicycle Professionals (APBP) Essentials of Bike Parking (2015) guide provides site planning, installation, rack information, and placement guidance for bicycle parking facilities. </w:t>
      </w:r>
    </w:p>
    <w:p w14:paraId="76A0E524" w14:textId="7306C709" w:rsidR="00E42E81" w:rsidRDefault="00E42E81" w:rsidP="00ED5C89">
      <w:pPr>
        <w:pStyle w:val="Heading4"/>
        <w:spacing w:after="0"/>
        <w:jc w:val="both"/>
      </w:pPr>
      <w:r w:rsidRPr="00E42E81">
        <w:t>Association of Pedestrian and Bicycle Professionals' Bicycle Parking Guidelines, 2</w:t>
      </w:r>
      <w:r w:rsidRPr="00E42E81">
        <w:rPr>
          <w:sz w:val="14"/>
          <w:szCs w:val="14"/>
        </w:rPr>
        <w:t xml:space="preserve">nd </w:t>
      </w:r>
      <w:r w:rsidRPr="00E42E81">
        <w:t>Edition</w:t>
      </w:r>
    </w:p>
    <w:p w14:paraId="660EAC30" w14:textId="77777777" w:rsidR="00E42E81" w:rsidRDefault="00E42E81" w:rsidP="00ED5C89">
      <w:pPr>
        <w:autoSpaceDE w:val="0"/>
        <w:autoSpaceDN w:val="0"/>
        <w:adjustRightInd w:val="0"/>
        <w:spacing w:before="0" w:after="0" w:line="240" w:lineRule="auto"/>
        <w:jc w:val="both"/>
        <w:rPr>
          <w:rFonts w:ascii="Gotham Light" w:hAnsi="Gotham Light" w:cs="Gotham Light"/>
          <w:color w:val="000000"/>
          <w:sz w:val="22"/>
        </w:rPr>
      </w:pPr>
    </w:p>
    <w:p w14:paraId="35F999BD" w14:textId="37BDC158" w:rsidR="00E42E81" w:rsidRDefault="00E42E81" w:rsidP="00ED5C89">
      <w:pPr>
        <w:autoSpaceDE w:val="0"/>
        <w:autoSpaceDN w:val="0"/>
        <w:adjustRightInd w:val="0"/>
        <w:spacing w:before="0" w:after="0" w:line="240" w:lineRule="auto"/>
        <w:jc w:val="both"/>
        <w:rPr>
          <w:rFonts w:ascii="Gotham Light" w:hAnsi="Gotham Light" w:cs="Gotham Light"/>
          <w:color w:val="000000"/>
          <w:sz w:val="22"/>
        </w:rPr>
      </w:pPr>
      <w:r w:rsidRPr="00E42E81">
        <w:rPr>
          <w:rFonts w:ascii="Gotham Light" w:hAnsi="Gotham Light" w:cs="Gotham Light"/>
          <w:color w:val="000000"/>
          <w:sz w:val="22"/>
        </w:rPr>
        <w:t xml:space="preserve">The </w:t>
      </w:r>
      <w:r w:rsidRPr="00E42E81">
        <w:t>As</w:t>
      </w:r>
      <w:r w:rsidRPr="00E42E81">
        <w:rPr>
          <w:rFonts w:ascii="Gotham Light" w:hAnsi="Gotham Light" w:cs="Gotham Light"/>
          <w:color w:val="000000"/>
          <w:sz w:val="22"/>
        </w:rPr>
        <w:t>sociation of Pedestrian and Bicycle Professionals' Bicycle Parking Guidelines, 2</w:t>
      </w:r>
      <w:r w:rsidRPr="00E42E81">
        <w:rPr>
          <w:rFonts w:ascii="Gotham Light" w:hAnsi="Gotham Light" w:cs="Gotham Light"/>
          <w:color w:val="000000"/>
          <w:sz w:val="14"/>
          <w:szCs w:val="14"/>
        </w:rPr>
        <w:t xml:space="preserve">nd </w:t>
      </w:r>
      <w:r w:rsidRPr="00E42E81">
        <w:rPr>
          <w:rFonts w:ascii="Gotham Light" w:hAnsi="Gotham Light" w:cs="Gotham Light"/>
          <w:color w:val="000000"/>
          <w:sz w:val="22"/>
        </w:rPr>
        <w:t xml:space="preserve">Edition, (2010) provides detailed information, design guidance, and installation considerations for bicycle parking racks and related infrastructure. The Guide goes into more specific details than the Essentials of Bike Parking guide. </w:t>
      </w:r>
    </w:p>
    <w:p w14:paraId="6E0F003B" w14:textId="264CBB90" w:rsidR="0062618C" w:rsidRPr="00A8296C" w:rsidRDefault="0062618C" w:rsidP="0062618C">
      <w:pPr>
        <w:pStyle w:val="Heading3"/>
        <w:jc w:val="both"/>
      </w:pPr>
      <w:r>
        <w:t>State Guidance</w:t>
      </w:r>
    </w:p>
    <w:p w14:paraId="5088D251" w14:textId="77777777" w:rsidR="0062618C" w:rsidRDefault="0062618C" w:rsidP="0062618C">
      <w:pPr>
        <w:pStyle w:val="Heading4"/>
        <w:jc w:val="both"/>
      </w:pPr>
      <w:r w:rsidRPr="00AC7AEB">
        <w:t>California Manual on Uniform Traffic Control Devices (CAMUTCD)</w:t>
      </w:r>
    </w:p>
    <w:p w14:paraId="2BF95A26" w14:textId="77777777" w:rsidR="0062618C" w:rsidRDefault="0062618C" w:rsidP="0062618C">
      <w:pPr>
        <w:jc w:val="both"/>
      </w:pPr>
      <w:r w:rsidRPr="00AC7AEB">
        <w:t>The California Manual on Uniform Traffic Control Devices (CAMUTCD) (2014) is an amended</w:t>
      </w:r>
      <w:r>
        <w:t xml:space="preserve"> v</w:t>
      </w:r>
      <w:r w:rsidRPr="00AC7AEB">
        <w:t>ersion of the FHWA MUTCD 2009 edition modified for use in California. While standards</w:t>
      </w:r>
      <w:r>
        <w:t xml:space="preserve"> </w:t>
      </w:r>
      <w:r w:rsidRPr="00AC7AEB">
        <w:t>presented in the CA MUTCD substantially conform to the FHWA MUTCD, the state of California</w:t>
      </w:r>
      <w:r>
        <w:t xml:space="preserve"> </w:t>
      </w:r>
      <w:r w:rsidRPr="00AC7AEB">
        <w:t>follows local practices, laws, and requirements with regards to the signing, striping, and other</w:t>
      </w:r>
      <w:r>
        <w:t xml:space="preserve"> </w:t>
      </w:r>
      <w:r w:rsidRPr="00AC7AEB">
        <w:t>traffic control devices. Revision 6 (March 2021) is the most recent update at publication.</w:t>
      </w:r>
    </w:p>
    <w:p w14:paraId="18042CCA" w14:textId="77777777" w:rsidR="0062618C" w:rsidRDefault="0062618C" w:rsidP="0062618C">
      <w:pPr>
        <w:pStyle w:val="Heading4"/>
        <w:jc w:val="both"/>
      </w:pPr>
      <w:r w:rsidRPr="00AC7AEB">
        <w:t>California Highway Design Manual (HDM)</w:t>
      </w:r>
    </w:p>
    <w:p w14:paraId="7336F1B5" w14:textId="77777777" w:rsidR="0062618C" w:rsidRDefault="0062618C" w:rsidP="0062618C">
      <w:pPr>
        <w:jc w:val="both"/>
      </w:pPr>
      <w:r w:rsidRPr="00AC7AEB">
        <w:t>The California Highway Design Manual (HDM) (Seventh Edition, 2019) establishes uniform policies and procedures to carry out highway design functions for the California Department of Transportation.</w:t>
      </w:r>
    </w:p>
    <w:p w14:paraId="1DE3B307" w14:textId="77777777" w:rsidR="0062618C" w:rsidRDefault="0062618C" w:rsidP="0062618C">
      <w:pPr>
        <w:pStyle w:val="Heading4"/>
        <w:jc w:val="both"/>
      </w:pPr>
      <w:r w:rsidRPr="00AC7AEB">
        <w:t>Complete Intersections: A Guide to Reconstructing Intersections and Interchanges for Bicyclists and Pedestrians</w:t>
      </w:r>
    </w:p>
    <w:p w14:paraId="4357DA33" w14:textId="77777777" w:rsidR="0062618C" w:rsidRDefault="0062618C" w:rsidP="0062618C">
      <w:pPr>
        <w:jc w:val="both"/>
      </w:pPr>
      <w:r w:rsidRPr="00AC7AEB">
        <w:t xml:space="preserve">Complete Intersections: A Guide to Reconstructing Intersections and Interchanges for Bicyclists and Pedestrians (2010) is a </w:t>
      </w:r>
      <w:r>
        <w:t xml:space="preserve">Caltrans </w:t>
      </w:r>
      <w:r w:rsidRPr="00AC7AEB">
        <w:t xml:space="preserve">reference guide that presents information and concepts related to improving conditions for bicyclists and pedestrians at major intersections and interchanges. The </w:t>
      </w:r>
      <w:r w:rsidRPr="00AC7AEB">
        <w:lastRenderedPageBreak/>
        <w:t>Guide can inform minor signage and striping changes to intersections and major modifications and designs for new intersections.</w:t>
      </w:r>
    </w:p>
    <w:p w14:paraId="1C5ABB62" w14:textId="77777777" w:rsidR="0062618C" w:rsidRDefault="0062618C" w:rsidP="0062618C">
      <w:pPr>
        <w:pStyle w:val="Heading4"/>
        <w:jc w:val="both"/>
      </w:pPr>
      <w:r w:rsidRPr="00AC7AEB">
        <w:t>Main Street, California: A Guide for Improving Community and Transportation Vitality</w:t>
      </w:r>
    </w:p>
    <w:p w14:paraId="5FD364CF" w14:textId="77777777" w:rsidR="0062618C" w:rsidRDefault="0062618C" w:rsidP="0062618C">
      <w:pPr>
        <w:jc w:val="both"/>
      </w:pPr>
      <w:r w:rsidRPr="00AC7AEB">
        <w:t>Main Street, California: A Guide for Improving Community and Transportation Vitality (2013) reflects California's current manuals and policies that improve multi-modal access, livability, and sustainability within the transportation system. The Guide recognizes the overlapping and sometimes competing needs of main streets.</w:t>
      </w:r>
    </w:p>
    <w:p w14:paraId="4BCF3A9B" w14:textId="77777777" w:rsidR="0062618C" w:rsidRDefault="0062618C" w:rsidP="0062618C">
      <w:pPr>
        <w:pStyle w:val="Heading4"/>
        <w:jc w:val="both"/>
      </w:pPr>
      <w:r w:rsidRPr="00AC7AEB">
        <w:t>Caltrans Memo: Design Flexibility in Multimodal Design</w:t>
      </w:r>
    </w:p>
    <w:p w14:paraId="68082B3E" w14:textId="77777777" w:rsidR="0062618C" w:rsidRDefault="0062618C" w:rsidP="0062618C">
      <w:pPr>
        <w:jc w:val="both"/>
      </w:pPr>
      <w:r w:rsidRPr="00AC7AEB">
        <w:t>The Caltrans Memo: Design Flexibility in Multimodal Design (2014) encourages flexibility in highway design. The memo stated that "Publications such as the NACTO "Urban Street Design Guide" and "Urban Bikeway Design Guide,"... are resources that Caltrans and local entities can reference when making planning and design decisions on the State highway system and local streets and roads."</w:t>
      </w:r>
    </w:p>
    <w:p w14:paraId="1C6FC8AF" w14:textId="77777777" w:rsidR="0062618C" w:rsidRDefault="0062618C" w:rsidP="0062618C">
      <w:pPr>
        <w:pStyle w:val="Heading4"/>
        <w:jc w:val="both"/>
      </w:pPr>
      <w:r w:rsidRPr="00AC7AEB">
        <w:t>Design Information Bulletin 89-01 (DIB-89) Class IV Bikeway Guidance</w:t>
      </w:r>
    </w:p>
    <w:p w14:paraId="0772AF47" w14:textId="77777777" w:rsidR="0062618C" w:rsidRDefault="0062618C" w:rsidP="0062618C">
      <w:pPr>
        <w:jc w:val="both"/>
      </w:pPr>
      <w:r w:rsidRPr="00AC7AEB">
        <w:t>Design Information Bulletin 89-01 (DIB-89) Class IV Bikeway Guidance from Caltrans provides design guidance and information on Class IV Separated Bikeways and Cycle Tracks.</w:t>
      </w:r>
    </w:p>
    <w:p w14:paraId="59E82E96" w14:textId="070D5D87" w:rsidR="0062618C" w:rsidRDefault="0062618C" w:rsidP="0062618C">
      <w:pPr>
        <w:pStyle w:val="Heading3"/>
        <w:jc w:val="both"/>
      </w:pPr>
      <w:r>
        <w:t>Local/Regional Guidance</w:t>
      </w:r>
    </w:p>
    <w:p w14:paraId="3B502588" w14:textId="77777777" w:rsidR="0062618C" w:rsidRPr="00A8296C" w:rsidRDefault="0062618C" w:rsidP="0062618C">
      <w:pPr>
        <w:jc w:val="both"/>
      </w:pPr>
      <w:r>
        <w:t xml:space="preserve">The references included in this section serves as an example of local and regional guidance. Planning jurisdictions should check with their respective county and neighboring cities to see if they have additional examples of guidance to inform the planning process.  </w:t>
      </w:r>
    </w:p>
    <w:p w14:paraId="0E782E49" w14:textId="77777777" w:rsidR="0062618C" w:rsidRDefault="0062618C" w:rsidP="0062618C">
      <w:pPr>
        <w:pStyle w:val="Heading4"/>
        <w:jc w:val="both"/>
      </w:pPr>
      <w:r w:rsidRPr="00AC7AEB">
        <w:t>AC Transit's Multimodal Corridor Guidelines</w:t>
      </w:r>
    </w:p>
    <w:p w14:paraId="33944F95" w14:textId="77777777" w:rsidR="0062618C" w:rsidRDefault="0062618C" w:rsidP="0062618C">
      <w:pPr>
        <w:jc w:val="both"/>
      </w:pPr>
      <w:r w:rsidRPr="00AC7AEB">
        <w:t>AC Transit's Multimodal Corridor Guidelines (2018) provides design guidance for five different street typologies that include considerations for people walking, biking, waiting for the bus, and bus movements that maximize safety while minimizing conflicts and impacts to bus service.</w:t>
      </w:r>
    </w:p>
    <w:p w14:paraId="0CBCA19C" w14:textId="77777777" w:rsidR="0062618C" w:rsidRDefault="0062618C" w:rsidP="0062618C">
      <w:pPr>
        <w:pStyle w:val="Heading4"/>
        <w:jc w:val="both"/>
      </w:pPr>
      <w:r w:rsidRPr="00AC7AEB">
        <w:t>City of Berkeley Bicycle Boulevard Design Tools and Guidelines</w:t>
      </w:r>
    </w:p>
    <w:p w14:paraId="3B9090EC" w14:textId="77777777" w:rsidR="0062618C" w:rsidRDefault="0062618C" w:rsidP="0062618C">
      <w:pPr>
        <w:jc w:val="both"/>
      </w:pPr>
      <w:r w:rsidRPr="00AC7AEB">
        <w:t>City of Berkeley Bicycle Boulevard Design Tools and Guidelines provide a set of basic tools for the implementation of bicycle boulevards</w:t>
      </w:r>
    </w:p>
    <w:p w14:paraId="341490DE" w14:textId="77777777" w:rsidR="0062618C" w:rsidRDefault="0062618C" w:rsidP="0062618C">
      <w:pPr>
        <w:pStyle w:val="Heading4"/>
        <w:jc w:val="both"/>
      </w:pPr>
      <w:r w:rsidRPr="00AC7AEB">
        <w:t>City of Oakland Design Guidelines for Bicycle Wayfinding Signage</w:t>
      </w:r>
    </w:p>
    <w:p w14:paraId="1406540A" w14:textId="77777777" w:rsidR="0062618C" w:rsidRDefault="0062618C" w:rsidP="0062618C">
      <w:pPr>
        <w:jc w:val="both"/>
      </w:pPr>
      <w:r w:rsidRPr="00AC7AEB">
        <w:t>City of Oakland Design Guidelines for Bicycle Wayfinding Signage provides guidance on the development of signage and way finding for designated bikeways.</w:t>
      </w:r>
    </w:p>
    <w:p w14:paraId="51D2D0BC" w14:textId="77777777" w:rsidR="0062618C" w:rsidRDefault="0062618C" w:rsidP="0062618C">
      <w:pPr>
        <w:pStyle w:val="Heading4"/>
        <w:jc w:val="both"/>
      </w:pPr>
      <w:r w:rsidRPr="00AC7AEB">
        <w:lastRenderedPageBreak/>
        <w:t>Contra Costa Transportation Authority – Best Practices for Pedestrian and Bicycle Treatments</w:t>
      </w:r>
    </w:p>
    <w:p w14:paraId="1F9E929E" w14:textId="77777777" w:rsidR="0062618C" w:rsidRDefault="0062618C" w:rsidP="0062618C">
      <w:pPr>
        <w:jc w:val="both"/>
      </w:pPr>
      <w:r w:rsidRPr="00AC7AEB">
        <w:t>Contra Costa Transportation Authority – Best Practices for Pedestrian and Bicycle Treatments describes best practices in active transportation treatments that can be used in the implementation of the Countywide Bicycle and Pedestrian Plan.</w:t>
      </w:r>
    </w:p>
    <w:p w14:paraId="216B7478" w14:textId="77777777" w:rsidR="0062618C" w:rsidRDefault="0062618C" w:rsidP="0062618C">
      <w:pPr>
        <w:pStyle w:val="Heading4"/>
        <w:jc w:val="both"/>
      </w:pPr>
      <w:r w:rsidRPr="00AC7AEB">
        <w:t xml:space="preserve">West Contra Costa Transit Enhancement Strategic Plan </w:t>
      </w:r>
      <w:r>
        <w:t>&amp;</w:t>
      </w:r>
      <w:r w:rsidRPr="00AC7AEB">
        <w:t xml:space="preserve"> West Contra Costa/Albany Transit Wayfinding Plan</w:t>
      </w:r>
    </w:p>
    <w:p w14:paraId="05AF2C0E" w14:textId="5BBDCF49" w:rsidR="00E42E81" w:rsidRPr="0062618C" w:rsidRDefault="0062618C" w:rsidP="0062618C">
      <w:pPr>
        <w:jc w:val="both"/>
      </w:pPr>
      <w:r>
        <w:t xml:space="preserve">The </w:t>
      </w:r>
      <w:r w:rsidRPr="00AC7AEB">
        <w:t>West Contra Costa Transit Enhancement Strategic Plan and West Contra Costa/Albany Transit Wayfinding Plan identif</w:t>
      </w:r>
      <w:r>
        <w:t>y</w:t>
      </w:r>
      <w:r w:rsidRPr="00AC7AEB">
        <w:t xml:space="preserve"> specific strategies that improve access to transit centers and routes. The Plan also provides concept level design plans that show the suggested location of pedestrian and bicycle signs along designated routes to eight study areas around existing or planned transit centers in Contra Costa County.</w:t>
      </w:r>
    </w:p>
    <w:p w14:paraId="4FAD064D" w14:textId="21A0A58C" w:rsidR="00771C80" w:rsidRDefault="00771C80" w:rsidP="00ED5C89">
      <w:pPr>
        <w:pStyle w:val="Heading2"/>
        <w:jc w:val="both"/>
      </w:pPr>
      <w:bookmarkStart w:id="2" w:name="_Ref112268130"/>
      <w:r>
        <w:t>Funding Sources</w:t>
      </w:r>
      <w:bookmarkEnd w:id="2"/>
    </w:p>
    <w:p w14:paraId="51072B5C" w14:textId="5A398398" w:rsidR="00771C80" w:rsidRPr="00771C80" w:rsidRDefault="00771C80" w:rsidP="00ED5C89">
      <w:pPr>
        <w:jc w:val="both"/>
      </w:pPr>
      <w:r>
        <w:t>Examples of l</w:t>
      </w:r>
      <w:r w:rsidRPr="009E05FF">
        <w:t xml:space="preserve">ocal, regional, state and federal funding opportunities relevant to </w:t>
      </w:r>
      <w:r w:rsidR="0052578C">
        <w:t xml:space="preserve">Local Road Safety Plans, Vision Zero Plans, and Bicycle and Pedestrian Infrastructure Action Plans </w:t>
      </w:r>
      <w:r w:rsidRPr="009E05FF">
        <w:t>are listed below</w:t>
      </w:r>
      <w:r>
        <w:t xml:space="preserve"> with Contra Costa County used as an illustrative </w:t>
      </w:r>
      <w:r w:rsidR="0052578C">
        <w:t>reference</w:t>
      </w:r>
      <w:r>
        <w:t xml:space="preserve"> </w:t>
      </w:r>
      <w:r w:rsidR="0052578C">
        <w:t>for</w:t>
      </w:r>
      <w:r>
        <w:t xml:space="preserve"> county sources</w:t>
      </w:r>
      <w:r w:rsidRPr="009E05FF">
        <w:t>. Where possible, details about upcoming funding application cycles are provided, however, many of these are in flux due</w:t>
      </w:r>
      <w:r>
        <w:t xml:space="preserve"> to</w:t>
      </w:r>
      <w:r w:rsidRPr="009E05FF">
        <w:t xml:space="preserve"> impacts from the ongoing Covid-19 pandemic. </w:t>
      </w:r>
      <w:r>
        <w:t>We</w:t>
      </w:r>
      <w:r w:rsidRPr="009E05FF">
        <w:t xml:space="preserve"> recommend</w:t>
      </w:r>
      <w:r>
        <w:t xml:space="preserve"> </w:t>
      </w:r>
      <w:r w:rsidRPr="009E05FF">
        <w:t>periodically review</w:t>
      </w:r>
      <w:r>
        <w:t>ing</w:t>
      </w:r>
      <w:r w:rsidRPr="009E05FF">
        <w:t xml:space="preserve"> this list and check</w:t>
      </w:r>
      <w:r>
        <w:t>ing</w:t>
      </w:r>
      <w:r w:rsidRPr="009E05FF">
        <w:t xml:space="preserve"> for updates regarding funding </w:t>
      </w:r>
      <w:r w:rsidRPr="0031474B">
        <w:t>availability</w:t>
      </w:r>
      <w:r>
        <w:t xml:space="preserve"> until cycles stabilize</w:t>
      </w:r>
      <w:r w:rsidRPr="0031474B">
        <w:t>.</w:t>
      </w:r>
      <w:r>
        <w:t xml:space="preserve"> Furthermore, since specific grant opportunities come and go, it is recommended to periodically visit the websites of grant managing agencies to see if new opportunities are available. </w:t>
      </w:r>
    </w:p>
    <w:p w14:paraId="4D5D2B83" w14:textId="075F5539" w:rsidR="00C74EC6" w:rsidRDefault="00C74EC6" w:rsidP="00ED5C89">
      <w:pPr>
        <w:pStyle w:val="Heading3"/>
        <w:jc w:val="both"/>
      </w:pPr>
      <w:bookmarkStart w:id="3" w:name="_Toc74223488"/>
      <w:r>
        <w:t>Local and Regional Sources</w:t>
      </w:r>
      <w:bookmarkEnd w:id="3"/>
    </w:p>
    <w:p w14:paraId="648695E4" w14:textId="77777777" w:rsidR="00F527B8" w:rsidRDefault="00F527B8" w:rsidP="00ED5C89">
      <w:pPr>
        <w:pStyle w:val="Heading4"/>
        <w:jc w:val="both"/>
      </w:pPr>
      <w:r>
        <w:t>Developer Fees</w:t>
      </w:r>
    </w:p>
    <w:p w14:paraId="517444C1" w14:textId="333AA77C" w:rsidR="004A7D8F" w:rsidRDefault="00F527B8" w:rsidP="00ED5C89">
      <w:pPr>
        <w:jc w:val="both"/>
      </w:pPr>
      <w:r>
        <w:t>California law allows local governments to establish and charge a fee on residential and non-residential developments to fund public facilities and to service population growth. Public facility fees can be charged to new development based on density and traffic impacts</w:t>
      </w:r>
      <w:r w:rsidR="004A7D8F">
        <w:t xml:space="preserve"> (e.g., trip generation)</w:t>
      </w:r>
      <w:r>
        <w:t>, and can go to a variety of public facilities, one being local roadways.</w:t>
      </w:r>
      <w:r w:rsidR="004A7D8F">
        <w:t xml:space="preserve"> Cities </w:t>
      </w:r>
      <w:r w:rsidR="00BE300A">
        <w:t>can develop policies which allow for bicycle and pedestrian planning, design, and construction costs to be eligible use of these fees.</w:t>
      </w:r>
    </w:p>
    <w:p w14:paraId="6E5036D2" w14:textId="39F307F7" w:rsidR="00F527B8" w:rsidRDefault="00F527B8" w:rsidP="00ED5C89">
      <w:pPr>
        <w:jc w:val="both"/>
      </w:pPr>
      <w:r>
        <w:t>Frequency: not applicable</w:t>
      </w:r>
    </w:p>
    <w:p w14:paraId="3B855683" w14:textId="35557AA4" w:rsidR="004341B1" w:rsidRDefault="004341B1" w:rsidP="00ED5C89">
      <w:pPr>
        <w:pStyle w:val="Heading4"/>
        <w:jc w:val="both"/>
      </w:pPr>
      <w:r>
        <w:t>New Development or Redevelopment/Renovation</w:t>
      </w:r>
    </w:p>
    <w:p w14:paraId="70AAD3A7" w14:textId="37A0AA6E" w:rsidR="00F527B8" w:rsidRDefault="004341B1" w:rsidP="00ED5C89">
      <w:pPr>
        <w:jc w:val="both"/>
      </w:pPr>
      <w:r>
        <w:t xml:space="preserve">Future new development and redevelopment projects including new road construction, resurfacing, and construction projects are one method of providing pedestrian improvements and bike facilities. To ensure that pedestrian and bicycle improvements are included in these projects, it is important </w:t>
      </w:r>
      <w:r>
        <w:lastRenderedPageBreak/>
        <w:t xml:space="preserve">that the review process includes an individual (designated active transportation coordinator) or group to monitor the review process. </w:t>
      </w:r>
    </w:p>
    <w:p w14:paraId="29B71D59" w14:textId="4E8D2D1C" w:rsidR="004341B1" w:rsidRDefault="004341B1" w:rsidP="00ED5C89">
      <w:pPr>
        <w:jc w:val="both"/>
      </w:pPr>
      <w:r>
        <w:t>Frequency: no</w:t>
      </w:r>
      <w:r w:rsidR="004A7D8F">
        <w:t>t</w:t>
      </w:r>
      <w:r>
        <w:t xml:space="preserve"> applicable</w:t>
      </w:r>
    </w:p>
    <w:p w14:paraId="0A5FE733" w14:textId="0E7C8FD8" w:rsidR="004A7D8F" w:rsidRDefault="004A7D8F" w:rsidP="00ED5C89">
      <w:pPr>
        <w:pStyle w:val="Heading4"/>
        <w:jc w:val="both"/>
      </w:pPr>
      <w:r>
        <w:t>Assessment Districts</w:t>
      </w:r>
    </w:p>
    <w:p w14:paraId="5BA70BB0" w14:textId="6A7C63FB" w:rsidR="004A7D8F" w:rsidRDefault="004A7D8F" w:rsidP="00ED5C89">
      <w:pPr>
        <w:jc w:val="both"/>
      </w:pPr>
      <w:r>
        <w:t xml:space="preserve">Different types of assessment districts can be used to fund the construction and maintenance of bikeway facilities. Examples include Mello-Roos Community Family Districts, Infrastructure Financing Districts (SB 308), Open Space Districts, Special Assessment Districts, Tax Increment Financing, or Lighting and Landscape Districts. These types of districts have specific requirements relating the establishment and use of funds. </w:t>
      </w:r>
    </w:p>
    <w:p w14:paraId="411493F0" w14:textId="3A1AC82B" w:rsidR="004A7D8F" w:rsidRPr="004A7D8F" w:rsidRDefault="004A7D8F" w:rsidP="00ED5C89">
      <w:pPr>
        <w:jc w:val="both"/>
      </w:pPr>
      <w:r>
        <w:t xml:space="preserve">Frequency: </w:t>
      </w:r>
      <w:r w:rsidR="00BE300A">
        <w:t>annually, funds levied via property taxes</w:t>
      </w:r>
    </w:p>
    <w:p w14:paraId="0A5B1C28" w14:textId="28F8ED0D" w:rsidR="00C74EC6" w:rsidRDefault="00C74EC6" w:rsidP="00ED5C89">
      <w:pPr>
        <w:pStyle w:val="Heading4"/>
        <w:jc w:val="both"/>
      </w:pPr>
      <w:r>
        <w:t>Contra Costa County Measure J Funding</w:t>
      </w:r>
    </w:p>
    <w:p w14:paraId="6453DCA8" w14:textId="7D28C820" w:rsidR="00C74EC6" w:rsidRDefault="00C74EC6" w:rsidP="00ED5C89">
      <w:pPr>
        <w:jc w:val="both"/>
      </w:pPr>
      <w:r>
        <w:t>Administered through the Contra Costa Transportation Authority (CCTA), Measure J provides funding for countywide and local transportation projects in Contra Costa County.</w:t>
      </w:r>
      <w:r w:rsidR="00F527B8">
        <w:t xml:space="preserve"> </w:t>
      </w:r>
      <w:r w:rsidR="00F527B8" w:rsidRPr="00F527B8">
        <w:t>Eligible</w:t>
      </w:r>
      <w:r w:rsidR="00F527B8">
        <w:t xml:space="preserve"> </w:t>
      </w:r>
      <w:r w:rsidR="00F527B8" w:rsidRPr="00F527B8">
        <w:t>improvements</w:t>
      </w:r>
      <w:r w:rsidR="00F527B8">
        <w:t xml:space="preserve"> </w:t>
      </w:r>
      <w:r w:rsidR="00F527B8" w:rsidRPr="00F527B8">
        <w:t>include</w:t>
      </w:r>
      <w:r w:rsidR="00F527B8">
        <w:t xml:space="preserve"> </w:t>
      </w:r>
      <w:r w:rsidR="00F527B8" w:rsidRPr="00F527B8">
        <w:t>pedestrian,</w:t>
      </w:r>
      <w:r w:rsidR="00F527B8">
        <w:t xml:space="preserve"> </w:t>
      </w:r>
      <w:r w:rsidR="00F527B8" w:rsidRPr="00F527B8">
        <w:t>bicycle,</w:t>
      </w:r>
      <w:r w:rsidR="00F527B8">
        <w:t xml:space="preserve"> </w:t>
      </w:r>
      <w:r w:rsidR="00F527B8" w:rsidRPr="00F527B8">
        <w:t>and</w:t>
      </w:r>
      <w:r w:rsidR="00F527B8">
        <w:t xml:space="preserve"> </w:t>
      </w:r>
      <w:r w:rsidR="00F527B8" w:rsidRPr="00F527B8">
        <w:t>trail</w:t>
      </w:r>
      <w:r w:rsidR="00F527B8">
        <w:t xml:space="preserve"> </w:t>
      </w:r>
      <w:r w:rsidR="00F527B8" w:rsidRPr="00F527B8">
        <w:t>facilities,</w:t>
      </w:r>
      <w:r w:rsidR="00F527B8">
        <w:t xml:space="preserve"> </w:t>
      </w:r>
      <w:r w:rsidR="00F527B8" w:rsidRPr="00F527B8">
        <w:t>local</w:t>
      </w:r>
      <w:r w:rsidR="00F527B8">
        <w:t xml:space="preserve"> </w:t>
      </w:r>
      <w:r w:rsidR="00F527B8" w:rsidRPr="00F527B8">
        <w:t>streets</w:t>
      </w:r>
      <w:r w:rsidR="00F527B8">
        <w:t xml:space="preserve"> </w:t>
      </w:r>
      <w:r w:rsidR="00F527B8" w:rsidRPr="00F527B8">
        <w:t>and</w:t>
      </w:r>
      <w:r w:rsidR="00F527B8">
        <w:t xml:space="preserve"> </w:t>
      </w:r>
      <w:r w:rsidR="00F527B8" w:rsidRPr="00F527B8">
        <w:t>road</w:t>
      </w:r>
      <w:r w:rsidR="00F527B8">
        <w:t xml:space="preserve"> </w:t>
      </w:r>
      <w:r w:rsidR="00F527B8" w:rsidRPr="00F527B8">
        <w:t>maintenance</w:t>
      </w:r>
      <w:r w:rsidR="00F527B8">
        <w:t xml:space="preserve"> </w:t>
      </w:r>
      <w:r w:rsidR="00F527B8" w:rsidRPr="00F527B8">
        <w:t>and</w:t>
      </w:r>
      <w:r w:rsidR="00F527B8">
        <w:t xml:space="preserve"> </w:t>
      </w:r>
      <w:r w:rsidR="00F527B8" w:rsidRPr="00F527B8">
        <w:t>transportation</w:t>
      </w:r>
      <w:r w:rsidR="00F527B8">
        <w:t xml:space="preserve"> </w:t>
      </w:r>
      <w:r w:rsidR="00F527B8" w:rsidRPr="00F527B8">
        <w:t>for</w:t>
      </w:r>
      <w:r w:rsidR="00F527B8">
        <w:t xml:space="preserve"> </w:t>
      </w:r>
      <w:r w:rsidR="00F527B8" w:rsidRPr="00F527B8">
        <w:t>livable</w:t>
      </w:r>
      <w:r w:rsidR="00F527B8">
        <w:t xml:space="preserve"> </w:t>
      </w:r>
      <w:r w:rsidR="00F527B8" w:rsidRPr="00F527B8">
        <w:t>communities</w:t>
      </w:r>
      <w:r w:rsidR="00F527B8">
        <w:t>.</w:t>
      </w:r>
    </w:p>
    <w:p w14:paraId="004506BB" w14:textId="280AF74B" w:rsidR="00C74EC6" w:rsidRDefault="00C74EC6" w:rsidP="00ED5C89">
      <w:pPr>
        <w:jc w:val="both"/>
      </w:pPr>
      <w:r>
        <w:t>Frequency: apportioned annually by CCTA</w:t>
      </w:r>
    </w:p>
    <w:p w14:paraId="47BDBA1C" w14:textId="26EB20C9" w:rsidR="00865201" w:rsidRDefault="00865201" w:rsidP="00ED5C89">
      <w:pPr>
        <w:pStyle w:val="Heading4"/>
        <w:jc w:val="both"/>
      </w:pPr>
      <w:r>
        <w:t>Transportation Fund for Clean Air, County Program Manager Fund</w:t>
      </w:r>
    </w:p>
    <w:p w14:paraId="2555848E" w14:textId="35862279" w:rsidR="00865201" w:rsidRDefault="00865201" w:rsidP="00ED5C89">
      <w:pPr>
        <w:jc w:val="both"/>
      </w:pPr>
      <w:r>
        <w:t>The Transportation Fund for Clean Air</w:t>
      </w:r>
      <w:r w:rsidR="00BE300A">
        <w:t xml:space="preserve"> (TFCA)</w:t>
      </w:r>
      <w:r>
        <w:t xml:space="preserve"> funds </w:t>
      </w:r>
      <w:r w:rsidR="00F209C0">
        <w:t xml:space="preserve">projects focused on ridesharing, clean air vehicles and infrastructure, arterial management, engine replacement and retrofit, and </w:t>
      </w:r>
      <w:r>
        <w:t>bicycle facilities including paths, lanes, routes, lockers, and racks. Funds are administered by the Contra Costa Transportation Authority</w:t>
      </w:r>
      <w:r w:rsidR="00BE300A">
        <w:t xml:space="preserve"> on a first-come, first-served basis.</w:t>
      </w:r>
    </w:p>
    <w:p w14:paraId="060F3FC0" w14:textId="497A42AC" w:rsidR="00865201" w:rsidRDefault="00865201" w:rsidP="00ED5C89">
      <w:pPr>
        <w:jc w:val="both"/>
      </w:pPr>
      <w:r w:rsidRPr="00F209C0">
        <w:t xml:space="preserve">Frequency: </w:t>
      </w:r>
      <w:r w:rsidR="00F209C0" w:rsidRPr="00F209C0">
        <w:t>annual</w:t>
      </w:r>
      <w:r w:rsidR="00F209C0">
        <w:t xml:space="preserve"> funding cycle</w:t>
      </w:r>
    </w:p>
    <w:p w14:paraId="4C5FF305" w14:textId="77F34681" w:rsidR="00865201" w:rsidRDefault="00865201" w:rsidP="00ED5C89">
      <w:pPr>
        <w:pStyle w:val="Heading4"/>
        <w:jc w:val="both"/>
      </w:pPr>
      <w:r>
        <w:t>511 Contra Costa Bike Rack and Locker Program</w:t>
      </w:r>
    </w:p>
    <w:p w14:paraId="2DFF32C6" w14:textId="7A48403F" w:rsidR="00865201" w:rsidRDefault="00865201" w:rsidP="00ED5C89">
      <w:pPr>
        <w:jc w:val="both"/>
      </w:pPr>
      <w:r>
        <w:t>511 Contra Costa is a countywide program that strives to reduce traffic congestion and improve air quality by providing the public with resources and tools that promote mobility options beyond driving alone. Eligible projects include bicycle parking racks and lockers. Funds are programmed by Contra Costa County.</w:t>
      </w:r>
    </w:p>
    <w:p w14:paraId="4AE4C9A9" w14:textId="00CDB1D0" w:rsidR="00865201" w:rsidRDefault="00865201" w:rsidP="00ED5C89">
      <w:pPr>
        <w:jc w:val="both"/>
      </w:pPr>
      <w:r w:rsidRPr="00F209C0">
        <w:t>Frequency:</w:t>
      </w:r>
      <w:r w:rsidR="00F209C0" w:rsidRPr="00F209C0">
        <w:t xml:space="preserve"> </w:t>
      </w:r>
      <w:r w:rsidR="00F209C0">
        <w:t>ongoing funding opportunities</w:t>
      </w:r>
    </w:p>
    <w:p w14:paraId="2BF794FA" w14:textId="4E70EAC0" w:rsidR="00865201" w:rsidRDefault="00865201" w:rsidP="00ED5C89">
      <w:pPr>
        <w:pStyle w:val="Heading4"/>
        <w:jc w:val="both"/>
      </w:pPr>
      <w:r>
        <w:t>One Bay Area Grant</w:t>
      </w:r>
    </w:p>
    <w:p w14:paraId="5CEA9A65" w14:textId="4E3FBD9E" w:rsidR="00865201" w:rsidRDefault="00865201" w:rsidP="00ED5C89">
      <w:pPr>
        <w:jc w:val="both"/>
      </w:pPr>
      <w:r>
        <w:t xml:space="preserve">The One Bay Area Grant (OBAG) program </w:t>
      </w:r>
      <w:r w:rsidR="00F209C0">
        <w:t>guides the distribution of funds from the Federal Highway Administration</w:t>
      </w:r>
      <w:r>
        <w:t xml:space="preserve"> for projects within Priority Development Areas (PDAs) in the region that</w:t>
      </w:r>
      <w:r w:rsidR="00062DE8">
        <w:t xml:space="preserve"> that </w:t>
      </w:r>
      <w:r w:rsidR="00062DE8">
        <w:lastRenderedPageBreak/>
        <w:t>improve safety, spur economic development, and help the Bay Area meet climate change and air quality improvement goals.</w:t>
      </w:r>
      <w:r>
        <w:t xml:space="preserve"> </w:t>
      </w:r>
      <w:r w:rsidR="00062DE8" w:rsidRPr="00062DE8">
        <w:t>The OBAG 3 program is divided into a Regional Program, managed by MTC, and a County &amp; Local Program, managed by MTC in partnership with the nine Bay Area County Transportation Agencies (CTAs).</w:t>
      </w:r>
    </w:p>
    <w:p w14:paraId="3B8C3AF8" w14:textId="20032AF4" w:rsidR="00865201" w:rsidRDefault="008E0BC1" w:rsidP="00ED5C89">
      <w:pPr>
        <w:jc w:val="both"/>
      </w:pPr>
      <w:r>
        <w:t xml:space="preserve">Frequency: </w:t>
      </w:r>
      <w:r w:rsidR="00062DE8">
        <w:t>three-year cycle</w:t>
      </w:r>
    </w:p>
    <w:p w14:paraId="0771EF60" w14:textId="4BCAE904" w:rsidR="008E0BC1" w:rsidRDefault="008E0BC1" w:rsidP="00ED5C89">
      <w:pPr>
        <w:pStyle w:val="Heading4"/>
        <w:jc w:val="both"/>
      </w:pPr>
      <w:r>
        <w:t>Transportation Development Act Article 3</w:t>
      </w:r>
    </w:p>
    <w:p w14:paraId="425A10A6" w14:textId="75392886" w:rsidR="008E0BC1" w:rsidRDefault="008E0BC1" w:rsidP="00ED5C89">
      <w:pPr>
        <w:jc w:val="both"/>
      </w:pPr>
      <w:r>
        <w:t>Transportation Development Act Article 3 (TDA 3) provides funding annually for bicycle and pedestrian projects. Two percent of TDA 3 funds collected within the county are used for TDA 3 projects. MTC policies require that all projects be reviewed by a local bicycle and pedestrian advisory council or similar body prior to granting approval.</w:t>
      </w:r>
    </w:p>
    <w:p w14:paraId="0DF9D41C" w14:textId="00FCD3D5" w:rsidR="008E0BC1" w:rsidRPr="008E0BC1" w:rsidRDefault="008E0BC1" w:rsidP="00ED5C89">
      <w:pPr>
        <w:pStyle w:val="Heading4"/>
        <w:jc w:val="both"/>
      </w:pPr>
      <w:r>
        <w:t>Climate Initiatives Innovative Grants Fund</w:t>
      </w:r>
    </w:p>
    <w:p w14:paraId="3F03400B" w14:textId="5733F187" w:rsidR="008E0BC1" w:rsidRDefault="004341B1" w:rsidP="00ED5C89">
      <w:pPr>
        <w:jc w:val="both"/>
      </w:pPr>
      <w:r>
        <w:t>MTC’s Climate Initiatives Program promotes innovative ways to reduce greenhouse gas emissions in the Bay Area; and taps federal funding for pair of competitive grant programs. Innovative grants of $1 million and are used to support high-impact projects that can be replicated around the region.</w:t>
      </w:r>
      <w:r w:rsidR="00AB3B9B">
        <w:t xml:space="preserve"> </w:t>
      </w:r>
      <w:r w:rsidR="00AB3B9B" w:rsidRPr="00AB3B9B">
        <w:t>Funding for climate initiatives comes primarily through the federal Congestion Mitigation and Air Quality Improvement program.</w:t>
      </w:r>
    </w:p>
    <w:p w14:paraId="285D27B6" w14:textId="77777777" w:rsidR="00C74EC6" w:rsidRDefault="00C74EC6" w:rsidP="00ED5C89">
      <w:pPr>
        <w:jc w:val="both"/>
        <w:rPr>
          <w:rFonts w:eastAsiaTheme="majorEastAsia" w:cstheme="majorBidi"/>
          <w:i/>
          <w:iCs/>
          <w:color w:val="1B5633"/>
          <w:szCs w:val="24"/>
        </w:rPr>
      </w:pPr>
      <w:r>
        <w:rPr>
          <w:rFonts w:eastAsiaTheme="majorEastAsia" w:cstheme="majorBidi"/>
          <w:i/>
          <w:iCs/>
          <w:color w:val="1B5633"/>
          <w:szCs w:val="24"/>
        </w:rPr>
        <w:t>Lifeline Transportation Program</w:t>
      </w:r>
    </w:p>
    <w:p w14:paraId="18C93EAC" w14:textId="77777777" w:rsidR="00C74EC6" w:rsidRDefault="00C74EC6" w:rsidP="00ED5C89">
      <w:pPr>
        <w:jc w:val="both"/>
      </w:pPr>
      <w:r>
        <w:t>The Metropolitan Transportation Commission (MTC) has created the Lifeline Transportation Program to evaluate state and federal funds to provide grants for mobility and accessibility needs in low-income communities across the Bay Area. New guidelines are established for each cycle and the projects must address transportation gaps or barriers identified in community-based transportation plans or other local planning efforts in low-income neighborhoods.</w:t>
      </w:r>
    </w:p>
    <w:p w14:paraId="7B75FFE2" w14:textId="77777777" w:rsidR="00C74EC6" w:rsidRDefault="00C74EC6" w:rsidP="00ED5C89">
      <w:pPr>
        <w:jc w:val="both"/>
      </w:pPr>
      <w:r>
        <w:t>Frequency: biennial funding cycle</w:t>
      </w:r>
    </w:p>
    <w:p w14:paraId="78E6722A" w14:textId="77777777" w:rsidR="00C74EC6" w:rsidRDefault="00C74EC6" w:rsidP="00ED5C89">
      <w:pPr>
        <w:jc w:val="both"/>
        <w:rPr>
          <w:rFonts w:eastAsiaTheme="majorEastAsia" w:cstheme="majorBidi"/>
          <w:i/>
          <w:iCs/>
          <w:color w:val="1B5633"/>
          <w:szCs w:val="24"/>
        </w:rPr>
      </w:pPr>
      <w:r w:rsidRPr="000B500E">
        <w:rPr>
          <w:rFonts w:eastAsiaTheme="majorEastAsia" w:cstheme="majorBidi"/>
          <w:i/>
          <w:iCs/>
          <w:color w:val="1B5633"/>
          <w:szCs w:val="24"/>
        </w:rPr>
        <w:t>Program for Arterial System Synchronization</w:t>
      </w:r>
      <w:r>
        <w:rPr>
          <w:rFonts w:eastAsiaTheme="majorEastAsia" w:cstheme="majorBidi"/>
          <w:i/>
          <w:iCs/>
          <w:color w:val="1B5633"/>
          <w:szCs w:val="24"/>
        </w:rPr>
        <w:t xml:space="preserve"> (PASS)</w:t>
      </w:r>
    </w:p>
    <w:p w14:paraId="3BB6B935" w14:textId="77777777" w:rsidR="00C74EC6" w:rsidRDefault="00C74EC6" w:rsidP="00ED5C89">
      <w:pPr>
        <w:jc w:val="both"/>
      </w:pPr>
      <w:r>
        <w:t>PASS delivers financial and technical assistance to cities and counties to enhance signal coordination across jurisdictions. This includes engineering help for local governments seeking to re-time signals, adjustments to existing traffic-responsive timing systems, “flush” plans for managing traffic incident, and more.</w:t>
      </w:r>
    </w:p>
    <w:p w14:paraId="6BEBFB25" w14:textId="77777777" w:rsidR="00C74EC6" w:rsidRPr="009E05FF" w:rsidRDefault="00C74EC6" w:rsidP="00ED5C89">
      <w:pPr>
        <w:jc w:val="both"/>
        <w:rPr>
          <w:b/>
          <w:bCs/>
        </w:rPr>
      </w:pPr>
      <w:r>
        <w:t>Frequency: annual funding cycle</w:t>
      </w:r>
    </w:p>
    <w:p w14:paraId="570EB2ED" w14:textId="77777777" w:rsidR="00C74EC6" w:rsidRDefault="00C74EC6" w:rsidP="00ED5C89">
      <w:pPr>
        <w:jc w:val="both"/>
        <w:rPr>
          <w:rFonts w:eastAsiaTheme="majorEastAsia" w:cstheme="majorBidi"/>
          <w:i/>
          <w:iCs/>
          <w:color w:val="1B5633"/>
          <w:szCs w:val="24"/>
        </w:rPr>
      </w:pPr>
      <w:r w:rsidRPr="00474427">
        <w:rPr>
          <w:rFonts w:eastAsiaTheme="majorEastAsia" w:cstheme="majorBidi"/>
          <w:i/>
          <w:iCs/>
          <w:color w:val="1B5633"/>
          <w:szCs w:val="24"/>
        </w:rPr>
        <w:t>Transportation Development Act Article 3</w:t>
      </w:r>
      <w:r>
        <w:rPr>
          <w:rFonts w:eastAsiaTheme="majorEastAsia" w:cstheme="majorBidi"/>
          <w:i/>
          <w:iCs/>
          <w:color w:val="1B5633"/>
          <w:szCs w:val="24"/>
        </w:rPr>
        <w:t xml:space="preserve"> (TDA3) Funding</w:t>
      </w:r>
    </w:p>
    <w:p w14:paraId="69F30AEE" w14:textId="77777777" w:rsidR="00C74EC6" w:rsidRDefault="00C74EC6" w:rsidP="00ED5C89">
      <w:pPr>
        <w:jc w:val="both"/>
      </w:pPr>
      <w:r>
        <w:t xml:space="preserve">Administered through the Metropolitan Transportation Committee (MTC), TDA3 </w:t>
      </w:r>
      <w:r w:rsidRPr="000B500E">
        <w:t>provides funding annually for bicycle and pedestrian projects.</w:t>
      </w:r>
      <w:r>
        <w:t xml:space="preserve"> </w:t>
      </w:r>
      <w:r w:rsidRPr="000B500E">
        <w:t xml:space="preserve">Each county coordinates a consolidated annual request </w:t>
      </w:r>
      <w:r w:rsidRPr="000B500E">
        <w:lastRenderedPageBreak/>
        <w:t>for projects to be funded in the county. Some counties competitively select projects, while other counties distribute the funds to jurisdictions based on population.</w:t>
      </w:r>
    </w:p>
    <w:p w14:paraId="2BF74EB0" w14:textId="77777777" w:rsidR="00C74EC6" w:rsidRDefault="00C74EC6" w:rsidP="00ED5C89">
      <w:pPr>
        <w:jc w:val="both"/>
      </w:pPr>
      <w:r>
        <w:t>Frequency: annual funding cycle</w:t>
      </w:r>
    </w:p>
    <w:p w14:paraId="499283F0" w14:textId="77777777" w:rsidR="00C74EC6" w:rsidRDefault="00C74EC6" w:rsidP="00ED5C89">
      <w:pPr>
        <w:pStyle w:val="Heading3"/>
        <w:jc w:val="both"/>
      </w:pPr>
      <w:bookmarkStart w:id="4" w:name="_Toc74223489"/>
      <w:r>
        <w:t>State Sources</w:t>
      </w:r>
      <w:bookmarkEnd w:id="4"/>
    </w:p>
    <w:p w14:paraId="14DC6B67" w14:textId="77777777" w:rsidR="00C74EC6" w:rsidRPr="001C76C9" w:rsidRDefault="00C74EC6" w:rsidP="00ED5C89">
      <w:pPr>
        <w:pStyle w:val="Heading4"/>
        <w:jc w:val="both"/>
      </w:pPr>
      <w:r>
        <w:t>Active Transportation Program (ATP)</w:t>
      </w:r>
    </w:p>
    <w:p w14:paraId="67110065" w14:textId="77777777" w:rsidR="00C74EC6" w:rsidRDefault="00C74EC6" w:rsidP="00ED5C89">
      <w:pPr>
        <w:jc w:val="both"/>
      </w:pPr>
      <w:r>
        <w:t>ATP is a statewide competitive grant application process with the goal of encouraging increased use of active modes of transportation. The ATP consolidates existing federal and state transportation programs, including the Transportation Alternatives Program (TAP), Bicycle Transportation Account (BTA), and State Safe Routes to School (SRTS), into a single program with a focus to make California a national leader in active transportation. The ATP is administered by the Division of Local Assistance, Office of State Programs.</w:t>
      </w:r>
    </w:p>
    <w:p w14:paraId="12490274" w14:textId="77777777" w:rsidR="00C74EC6" w:rsidRDefault="00C74EC6" w:rsidP="00ED5C89">
      <w:pPr>
        <w:jc w:val="both"/>
      </w:pPr>
      <w:r>
        <w:t>Frequency: biennial funding cycle</w:t>
      </w:r>
    </w:p>
    <w:p w14:paraId="2CC5E905" w14:textId="77777777" w:rsidR="00C74EC6" w:rsidRPr="00F14136" w:rsidRDefault="00C74EC6" w:rsidP="00ED5C89">
      <w:pPr>
        <w:pStyle w:val="Heading4"/>
        <w:jc w:val="both"/>
      </w:pPr>
      <w:r w:rsidRPr="00F14136">
        <w:t xml:space="preserve">California Natural Resources Agency Environmental Enhancement and Mitigation </w:t>
      </w:r>
      <w:r>
        <w:t xml:space="preserve">(EEM) </w:t>
      </w:r>
      <w:r w:rsidRPr="00F14136">
        <w:t xml:space="preserve">Program </w:t>
      </w:r>
    </w:p>
    <w:p w14:paraId="3F892A46" w14:textId="77777777" w:rsidR="00C74EC6" w:rsidRPr="00F14136" w:rsidRDefault="00C74EC6" w:rsidP="00ED5C89">
      <w:pPr>
        <w:jc w:val="both"/>
      </w:pPr>
      <w:r w:rsidRPr="00F14136">
        <w:t xml:space="preserve">This program supports projects that "contribute to mitigation of the environmental effects of transportation facilities." According to the program guidelines, projects that fall under the following category can apply: "Mitigation Projects Beyond the Scope of the Lead Agency responsible for assessing the environmental impact of the proposed transportation improvement." </w:t>
      </w:r>
    </w:p>
    <w:p w14:paraId="0C27A7E2" w14:textId="77777777" w:rsidR="00C74EC6" w:rsidRPr="009E05FF" w:rsidRDefault="00C74EC6" w:rsidP="00ED5C89">
      <w:pPr>
        <w:jc w:val="both"/>
      </w:pPr>
      <w:r w:rsidRPr="009E05FF">
        <w:t>Frequency: annual funding cycle</w:t>
      </w:r>
    </w:p>
    <w:p w14:paraId="50317DBA" w14:textId="77777777" w:rsidR="00C74EC6" w:rsidRPr="00302C24" w:rsidRDefault="00C74EC6" w:rsidP="00ED5C89">
      <w:pPr>
        <w:pStyle w:val="Heading4"/>
        <w:jc w:val="both"/>
      </w:pPr>
      <w:r w:rsidRPr="00302C24">
        <w:t xml:space="preserve">California Natural Resources Agency Urban Greening Program </w:t>
      </w:r>
    </w:p>
    <w:p w14:paraId="15B1397D" w14:textId="77777777" w:rsidR="00C74EC6" w:rsidRDefault="00C74EC6" w:rsidP="00ED5C89">
      <w:pPr>
        <w:jc w:val="both"/>
      </w:pPr>
      <w:r w:rsidRPr="00302C24">
        <w:t xml:space="preserve">This program supports projects that "use natural systems or systems that mimic natural systems to achieve multiple benefits." Eligible projects include "Non-motorized urban trails that provide safe routes for travel between residences, workplaces, commercial centers, and schools." </w:t>
      </w:r>
    </w:p>
    <w:p w14:paraId="4AF73FFC" w14:textId="77777777" w:rsidR="00C74EC6" w:rsidRPr="0020268E" w:rsidRDefault="00C74EC6" w:rsidP="00ED5C89">
      <w:pPr>
        <w:jc w:val="both"/>
      </w:pPr>
      <w:r w:rsidRPr="0020268E">
        <w:t>Frequency: biennial funding cycle</w:t>
      </w:r>
    </w:p>
    <w:p w14:paraId="65E06E1A" w14:textId="77777777" w:rsidR="00C74EC6" w:rsidRPr="001C76C9" w:rsidRDefault="00C74EC6" w:rsidP="00ED5C89">
      <w:pPr>
        <w:pStyle w:val="Heading4"/>
        <w:jc w:val="both"/>
      </w:pPr>
      <w:r w:rsidRPr="001C76C9">
        <w:t>California Office of Traffic Safety (OTS) Grant Program</w:t>
      </w:r>
    </w:p>
    <w:p w14:paraId="6DECC312" w14:textId="77777777" w:rsidR="00C74EC6" w:rsidRDefault="00C74EC6" w:rsidP="00ED5C89">
      <w:pPr>
        <w:jc w:val="both"/>
      </w:pPr>
      <w:r w:rsidRPr="001C76C9">
        <w:t xml:space="preserve">OTS administers traffic safety grants in the following areas: Alcohol Impaired Driving, Distracted Driving, Drug-Impaired Driving, Emergency Medical Services, Motorcycle Safety, Occupant Protection, Pedestrian and Bicycle Safety, Police Traffic Services, Public Relations, Advertising, and Roadway Safety and Traffic Records. </w:t>
      </w:r>
      <w:r>
        <w:t xml:space="preserve"> This funding is primarily geared to enforcement and outreach efforts.</w:t>
      </w:r>
    </w:p>
    <w:p w14:paraId="2F046B66" w14:textId="77777777" w:rsidR="00C74EC6" w:rsidRPr="001C76C9" w:rsidRDefault="00C74EC6" w:rsidP="00ED5C89">
      <w:pPr>
        <w:jc w:val="both"/>
      </w:pPr>
      <w:r>
        <w:t>Frequency: annual funding cycle</w:t>
      </w:r>
    </w:p>
    <w:p w14:paraId="1F783314" w14:textId="77777777" w:rsidR="00C74EC6" w:rsidRDefault="00C74EC6" w:rsidP="00ED5C89">
      <w:pPr>
        <w:pStyle w:val="Heading4"/>
        <w:jc w:val="both"/>
      </w:pPr>
      <w:r>
        <w:lastRenderedPageBreak/>
        <w:t xml:space="preserve">California Strategic Growth Council (SGC) Transformative Climate Communities (TCC) Program </w:t>
      </w:r>
    </w:p>
    <w:p w14:paraId="614C4DF8" w14:textId="77777777" w:rsidR="00C74EC6" w:rsidRDefault="00C74EC6" w:rsidP="00ED5C89">
      <w:pPr>
        <w:jc w:val="both"/>
      </w:pPr>
      <w:r>
        <w:t xml:space="preserve">The Transformative Climate Communities (TCC) Program empowers the communities most impacted by pollution to choose their own goals, strategies, and projects to reduce greenhouse gas emissions and local air pollution. </w:t>
      </w:r>
    </w:p>
    <w:p w14:paraId="47581CC7" w14:textId="77777777" w:rsidR="00C74EC6" w:rsidRPr="0020268E" w:rsidRDefault="00C74EC6" w:rsidP="00ED5C89">
      <w:pPr>
        <w:jc w:val="both"/>
      </w:pPr>
      <w:r w:rsidRPr="0020268E">
        <w:t>Frequency: annual funding cycle</w:t>
      </w:r>
    </w:p>
    <w:p w14:paraId="43DD630F" w14:textId="77777777" w:rsidR="00C74EC6" w:rsidRPr="0020268E" w:rsidRDefault="00C74EC6" w:rsidP="00ED5C89">
      <w:pPr>
        <w:pStyle w:val="Heading4"/>
        <w:jc w:val="both"/>
      </w:pPr>
      <w:r w:rsidRPr="0020268E">
        <w:t xml:space="preserve">Caltrans Strategic Partnerships Grants </w:t>
      </w:r>
    </w:p>
    <w:p w14:paraId="1F2E0A72" w14:textId="77777777" w:rsidR="00C74EC6" w:rsidRPr="00816E94" w:rsidRDefault="00C74EC6" w:rsidP="00ED5C89">
      <w:pPr>
        <w:jc w:val="both"/>
      </w:pPr>
      <w:r>
        <w:t>These grants, a subset of Caltrans’ Sustainable Transportation Planning Grant Program, f</w:t>
      </w:r>
      <w:r w:rsidRPr="00A84AF1">
        <w:t>und multi-modal planning studies, with a focus on transit, of regional, interregional, and statewide significance</w:t>
      </w:r>
      <w:r>
        <w:t xml:space="preserve">. Studies are conducted </w:t>
      </w:r>
      <w:r w:rsidRPr="00A84AF1">
        <w:t>in partnership with Caltrans</w:t>
      </w:r>
      <w:r>
        <w:t xml:space="preserve"> and must </w:t>
      </w:r>
      <w:r w:rsidRPr="00A84AF1">
        <w:t>assist in achieving the Caltrans Mission and Grant Program Objectives</w:t>
      </w:r>
      <w:r>
        <w:t>.</w:t>
      </w:r>
    </w:p>
    <w:p w14:paraId="445382A4" w14:textId="77777777" w:rsidR="00C74EC6" w:rsidRPr="009E05FF" w:rsidRDefault="00C74EC6" w:rsidP="00ED5C89">
      <w:pPr>
        <w:jc w:val="both"/>
      </w:pPr>
      <w:r w:rsidRPr="009E05FF">
        <w:t>Frequency: annual funding cycle</w:t>
      </w:r>
    </w:p>
    <w:p w14:paraId="528AED3B" w14:textId="77777777" w:rsidR="00C74EC6" w:rsidRPr="00C2103C" w:rsidRDefault="00C74EC6" w:rsidP="00ED5C89">
      <w:pPr>
        <w:jc w:val="both"/>
        <w:rPr>
          <w:rStyle w:val="IntenseEmphasis"/>
        </w:rPr>
      </w:pPr>
      <w:r w:rsidRPr="00C2103C">
        <w:rPr>
          <w:rStyle w:val="IntenseEmphasis"/>
        </w:rPr>
        <w:t>Clean California</w:t>
      </w:r>
    </w:p>
    <w:p w14:paraId="36BBC255" w14:textId="77777777" w:rsidR="00C74EC6" w:rsidRPr="00A7729B" w:rsidRDefault="00C74EC6" w:rsidP="00ED5C89">
      <w:pPr>
        <w:jc w:val="both"/>
        <w:rPr>
          <w:szCs w:val="20"/>
        </w:rPr>
      </w:pPr>
      <w:r w:rsidRPr="00A7729B">
        <w:rPr>
          <w:szCs w:val="20"/>
        </w:rPr>
        <w:t xml:space="preserve">The Clean California Local Grant Program (CCLGP), operated by Caltrans, was created by AB 149 in 2021 to </w:t>
      </w:r>
      <w:r w:rsidRPr="00A7729B">
        <w:rPr>
          <w:rFonts w:cs="Century Gothic"/>
          <w:color w:val="000000"/>
          <w:szCs w:val="20"/>
        </w:rPr>
        <w:t xml:space="preserve">beautify and clean up local streets and roads, tribal lands, parks, pathways, transit centers, and other public spaces. The program will allocate </w:t>
      </w:r>
      <w:r w:rsidRPr="00A7729B">
        <w:rPr>
          <w:szCs w:val="20"/>
        </w:rPr>
        <w:t>$296 million in state funds, in grants not to exceed $5 million, to local and regional public agencies that install beautification measures and art in public spaces and remove litter and debris to enhance communities and improve spaces for walking and recreation. The goals of the CCLGP are to: reduce the amount of waste and debris within public rights-of-way, pathways, parks, transit centers, and other public spaces; enhance, rehabilitate, restore, or install measures to beautify and improve public spaces and mitigate the urban heat island effect; enhance public health, cultural connection, and community placemaking by improving public spaces for walking and recreation; and advance equity for underserved communities.</w:t>
      </w:r>
    </w:p>
    <w:p w14:paraId="5C1AFECF" w14:textId="77777777" w:rsidR="00C74EC6" w:rsidRDefault="00C74EC6" w:rsidP="00ED5C89">
      <w:pPr>
        <w:jc w:val="both"/>
      </w:pPr>
      <w:r>
        <w:t>Frequency: three-year cycle</w:t>
      </w:r>
    </w:p>
    <w:p w14:paraId="3FF7A979" w14:textId="77777777" w:rsidR="00C74EC6" w:rsidRPr="001C76C9" w:rsidRDefault="00C74EC6" w:rsidP="00ED5C89">
      <w:pPr>
        <w:pStyle w:val="Heading4"/>
        <w:jc w:val="both"/>
      </w:pPr>
      <w:r w:rsidRPr="001C76C9">
        <w:t>Highway Safety Improvement Program (HSIP)</w:t>
      </w:r>
    </w:p>
    <w:p w14:paraId="1B2D6EBC" w14:textId="77777777" w:rsidR="00C74EC6" w:rsidRPr="001C76C9" w:rsidRDefault="00C74EC6" w:rsidP="00ED5C89">
      <w:pPr>
        <w:jc w:val="both"/>
      </w:pPr>
      <w:r w:rsidRPr="001C76C9">
        <w:t xml:space="preserve">California's Local HSIP focuses on infrastructure projects with nationally recognized crash reduction factors (CRFs). Local HSIP projects must be identified based on collision experience, collision potential, collision rate, or other data-supported means. </w:t>
      </w:r>
      <w:r>
        <w:t xml:space="preserve"> There are opportunities to include systemic safety projects as well.</w:t>
      </w:r>
    </w:p>
    <w:p w14:paraId="38FDEBBA" w14:textId="1784F46F" w:rsidR="00C74EC6" w:rsidRDefault="00C74EC6" w:rsidP="00ED5C89">
      <w:pPr>
        <w:jc w:val="both"/>
      </w:pPr>
      <w:r w:rsidRPr="009E05FF">
        <w:t>Frequency: annual funding cycle</w:t>
      </w:r>
    </w:p>
    <w:p w14:paraId="62A21599" w14:textId="623A6ED6" w:rsidR="00D01040" w:rsidRDefault="00D01040" w:rsidP="00ED5C89">
      <w:pPr>
        <w:pStyle w:val="Heading4"/>
        <w:jc w:val="both"/>
      </w:pPr>
      <w:r>
        <w:lastRenderedPageBreak/>
        <w:t>Recreational Trails Program</w:t>
      </w:r>
    </w:p>
    <w:p w14:paraId="1890C564" w14:textId="0015D117" w:rsidR="00D01040" w:rsidRDefault="00D01040" w:rsidP="00ED5C89">
      <w:pPr>
        <w:jc w:val="both"/>
      </w:pPr>
      <w:r>
        <w:t>The Recreational Trails Program helps provide recreational trails for both motorized and non-motorized trail use. Eligible products include trail maintenance and restoration, trailside and trailhead facilities, equipment for maintenance, new trail construction, and more. Funds are programmed by the California Department of Parks and Recreation.</w:t>
      </w:r>
    </w:p>
    <w:p w14:paraId="0D6C7D45" w14:textId="10FF8473" w:rsidR="00D01040" w:rsidRPr="009E05FF" w:rsidRDefault="00D01040" w:rsidP="00ED5C89">
      <w:pPr>
        <w:jc w:val="both"/>
      </w:pPr>
      <w:r>
        <w:t>Frequency:</w:t>
      </w:r>
      <w:r w:rsidR="007674E8">
        <w:t xml:space="preserve"> annual funding cycle</w:t>
      </w:r>
    </w:p>
    <w:p w14:paraId="0F45C54D" w14:textId="77777777" w:rsidR="00C74EC6" w:rsidRPr="00622B9C" w:rsidRDefault="00C74EC6" w:rsidP="00ED5C89">
      <w:pPr>
        <w:pStyle w:val="Heading4"/>
        <w:jc w:val="both"/>
      </w:pPr>
      <w:r w:rsidRPr="00622B9C">
        <w:t xml:space="preserve">SB 1 Local Partnership Program (LPP) </w:t>
      </w:r>
    </w:p>
    <w:p w14:paraId="02AEE3E2" w14:textId="77777777" w:rsidR="00C74EC6" w:rsidRDefault="00C74EC6" w:rsidP="00ED5C89">
      <w:pPr>
        <w:jc w:val="both"/>
      </w:pPr>
      <w:r w:rsidRPr="00622B9C">
        <w:t xml:space="preserve">The purpose of this program is to provide local and regional transportation agencies that have passed sales tax measures, developer fees, or other imposed transportation fees with a continuous appropriation of $200 million annually from the Road Maintenance and Rehabilitation Account to fund road maintenance and rehabilitation, sound walls, and active transportation projects. There is also a competitive grant portion of this project. </w:t>
      </w:r>
    </w:p>
    <w:p w14:paraId="0A690CD5" w14:textId="77777777" w:rsidR="00C74EC6" w:rsidRPr="00622B9C" w:rsidRDefault="00C74EC6" w:rsidP="00ED5C89">
      <w:pPr>
        <w:jc w:val="both"/>
      </w:pPr>
      <w:r>
        <w:t>Frequency: biennial funding cycle</w:t>
      </w:r>
    </w:p>
    <w:p w14:paraId="4A299D5E" w14:textId="77777777" w:rsidR="00C74EC6" w:rsidRPr="00622B9C" w:rsidRDefault="00C74EC6" w:rsidP="00ED5C89">
      <w:pPr>
        <w:pStyle w:val="Heading4"/>
        <w:jc w:val="both"/>
      </w:pPr>
      <w:r w:rsidRPr="00622B9C">
        <w:t>SB 1 Local Streets and Roads Program (L</w:t>
      </w:r>
      <w:r>
        <w:t>SR</w:t>
      </w:r>
      <w:r w:rsidRPr="00622B9C">
        <w:t xml:space="preserve">P) </w:t>
      </w:r>
    </w:p>
    <w:p w14:paraId="3986EA74" w14:textId="77777777" w:rsidR="00C74EC6" w:rsidRDefault="00C74EC6" w:rsidP="00ED5C89">
      <w:pPr>
        <w:jc w:val="both"/>
      </w:pPr>
      <w:r w:rsidRPr="00622B9C">
        <w:t>SB 1 dedicated approximately $1.5 billion per year in new formula revenues apportioned by the State Controller to cities and counties for basic road maintenance, rehabilitation, and critical safety projects on the local streets and roads system.</w:t>
      </w:r>
    </w:p>
    <w:p w14:paraId="07DD2CAD" w14:textId="77777777" w:rsidR="00C74EC6" w:rsidRPr="00622B9C" w:rsidRDefault="00C74EC6" w:rsidP="00ED5C89">
      <w:pPr>
        <w:jc w:val="both"/>
      </w:pPr>
      <w:r>
        <w:t>Frequency: annual funding cycle</w:t>
      </w:r>
    </w:p>
    <w:p w14:paraId="7D07F934" w14:textId="77777777" w:rsidR="00C74EC6" w:rsidRPr="001C76C9" w:rsidRDefault="00C74EC6" w:rsidP="00ED5C89">
      <w:pPr>
        <w:pStyle w:val="Heading4"/>
        <w:jc w:val="both"/>
      </w:pPr>
      <w:r w:rsidRPr="001C76C9">
        <w:t xml:space="preserve">SB 1 Solutions for Congested Corridors Program (SCCP) </w:t>
      </w:r>
    </w:p>
    <w:p w14:paraId="35F02AAA" w14:textId="77777777" w:rsidR="00C74EC6" w:rsidRDefault="00C74EC6" w:rsidP="00ED5C89">
      <w:pPr>
        <w:jc w:val="both"/>
      </w:pPr>
      <w:r w:rsidRPr="001C76C9">
        <w:t xml:space="preserve">The Solutions for Congested Corridors Program funds projects designed to reduce congestion in highly traveled and highly congested corridors. This statewide, competitive program makes $250 million available annually for projects that implement specific transportation performance improvements and are part of a comprehensive corridor plan by providing more transportation choices while preserving the character of local communities and creating opportunities for neighborhood enhancement. </w:t>
      </w:r>
    </w:p>
    <w:p w14:paraId="59A18F74" w14:textId="77777777" w:rsidR="00C74EC6" w:rsidRPr="001C76C9" w:rsidRDefault="00C74EC6" w:rsidP="00ED5C89">
      <w:pPr>
        <w:jc w:val="both"/>
      </w:pPr>
      <w:r>
        <w:t>Frequency: annual funding cycle</w:t>
      </w:r>
    </w:p>
    <w:p w14:paraId="48BE0BF8" w14:textId="77777777" w:rsidR="00C74EC6" w:rsidRPr="00F14136" w:rsidRDefault="00C74EC6" w:rsidP="00ED5C89">
      <w:pPr>
        <w:pStyle w:val="Heading4"/>
        <w:jc w:val="both"/>
      </w:pPr>
      <w:r w:rsidRPr="00F14136">
        <w:t xml:space="preserve">SB 1 State Transportation Improvement Program (STIP) </w:t>
      </w:r>
    </w:p>
    <w:p w14:paraId="3DDDFEF6" w14:textId="77777777" w:rsidR="00C74EC6" w:rsidRDefault="00C74EC6" w:rsidP="00ED5C89">
      <w:pPr>
        <w:jc w:val="both"/>
      </w:pPr>
      <w:r w:rsidRPr="00F14136">
        <w:t xml:space="preserve">The State Transportation Improvement Program (STIP) is the biennial five-year plan for future allocations of certain state transportation funds for state highway improvements, intercity rail, and regional highway and transit improvements. </w:t>
      </w:r>
    </w:p>
    <w:p w14:paraId="088B035B" w14:textId="77777777" w:rsidR="00C74EC6" w:rsidRPr="00F14136" w:rsidRDefault="00C74EC6" w:rsidP="00ED5C89">
      <w:pPr>
        <w:jc w:val="both"/>
      </w:pPr>
      <w:r>
        <w:t>Frequency: biennial funding cycle</w:t>
      </w:r>
    </w:p>
    <w:p w14:paraId="6DFE6785" w14:textId="77777777" w:rsidR="00C74EC6" w:rsidRPr="001C76C9" w:rsidRDefault="00C74EC6" w:rsidP="00ED5C89">
      <w:pPr>
        <w:pStyle w:val="Heading4"/>
        <w:jc w:val="both"/>
      </w:pPr>
      <w:r w:rsidRPr="001C76C9">
        <w:lastRenderedPageBreak/>
        <w:t xml:space="preserve">SGC Affordable Housing and Sustainable </w:t>
      </w:r>
      <w:r w:rsidRPr="000B500E">
        <w:t>Communities</w:t>
      </w:r>
      <w:r w:rsidRPr="001C76C9">
        <w:t xml:space="preserve"> (AHSC) Program </w:t>
      </w:r>
    </w:p>
    <w:p w14:paraId="53D64643" w14:textId="77777777" w:rsidR="00C74EC6" w:rsidRDefault="00C74EC6" w:rsidP="00ED5C89">
      <w:pPr>
        <w:jc w:val="both"/>
      </w:pPr>
      <w:r w:rsidRPr="001C76C9">
        <w:t xml:space="preserve">The Affordable Housing and Sustainable Communities (AHSC) Program makes it easier for Californians to drive less by making sure housing, jobs, and key destinations are accessible by walking, biking, and transit. </w:t>
      </w:r>
    </w:p>
    <w:p w14:paraId="199E1A24" w14:textId="20F81AC1" w:rsidR="0083479F" w:rsidRDefault="00C74EC6" w:rsidP="00ED5C89">
      <w:pPr>
        <w:jc w:val="both"/>
      </w:pPr>
      <w:r>
        <w:t>Frequency: annual funding cycle</w:t>
      </w:r>
    </w:p>
    <w:p w14:paraId="5CC17972" w14:textId="42C532D0" w:rsidR="0083479F" w:rsidRDefault="0083479F" w:rsidP="00ED5C89">
      <w:pPr>
        <w:pStyle w:val="Heading4"/>
        <w:jc w:val="both"/>
      </w:pPr>
      <w:r>
        <w:t>Statewide Park</w:t>
      </w:r>
      <w:r w:rsidR="003E206C">
        <w:t>s</w:t>
      </w:r>
      <w:r>
        <w:t xml:space="preserve"> Program</w:t>
      </w:r>
    </w:p>
    <w:p w14:paraId="11236D31" w14:textId="223B2C68" w:rsidR="0083479F" w:rsidRDefault="0083479F" w:rsidP="00ED5C89">
      <w:pPr>
        <w:jc w:val="both"/>
      </w:pPr>
      <w:r>
        <w:t>The Statewide Park</w:t>
      </w:r>
      <w:r w:rsidR="003E206C">
        <w:t>s</w:t>
      </w:r>
      <w:r>
        <w:t xml:space="preserve"> Program solicits competitive grants to fund new parks and recreational opportunities in critically underserved communities across California. Funds can be used to create and expand/renovate existing parks. All projects must include at least one “recreational feature” which includes non-motorized trails. Funds are programmed by the California Department of Parks and Recreation.</w:t>
      </w:r>
    </w:p>
    <w:p w14:paraId="5E1916B5" w14:textId="16015314" w:rsidR="0083479F" w:rsidRDefault="0083479F" w:rsidP="00ED5C89">
      <w:pPr>
        <w:jc w:val="both"/>
      </w:pPr>
      <w:r>
        <w:t xml:space="preserve">Frequency: </w:t>
      </w:r>
      <w:r w:rsidR="00AE7A56">
        <w:t>annual funding cycle</w:t>
      </w:r>
    </w:p>
    <w:p w14:paraId="5985DC6A" w14:textId="77777777" w:rsidR="00474497" w:rsidRDefault="00474497" w:rsidP="00ED5C89">
      <w:pPr>
        <w:pStyle w:val="Heading4"/>
        <w:jc w:val="both"/>
      </w:pPr>
      <w:r>
        <w:t>Surface Transportation Block Grants</w:t>
      </w:r>
    </w:p>
    <w:p w14:paraId="7F65C291" w14:textId="77777777" w:rsidR="00474497" w:rsidRDefault="00474497" w:rsidP="00ED5C89">
      <w:pPr>
        <w:jc w:val="both"/>
      </w:pPr>
      <w:r>
        <w:t>These grants are used to maintain and improve the performance on any federal-aid highway, bridges, and tunnel projects on any public road, pedestrian and bicycle infrastructure, and transit capital projects. Additional Transportation Alternatives set aside funds for active transportation, and active transportation access to transit improvements are also available. Funds are programmed by Caltrans and the Metropolitan Transportation Commission.</w:t>
      </w:r>
    </w:p>
    <w:p w14:paraId="7DE642BD" w14:textId="237AA481" w:rsidR="00474497" w:rsidRPr="009E05FF" w:rsidRDefault="00474497" w:rsidP="00ED5C89">
      <w:pPr>
        <w:jc w:val="both"/>
      </w:pPr>
      <w:r>
        <w:t>Frequency:</w:t>
      </w:r>
      <w:r w:rsidR="003E206C">
        <w:t xml:space="preserve"> annual funding cycle</w:t>
      </w:r>
    </w:p>
    <w:p w14:paraId="00DC32DF" w14:textId="77777777" w:rsidR="00C74EC6" w:rsidRPr="00302C24" w:rsidRDefault="00C74EC6" w:rsidP="00ED5C89">
      <w:pPr>
        <w:pStyle w:val="Heading3"/>
        <w:jc w:val="both"/>
      </w:pPr>
      <w:bookmarkStart w:id="5" w:name="_Toc74223490"/>
      <w:r w:rsidRPr="00302C24">
        <w:t>Federal Sources</w:t>
      </w:r>
      <w:bookmarkEnd w:id="5"/>
    </w:p>
    <w:p w14:paraId="1A9851DB" w14:textId="77777777" w:rsidR="00C74EC6" w:rsidRPr="00302C24" w:rsidRDefault="00C74EC6" w:rsidP="00ED5C89">
      <w:pPr>
        <w:pStyle w:val="Heading4"/>
        <w:jc w:val="both"/>
      </w:pPr>
      <w:r w:rsidRPr="00302C24">
        <w:t xml:space="preserve">Community Development Block Grant (CDBG) Program </w:t>
      </w:r>
    </w:p>
    <w:p w14:paraId="608904EA" w14:textId="77777777" w:rsidR="00C74EC6" w:rsidRDefault="00C74EC6" w:rsidP="00ED5C89">
      <w:pPr>
        <w:jc w:val="both"/>
      </w:pPr>
      <w:r w:rsidRPr="00302C24">
        <w:t xml:space="preserve">The Community Development Block Grant (CDBG) program is a flexible program that provides communities with resources to address a wide range of unique community development needs. Communities often use CDBG funds to construct and repair streets and sidewalks. </w:t>
      </w:r>
    </w:p>
    <w:p w14:paraId="038E7FDB" w14:textId="77777777" w:rsidR="00C74EC6" w:rsidRPr="00302C24" w:rsidRDefault="00C74EC6" w:rsidP="00ED5C89">
      <w:pPr>
        <w:jc w:val="both"/>
      </w:pPr>
      <w:r>
        <w:t>Frequency: annual funding cycle</w:t>
      </w:r>
    </w:p>
    <w:p w14:paraId="7DB1FF27" w14:textId="77777777" w:rsidR="00C74EC6" w:rsidRPr="00302C24" w:rsidRDefault="00C74EC6" w:rsidP="00ED5C89">
      <w:pPr>
        <w:pStyle w:val="Heading4"/>
        <w:jc w:val="both"/>
      </w:pPr>
      <w:r w:rsidRPr="00302C24">
        <w:t xml:space="preserve">Congestion Mitigation and Air Quality (CMAQ) Improvement Program </w:t>
      </w:r>
    </w:p>
    <w:p w14:paraId="30966A37" w14:textId="77777777" w:rsidR="00C74EC6" w:rsidRDefault="00C74EC6" w:rsidP="00ED5C89">
      <w:pPr>
        <w:jc w:val="both"/>
      </w:pPr>
      <w:r w:rsidRPr="00302C24">
        <w:t xml:space="preserve">The FAST Act continued the CMAQ program to provide a flexible funding source to State and local governments for transportation projects and programs to help meet the requirements of the Clean Air Act. Funding is available to reduce congestion and improve air quality for areas that do not meet the National Ambient Air Quality Standards for ozone, carbon monoxide, or particulate matter (nonattainment areas) and for former nonattainment areas that are now in compliance (maintenance areas). </w:t>
      </w:r>
    </w:p>
    <w:p w14:paraId="15757AF4" w14:textId="77777777" w:rsidR="00C74EC6" w:rsidRPr="00302C24" w:rsidRDefault="00C74EC6" w:rsidP="00ED5C89">
      <w:pPr>
        <w:jc w:val="both"/>
      </w:pPr>
      <w:r>
        <w:lastRenderedPageBreak/>
        <w:t>Frequency: annual funding cycle</w:t>
      </w:r>
    </w:p>
    <w:p w14:paraId="5F34548D" w14:textId="0FA6436B" w:rsidR="001D06ED" w:rsidRDefault="001D06ED" w:rsidP="00ED5C89">
      <w:pPr>
        <w:pStyle w:val="Heading4"/>
        <w:jc w:val="both"/>
      </w:pPr>
      <w:r>
        <w:t>Safe Streets and Roads for All (SS4A) Grant Program</w:t>
      </w:r>
    </w:p>
    <w:p w14:paraId="1F0EDD79" w14:textId="4E10E322" w:rsidR="001D06ED" w:rsidRDefault="001D06ED" w:rsidP="001D06ED">
      <w:pPr>
        <w:jc w:val="both"/>
      </w:pPr>
      <w:r>
        <w:t>The SS4A program funds regional, local, and Tribal initiatives through grants to prevent roadway deaths and serious injuries and supports Secretary the National Roadway Safety Strategy and the Department’s goal of zero deaths and serious injuries on our nation’s roadways. Two types of SS4A grants – Action Plan Grants and Implementation Grants – may be awarded to support the following activities: (1) Developing or updating a comprehensive safety action plan (Action Plan, including an LRSP or VZAP), (2) Conducting planning, design, and development activities in support of an Action Plan, (3) Carrying out projects and strategies identified in an Action Plan (potentially including a BPIAP).</w:t>
      </w:r>
    </w:p>
    <w:p w14:paraId="5121058F" w14:textId="234EBF55" w:rsidR="001D06ED" w:rsidRPr="00302C24" w:rsidRDefault="001D06ED" w:rsidP="001D06ED">
      <w:pPr>
        <w:jc w:val="both"/>
      </w:pPr>
      <w:r>
        <w:t>Frequency: annual funding cycle</w:t>
      </w:r>
    </w:p>
    <w:p w14:paraId="6615F1CD" w14:textId="05F9E78A" w:rsidR="00C74EC6" w:rsidRPr="00302C24" w:rsidRDefault="00C74EC6" w:rsidP="00ED5C89">
      <w:pPr>
        <w:pStyle w:val="Heading4"/>
        <w:jc w:val="both"/>
      </w:pPr>
      <w:r w:rsidRPr="00302C24">
        <w:t>Rebuilding American Infrastructure with Sustainability and Equity (RAISE)</w:t>
      </w:r>
      <w:r>
        <w:t xml:space="preserve"> </w:t>
      </w:r>
      <w:r w:rsidRPr="00302C24">
        <w:t xml:space="preserve">Discretionary Grant Program </w:t>
      </w:r>
    </w:p>
    <w:p w14:paraId="72EA3929" w14:textId="77777777" w:rsidR="00C74EC6" w:rsidRPr="00302C24" w:rsidRDefault="00C74EC6" w:rsidP="00ED5C89">
      <w:pPr>
        <w:jc w:val="both"/>
      </w:pPr>
      <w:r w:rsidRPr="00302C24">
        <w:t xml:space="preserve">This program supports projects that are "road or bridge projects eligible under title 23, United States Code;" and "intermodal projects." </w:t>
      </w:r>
      <w:r>
        <w:t xml:space="preserve">Previously the BUILD grant, this program </w:t>
      </w:r>
      <w:r w:rsidRPr="00302C24">
        <w:t xml:space="preserve">replaces the TIGER program. </w:t>
      </w:r>
    </w:p>
    <w:p w14:paraId="1E9FC51F" w14:textId="60565B6E" w:rsidR="00C74EC6" w:rsidRDefault="00C74EC6" w:rsidP="00ED5C89">
      <w:pPr>
        <w:jc w:val="both"/>
      </w:pPr>
      <w:r w:rsidRPr="009E05FF">
        <w:t>Frequency: annual funding cycle</w:t>
      </w:r>
    </w:p>
    <w:p w14:paraId="43171464" w14:textId="7D3AF71B" w:rsidR="00771C80" w:rsidRDefault="003130E7" w:rsidP="00ED5C89">
      <w:pPr>
        <w:pStyle w:val="Heading3"/>
        <w:jc w:val="both"/>
      </w:pPr>
      <w:r>
        <w:t>Summary of Funding Opportunities</w:t>
      </w:r>
    </w:p>
    <w:p w14:paraId="5A26C7E9" w14:textId="074ABBC1" w:rsidR="003130E7" w:rsidRPr="003130E7" w:rsidRDefault="003130E7" w:rsidP="00ED5C89">
      <w:pPr>
        <w:jc w:val="both"/>
      </w:pPr>
      <w:r>
        <w:t>All sources mentioned above are summarized her</w:t>
      </w:r>
      <w:r w:rsidR="00C126F9">
        <w:t>e, categorized by jurisdiction.</w:t>
      </w:r>
    </w:p>
    <w:p w14:paraId="67760A81" w14:textId="77777777" w:rsidR="00771C80" w:rsidRPr="00B02171" w:rsidRDefault="00771C80" w:rsidP="00771C80">
      <w:pPr>
        <w:pStyle w:val="TableTitle"/>
      </w:pPr>
      <w:r>
        <w:t>Table 1. Summary of Funding Opportunities by Jurisdiction</w:t>
      </w:r>
    </w:p>
    <w:tbl>
      <w:tblPr>
        <w:tblStyle w:val="FPTable19"/>
        <w:tblW w:w="5000" w:type="pct"/>
        <w:tblLook w:val="04A0" w:firstRow="1" w:lastRow="0" w:firstColumn="1" w:lastColumn="0" w:noHBand="0" w:noVBand="1"/>
      </w:tblPr>
      <w:tblGrid>
        <w:gridCol w:w="2722"/>
        <w:gridCol w:w="4959"/>
        <w:gridCol w:w="959"/>
      </w:tblGrid>
      <w:tr w:rsidR="00771C80" w14:paraId="15D724B0" w14:textId="77777777" w:rsidTr="002411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5" w:type="pct"/>
          </w:tcPr>
          <w:p w14:paraId="367DF053" w14:textId="77777777" w:rsidR="00771C80" w:rsidRDefault="00771C80" w:rsidP="002411C8">
            <w:pPr>
              <w:pStyle w:val="TableColumnHeading"/>
            </w:pPr>
            <w:r>
              <w:t>Managing Agency</w:t>
            </w:r>
          </w:p>
        </w:tc>
        <w:tc>
          <w:tcPr>
            <w:tcW w:w="2870" w:type="pct"/>
          </w:tcPr>
          <w:p w14:paraId="1879647D" w14:textId="77777777" w:rsidR="00771C80" w:rsidRDefault="00771C80" w:rsidP="002411C8">
            <w:pPr>
              <w:pStyle w:val="TableColumnHeading"/>
              <w:cnfStyle w:val="100000000000" w:firstRow="1" w:lastRow="0" w:firstColumn="0" w:lastColumn="0" w:oddVBand="0" w:evenVBand="0" w:oddHBand="0" w:evenHBand="0" w:firstRowFirstColumn="0" w:firstRowLastColumn="0" w:lastRowFirstColumn="0" w:lastRowLastColumn="0"/>
            </w:pPr>
            <w:r>
              <w:t>Name</w:t>
            </w:r>
          </w:p>
        </w:tc>
        <w:tc>
          <w:tcPr>
            <w:tcW w:w="0" w:type="auto"/>
          </w:tcPr>
          <w:p w14:paraId="0410DC11" w14:textId="77777777" w:rsidR="00771C80" w:rsidRDefault="00771C80" w:rsidP="002411C8">
            <w:pPr>
              <w:pStyle w:val="TableColumnHeading"/>
              <w:cnfStyle w:val="100000000000" w:firstRow="1" w:lastRow="0" w:firstColumn="0" w:lastColumn="0" w:oddVBand="0" w:evenVBand="0" w:oddHBand="0" w:evenHBand="0" w:firstRowFirstColumn="0" w:firstRowLastColumn="0" w:lastRowFirstColumn="0" w:lastRowLastColumn="0"/>
            </w:pPr>
            <w:r>
              <w:t>Frequency</w:t>
            </w:r>
          </w:p>
        </w:tc>
      </w:tr>
      <w:tr w:rsidR="00771C80" w14:paraId="0F80E5B9"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tcBorders>
            <w:shd w:val="clear" w:color="auto" w:fill="D9D9D9" w:themeFill="background1" w:themeFillShade="D9"/>
          </w:tcPr>
          <w:p w14:paraId="79A7235D" w14:textId="77777777" w:rsidR="00771C80" w:rsidRPr="009F7780" w:rsidRDefault="00771C80" w:rsidP="002411C8">
            <w:pPr>
              <w:pStyle w:val="TableText"/>
              <w:rPr>
                <w:b/>
                <w:bCs/>
                <w:i/>
                <w:iCs/>
                <w:color w:val="85A390" w:themeColor="background2" w:themeShade="BF"/>
              </w:rPr>
            </w:pPr>
            <w:r w:rsidRPr="009F7780">
              <w:rPr>
                <w:b/>
                <w:bCs/>
                <w:i/>
                <w:iCs/>
              </w:rPr>
              <w:t>Local and Regional Sources</w:t>
            </w:r>
          </w:p>
        </w:tc>
        <w:tc>
          <w:tcPr>
            <w:tcW w:w="2870" w:type="pct"/>
            <w:tcBorders>
              <w:top w:val="nil"/>
            </w:tcBorders>
            <w:shd w:val="clear" w:color="auto" w:fill="D9D9D9" w:themeFill="background1" w:themeFillShade="D9"/>
          </w:tcPr>
          <w:p w14:paraId="1C04A62A"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p>
        </w:tc>
        <w:tc>
          <w:tcPr>
            <w:tcW w:w="0" w:type="auto"/>
            <w:tcBorders>
              <w:top w:val="nil"/>
            </w:tcBorders>
            <w:shd w:val="clear" w:color="auto" w:fill="D9D9D9" w:themeFill="background1" w:themeFillShade="D9"/>
          </w:tcPr>
          <w:p w14:paraId="79676B00"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p>
        </w:tc>
      </w:tr>
      <w:tr w:rsidR="00771C80" w14:paraId="4A1A45A9"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5EF9B476" w14:textId="77777777" w:rsidR="00771C80" w:rsidRPr="009F7780" w:rsidRDefault="00771C80" w:rsidP="002411C8">
            <w:pPr>
              <w:pStyle w:val="TableText"/>
              <w:rPr>
                <w:i/>
                <w:iCs/>
                <w:color w:val="85A390" w:themeColor="background2" w:themeShade="BF"/>
              </w:rPr>
            </w:pPr>
            <w:r>
              <w:t>Planning Jurisdiction</w:t>
            </w:r>
          </w:p>
        </w:tc>
        <w:tc>
          <w:tcPr>
            <w:tcW w:w="2870" w:type="pct"/>
            <w:tcBorders>
              <w:top w:val="nil"/>
            </w:tcBorders>
          </w:tcPr>
          <w:p w14:paraId="2C8CECEF"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Developer Fees</w:t>
            </w:r>
          </w:p>
        </w:tc>
        <w:tc>
          <w:tcPr>
            <w:tcW w:w="0" w:type="auto"/>
            <w:tcBorders>
              <w:top w:val="nil"/>
            </w:tcBorders>
          </w:tcPr>
          <w:p w14:paraId="356A4D0A" w14:textId="148EBD3D" w:rsidR="00771C80" w:rsidRDefault="00602C35" w:rsidP="002411C8">
            <w:pPr>
              <w:pStyle w:val="TableText"/>
              <w:cnfStyle w:val="000000010000" w:firstRow="0" w:lastRow="0" w:firstColumn="0" w:lastColumn="0" w:oddVBand="0" w:evenVBand="0" w:oddHBand="0" w:evenHBand="1" w:firstRowFirstColumn="0" w:firstRowLastColumn="0" w:lastRowFirstColumn="0" w:lastRowLastColumn="0"/>
            </w:pPr>
            <w:r>
              <w:t>Ongoing</w:t>
            </w:r>
          </w:p>
        </w:tc>
      </w:tr>
      <w:tr w:rsidR="00771C80" w14:paraId="2D363621"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6CEF33BE" w14:textId="77777777" w:rsidR="00771C80" w:rsidRPr="00602C35" w:rsidRDefault="00771C80" w:rsidP="002411C8">
            <w:pPr>
              <w:pStyle w:val="TableText"/>
            </w:pPr>
            <w:r w:rsidRPr="00602C35">
              <w:t>Planning Jurisdiction</w:t>
            </w:r>
          </w:p>
        </w:tc>
        <w:tc>
          <w:tcPr>
            <w:tcW w:w="2870" w:type="pct"/>
            <w:tcBorders>
              <w:top w:val="nil"/>
            </w:tcBorders>
          </w:tcPr>
          <w:p w14:paraId="2FA0E793" w14:textId="77777777" w:rsidR="00771C80" w:rsidRPr="00602C35"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602C35">
              <w:t>New Development or Redevelopment/Rehabilitation</w:t>
            </w:r>
          </w:p>
        </w:tc>
        <w:tc>
          <w:tcPr>
            <w:tcW w:w="0" w:type="auto"/>
            <w:tcBorders>
              <w:top w:val="nil"/>
            </w:tcBorders>
          </w:tcPr>
          <w:p w14:paraId="4AE0CD71" w14:textId="59529509" w:rsidR="00771C80" w:rsidRDefault="00602C35" w:rsidP="002411C8">
            <w:pPr>
              <w:pStyle w:val="TableText"/>
              <w:cnfStyle w:val="000000000000" w:firstRow="0" w:lastRow="0" w:firstColumn="0" w:lastColumn="0" w:oddVBand="0" w:evenVBand="0" w:oddHBand="0" w:evenHBand="0" w:firstRowFirstColumn="0" w:firstRowLastColumn="0" w:lastRowFirstColumn="0" w:lastRowLastColumn="0"/>
            </w:pPr>
            <w:r>
              <w:t>Ongoing</w:t>
            </w:r>
          </w:p>
        </w:tc>
      </w:tr>
      <w:tr w:rsidR="00771C80" w14:paraId="5BFEC0E8"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13C74DCF" w14:textId="77777777" w:rsidR="00771C80" w:rsidRPr="00602C35" w:rsidRDefault="00771C80" w:rsidP="002411C8">
            <w:pPr>
              <w:pStyle w:val="TableText"/>
              <w:rPr>
                <w:color w:val="85A390" w:themeColor="background2" w:themeShade="BF"/>
              </w:rPr>
            </w:pPr>
            <w:r w:rsidRPr="00602C35">
              <w:t>Planning Jurisdiction</w:t>
            </w:r>
          </w:p>
        </w:tc>
        <w:tc>
          <w:tcPr>
            <w:tcW w:w="2870" w:type="pct"/>
            <w:tcBorders>
              <w:top w:val="nil"/>
            </w:tcBorders>
          </w:tcPr>
          <w:p w14:paraId="6000AC0E" w14:textId="77777777" w:rsidR="00771C80" w:rsidRPr="00602C35"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602C35">
              <w:t>Assessment Districts</w:t>
            </w:r>
          </w:p>
        </w:tc>
        <w:tc>
          <w:tcPr>
            <w:tcW w:w="0" w:type="auto"/>
            <w:tcBorders>
              <w:top w:val="nil"/>
            </w:tcBorders>
          </w:tcPr>
          <w:p w14:paraId="14D57539" w14:textId="4488737B" w:rsidR="00771C80" w:rsidRDefault="00602C35" w:rsidP="002411C8">
            <w:pPr>
              <w:pStyle w:val="TableText"/>
              <w:cnfStyle w:val="000000010000" w:firstRow="0" w:lastRow="0" w:firstColumn="0" w:lastColumn="0" w:oddVBand="0" w:evenVBand="0" w:oddHBand="0" w:evenHBand="1" w:firstRowFirstColumn="0" w:firstRowLastColumn="0" w:lastRowFirstColumn="0" w:lastRowLastColumn="0"/>
            </w:pPr>
            <w:r>
              <w:t>Ongoing</w:t>
            </w:r>
          </w:p>
        </w:tc>
      </w:tr>
      <w:tr w:rsidR="00771C80" w14:paraId="1B62DF44" w14:textId="77777777" w:rsidTr="002411C8">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D9D9D9" w:themeFill="background1" w:themeFillShade="D9"/>
          </w:tcPr>
          <w:p w14:paraId="573B5CC5" w14:textId="77777777" w:rsidR="00771C80" w:rsidRPr="001025A5" w:rsidRDefault="00771C80" w:rsidP="002411C8">
            <w:pPr>
              <w:pStyle w:val="TableText"/>
            </w:pPr>
            <w:r w:rsidRPr="001025A5">
              <w:rPr>
                <w:b/>
                <w:bCs/>
                <w:i/>
                <w:iCs/>
              </w:rPr>
              <w:t xml:space="preserve">County Sources </w:t>
            </w:r>
            <w:r w:rsidRPr="001025A5">
              <w:rPr>
                <w:b/>
                <w:bCs/>
                <w:i/>
                <w:iCs/>
                <w:color w:val="85A390" w:themeColor="background2" w:themeShade="BF"/>
              </w:rPr>
              <w:t>(Example: Contra Costa County)</w:t>
            </w:r>
          </w:p>
        </w:tc>
      </w:tr>
      <w:tr w:rsidR="00771C80" w14:paraId="79522762"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3B1BE42F" w14:textId="77777777" w:rsidR="00771C80" w:rsidRPr="001025A5" w:rsidRDefault="00771C80" w:rsidP="002411C8">
            <w:pPr>
              <w:pStyle w:val="TableText"/>
            </w:pPr>
            <w:r w:rsidRPr="001025A5">
              <w:t>Contra Costa County</w:t>
            </w:r>
          </w:p>
        </w:tc>
        <w:tc>
          <w:tcPr>
            <w:tcW w:w="2870" w:type="pct"/>
            <w:tcBorders>
              <w:top w:val="nil"/>
            </w:tcBorders>
          </w:tcPr>
          <w:p w14:paraId="380DA68E"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Contra Costa Measure J Funding</w:t>
            </w:r>
          </w:p>
        </w:tc>
        <w:tc>
          <w:tcPr>
            <w:tcW w:w="0" w:type="auto"/>
            <w:tcBorders>
              <w:top w:val="nil"/>
            </w:tcBorders>
          </w:tcPr>
          <w:p w14:paraId="7EBB7A5C"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7864BB25"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5FBDE67E" w14:textId="77777777" w:rsidR="00771C80" w:rsidRPr="00602C35" w:rsidRDefault="00771C80" w:rsidP="002411C8">
            <w:pPr>
              <w:pStyle w:val="TableText"/>
            </w:pPr>
            <w:r w:rsidRPr="00602C35">
              <w:t>Contra Costa Transportation Authority</w:t>
            </w:r>
          </w:p>
        </w:tc>
        <w:tc>
          <w:tcPr>
            <w:tcW w:w="2870" w:type="pct"/>
          </w:tcPr>
          <w:p w14:paraId="13404E69" w14:textId="77777777" w:rsidR="00771C80" w:rsidRPr="00602C35"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602C35">
              <w:t>Transportation Fund for Clean Air, County Program Manager Fund</w:t>
            </w:r>
          </w:p>
        </w:tc>
        <w:tc>
          <w:tcPr>
            <w:tcW w:w="0" w:type="auto"/>
          </w:tcPr>
          <w:p w14:paraId="250CD56F" w14:textId="2159E94B" w:rsidR="00771C80" w:rsidRPr="00E84194" w:rsidRDefault="00602C35" w:rsidP="002411C8">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602C35">
              <w:t>A</w:t>
            </w:r>
            <w:r w:rsidR="001025A5" w:rsidRPr="00602C35">
              <w:t>nnual</w:t>
            </w:r>
          </w:p>
        </w:tc>
      </w:tr>
      <w:tr w:rsidR="00771C80" w14:paraId="68AAD276"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4B6C60A5" w14:textId="77777777" w:rsidR="00771C80" w:rsidRPr="00602C35" w:rsidRDefault="00771C80" w:rsidP="002411C8">
            <w:pPr>
              <w:pStyle w:val="TableText"/>
            </w:pPr>
            <w:r w:rsidRPr="00602C35">
              <w:t>Contra Costa County</w:t>
            </w:r>
          </w:p>
        </w:tc>
        <w:tc>
          <w:tcPr>
            <w:tcW w:w="2870" w:type="pct"/>
          </w:tcPr>
          <w:p w14:paraId="17C46A7E" w14:textId="77777777" w:rsidR="00771C80" w:rsidRPr="00602C35"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602C35">
              <w:t>511 Contra Costa Bike Rack and Locker Program</w:t>
            </w:r>
          </w:p>
        </w:tc>
        <w:tc>
          <w:tcPr>
            <w:tcW w:w="0" w:type="auto"/>
          </w:tcPr>
          <w:p w14:paraId="6536215D" w14:textId="2748FC38" w:rsidR="00771C80" w:rsidRDefault="001025A5" w:rsidP="002411C8">
            <w:pPr>
              <w:pStyle w:val="TableText"/>
              <w:cnfStyle w:val="000000010000" w:firstRow="0" w:lastRow="0" w:firstColumn="0" w:lastColumn="0" w:oddVBand="0" w:evenVBand="0" w:oddHBand="0" w:evenHBand="1" w:firstRowFirstColumn="0" w:firstRowLastColumn="0" w:lastRowFirstColumn="0" w:lastRowLastColumn="0"/>
            </w:pPr>
            <w:r>
              <w:t>Ongoing</w:t>
            </w:r>
          </w:p>
        </w:tc>
      </w:tr>
      <w:tr w:rsidR="00771C80" w14:paraId="04F2A393"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7C58E55C" w14:textId="77777777" w:rsidR="00771C80" w:rsidRPr="00602C35" w:rsidRDefault="00771C80" w:rsidP="002411C8">
            <w:pPr>
              <w:pStyle w:val="TableText"/>
            </w:pPr>
            <w:r w:rsidRPr="00602C35">
              <w:t>Contra Costa Transportation Authority</w:t>
            </w:r>
          </w:p>
        </w:tc>
        <w:tc>
          <w:tcPr>
            <w:tcW w:w="2870" w:type="pct"/>
          </w:tcPr>
          <w:p w14:paraId="7963FB38" w14:textId="77777777" w:rsidR="00771C80" w:rsidRPr="00602C35"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602C35">
              <w:t>One Bay Area Grant (OBAG)</w:t>
            </w:r>
          </w:p>
        </w:tc>
        <w:tc>
          <w:tcPr>
            <w:tcW w:w="0" w:type="auto"/>
          </w:tcPr>
          <w:p w14:paraId="0BA99CD7" w14:textId="08416648" w:rsidR="00771C80" w:rsidRDefault="001025A5" w:rsidP="002411C8">
            <w:pPr>
              <w:pStyle w:val="TableText"/>
              <w:cnfStyle w:val="000000000000" w:firstRow="0" w:lastRow="0" w:firstColumn="0" w:lastColumn="0" w:oddVBand="0" w:evenVBand="0" w:oddHBand="0" w:evenHBand="0" w:firstRowFirstColumn="0" w:firstRowLastColumn="0" w:lastRowFirstColumn="0" w:lastRowLastColumn="0"/>
            </w:pPr>
            <w:r>
              <w:t>Three-year cycle</w:t>
            </w:r>
          </w:p>
        </w:tc>
      </w:tr>
      <w:tr w:rsidR="00771C80" w14:paraId="1F087D41"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6B79EC1B" w14:textId="77777777" w:rsidR="00771C80" w:rsidRPr="001025A5" w:rsidRDefault="00771C80" w:rsidP="002411C8">
            <w:pPr>
              <w:pStyle w:val="TableText"/>
            </w:pPr>
            <w:r w:rsidRPr="001025A5">
              <w:t>Contra Costa Transportation Authority</w:t>
            </w:r>
          </w:p>
        </w:tc>
        <w:tc>
          <w:tcPr>
            <w:tcW w:w="2870" w:type="pct"/>
          </w:tcPr>
          <w:p w14:paraId="3F63C05E"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Transportation Development Act Article 3</w:t>
            </w:r>
          </w:p>
        </w:tc>
        <w:tc>
          <w:tcPr>
            <w:tcW w:w="0" w:type="auto"/>
          </w:tcPr>
          <w:p w14:paraId="70D7BA06" w14:textId="65950C5C" w:rsidR="00771C80" w:rsidRDefault="001025A5"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rsidRPr="00C57A78" w14:paraId="7AC4B3B0" w14:textId="77777777" w:rsidTr="002411C8">
        <w:tc>
          <w:tcPr>
            <w:cnfStyle w:val="001000000000" w:firstRow="0" w:lastRow="0" w:firstColumn="1" w:lastColumn="0" w:oddVBand="0" w:evenVBand="0" w:oddHBand="0" w:evenHBand="0" w:firstRowFirstColumn="0" w:firstRowLastColumn="0" w:lastRowFirstColumn="0" w:lastRowLastColumn="0"/>
            <w:tcW w:w="1575" w:type="pct"/>
            <w:shd w:val="clear" w:color="auto" w:fill="D9D9D9" w:themeFill="background1" w:themeFillShade="D9"/>
          </w:tcPr>
          <w:p w14:paraId="23B9F0DF" w14:textId="77777777" w:rsidR="00771C80" w:rsidRPr="00C57A78" w:rsidRDefault="00771C80" w:rsidP="002411C8">
            <w:pPr>
              <w:pStyle w:val="TableText"/>
              <w:rPr>
                <w:b/>
                <w:bCs/>
                <w:i/>
                <w:iCs/>
              </w:rPr>
            </w:pPr>
            <w:r>
              <w:rPr>
                <w:b/>
                <w:bCs/>
                <w:i/>
                <w:iCs/>
              </w:rPr>
              <w:lastRenderedPageBreak/>
              <w:t>Regional Sources</w:t>
            </w:r>
          </w:p>
        </w:tc>
        <w:tc>
          <w:tcPr>
            <w:tcW w:w="2870" w:type="pct"/>
            <w:shd w:val="clear" w:color="auto" w:fill="D9D9D9" w:themeFill="background1" w:themeFillShade="D9"/>
          </w:tcPr>
          <w:p w14:paraId="2F5A4EB7" w14:textId="77777777" w:rsidR="00771C80" w:rsidRPr="00C57A78" w:rsidRDefault="00771C80" w:rsidP="002411C8">
            <w:pPr>
              <w:pStyle w:val="TableText"/>
              <w:cnfStyle w:val="000000000000" w:firstRow="0" w:lastRow="0" w:firstColumn="0" w:lastColumn="0" w:oddVBand="0" w:evenVBand="0" w:oddHBand="0" w:evenHBand="0" w:firstRowFirstColumn="0" w:firstRowLastColumn="0" w:lastRowFirstColumn="0" w:lastRowLastColumn="0"/>
              <w:rPr>
                <w:b/>
                <w:bCs/>
                <w:i/>
                <w:iCs/>
              </w:rPr>
            </w:pPr>
          </w:p>
        </w:tc>
        <w:tc>
          <w:tcPr>
            <w:tcW w:w="0" w:type="auto"/>
            <w:shd w:val="clear" w:color="auto" w:fill="D9D9D9" w:themeFill="background1" w:themeFillShade="D9"/>
          </w:tcPr>
          <w:p w14:paraId="368A82B2" w14:textId="77777777" w:rsidR="00771C80" w:rsidRPr="00C57A78" w:rsidRDefault="00771C80" w:rsidP="002411C8">
            <w:pPr>
              <w:pStyle w:val="TableText"/>
              <w:cnfStyle w:val="000000000000" w:firstRow="0" w:lastRow="0" w:firstColumn="0" w:lastColumn="0" w:oddVBand="0" w:evenVBand="0" w:oddHBand="0" w:evenHBand="0" w:firstRowFirstColumn="0" w:firstRowLastColumn="0" w:lastRowFirstColumn="0" w:lastRowLastColumn="0"/>
              <w:rPr>
                <w:b/>
                <w:bCs/>
                <w:i/>
                <w:iCs/>
              </w:rPr>
            </w:pPr>
          </w:p>
        </w:tc>
      </w:tr>
      <w:tr w:rsidR="00771C80" w14:paraId="65E9571C"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42924773" w14:textId="77777777" w:rsidR="00771C80" w:rsidRPr="001025A5" w:rsidRDefault="00771C80" w:rsidP="002411C8">
            <w:pPr>
              <w:pStyle w:val="TableText"/>
            </w:pPr>
            <w:r w:rsidRPr="001025A5">
              <w:t>Metropolitan Transportation Commission (MTC)</w:t>
            </w:r>
          </w:p>
        </w:tc>
        <w:tc>
          <w:tcPr>
            <w:tcW w:w="2870" w:type="pct"/>
          </w:tcPr>
          <w:p w14:paraId="00CBD588" w14:textId="77777777" w:rsidR="00771C80" w:rsidRPr="001025A5"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1025A5">
              <w:t>Climate Initiatives Innovating Grants Fund</w:t>
            </w:r>
          </w:p>
        </w:tc>
        <w:tc>
          <w:tcPr>
            <w:tcW w:w="0" w:type="auto"/>
          </w:tcPr>
          <w:p w14:paraId="26CB7236" w14:textId="05AD30E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p>
        </w:tc>
      </w:tr>
      <w:tr w:rsidR="00771C80" w14:paraId="5B7222FE"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43BFBC2E" w14:textId="77777777" w:rsidR="00771C80" w:rsidRDefault="00771C80" w:rsidP="002411C8">
            <w:pPr>
              <w:pStyle w:val="TableText"/>
            </w:pPr>
            <w:r w:rsidRPr="00C10C2F">
              <w:t>Metropolitan Transportation Commission (MTC)</w:t>
            </w:r>
          </w:p>
        </w:tc>
        <w:tc>
          <w:tcPr>
            <w:tcW w:w="2870" w:type="pct"/>
          </w:tcPr>
          <w:p w14:paraId="2DA2FB31"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Lifeline Transportation Program</w:t>
            </w:r>
          </w:p>
        </w:tc>
        <w:tc>
          <w:tcPr>
            <w:tcW w:w="0" w:type="auto"/>
          </w:tcPr>
          <w:p w14:paraId="608B4F68"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Biennial</w:t>
            </w:r>
          </w:p>
        </w:tc>
      </w:tr>
      <w:tr w:rsidR="00771C80" w14:paraId="60F4C06D"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44B55EC9" w14:textId="77777777" w:rsidR="00771C80" w:rsidRDefault="00771C80" w:rsidP="002411C8">
            <w:pPr>
              <w:pStyle w:val="TableText"/>
            </w:pPr>
            <w:r w:rsidRPr="00C10C2F">
              <w:t>Metropolitan Transportation Commission (MTC)</w:t>
            </w:r>
          </w:p>
        </w:tc>
        <w:tc>
          <w:tcPr>
            <w:tcW w:w="2870" w:type="pct"/>
          </w:tcPr>
          <w:p w14:paraId="7D02302A"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C10C2F">
              <w:t>Program for Arterial System Synchronization (PASS)</w:t>
            </w:r>
          </w:p>
        </w:tc>
        <w:tc>
          <w:tcPr>
            <w:tcW w:w="0" w:type="auto"/>
          </w:tcPr>
          <w:p w14:paraId="57FEB1B8"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08C106C8"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2886F49C" w14:textId="77777777" w:rsidR="00771C80" w:rsidRDefault="00771C80" w:rsidP="002411C8">
            <w:pPr>
              <w:pStyle w:val="TableText"/>
            </w:pPr>
            <w:r w:rsidRPr="00C10C2F">
              <w:t>Metropolitan Transportation Commission (MTC)</w:t>
            </w:r>
          </w:p>
        </w:tc>
        <w:tc>
          <w:tcPr>
            <w:tcW w:w="2870" w:type="pct"/>
          </w:tcPr>
          <w:p w14:paraId="5C62C46F"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C10C2F">
              <w:t>Transportation Development Act Article 3 (TDA3) Funding</w:t>
            </w:r>
          </w:p>
        </w:tc>
        <w:tc>
          <w:tcPr>
            <w:tcW w:w="0" w:type="auto"/>
          </w:tcPr>
          <w:p w14:paraId="5416C644"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771C80" w14:paraId="3421DD29"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shd w:val="clear" w:color="auto" w:fill="D9D9D9" w:themeFill="background1" w:themeFillShade="D9"/>
          </w:tcPr>
          <w:p w14:paraId="702DE598" w14:textId="77777777" w:rsidR="00771C80" w:rsidRPr="009F7780" w:rsidRDefault="00771C80" w:rsidP="002411C8">
            <w:pPr>
              <w:pStyle w:val="TableText"/>
              <w:rPr>
                <w:b/>
                <w:bCs/>
                <w:i/>
                <w:iCs/>
                <w:highlight w:val="yellow"/>
              </w:rPr>
            </w:pPr>
            <w:r w:rsidRPr="009F7780">
              <w:rPr>
                <w:b/>
                <w:bCs/>
                <w:i/>
                <w:iCs/>
              </w:rPr>
              <w:t>State Sources</w:t>
            </w:r>
          </w:p>
        </w:tc>
        <w:tc>
          <w:tcPr>
            <w:tcW w:w="2870" w:type="pct"/>
            <w:tcBorders>
              <w:top w:val="nil"/>
            </w:tcBorders>
            <w:shd w:val="clear" w:color="auto" w:fill="D9D9D9" w:themeFill="background1" w:themeFillShade="D9"/>
          </w:tcPr>
          <w:p w14:paraId="2BCDE83D" w14:textId="77777777" w:rsidR="00771C80" w:rsidRPr="00C10C2F" w:rsidRDefault="00771C80" w:rsidP="002411C8">
            <w:pPr>
              <w:pStyle w:val="TableText"/>
              <w:cnfStyle w:val="000000010000" w:firstRow="0" w:lastRow="0" w:firstColumn="0" w:lastColumn="0" w:oddVBand="0" w:evenVBand="0" w:oddHBand="0" w:evenHBand="1" w:firstRowFirstColumn="0" w:firstRowLastColumn="0" w:lastRowFirstColumn="0" w:lastRowLastColumn="0"/>
            </w:pPr>
          </w:p>
        </w:tc>
        <w:tc>
          <w:tcPr>
            <w:tcW w:w="555" w:type="pct"/>
            <w:tcBorders>
              <w:top w:val="nil"/>
            </w:tcBorders>
            <w:shd w:val="clear" w:color="auto" w:fill="D9D9D9" w:themeFill="background1" w:themeFillShade="D9"/>
          </w:tcPr>
          <w:p w14:paraId="155334EB"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p>
        </w:tc>
      </w:tr>
      <w:tr w:rsidR="00771C80" w14:paraId="5BC82C56"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122E33CE" w14:textId="77777777" w:rsidR="00771C80" w:rsidRDefault="00771C80" w:rsidP="002411C8">
            <w:pPr>
              <w:pStyle w:val="TableText"/>
            </w:pPr>
            <w:r>
              <w:t>California Transportation Commission</w:t>
            </w:r>
          </w:p>
        </w:tc>
        <w:tc>
          <w:tcPr>
            <w:tcW w:w="2870" w:type="pct"/>
            <w:tcBorders>
              <w:top w:val="nil"/>
            </w:tcBorders>
          </w:tcPr>
          <w:p w14:paraId="11862B5F"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C10C2F">
              <w:t>Active Transportation Program (ATP)</w:t>
            </w:r>
          </w:p>
        </w:tc>
        <w:tc>
          <w:tcPr>
            <w:tcW w:w="555" w:type="pct"/>
            <w:tcBorders>
              <w:top w:val="nil"/>
            </w:tcBorders>
          </w:tcPr>
          <w:p w14:paraId="633AA491"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Biennial</w:t>
            </w:r>
          </w:p>
        </w:tc>
      </w:tr>
      <w:tr w:rsidR="00771C80" w14:paraId="1B95665C"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2959BB08" w14:textId="77777777" w:rsidR="00771C80" w:rsidRDefault="00771C80" w:rsidP="002411C8">
            <w:pPr>
              <w:pStyle w:val="TableText"/>
            </w:pPr>
            <w:r w:rsidRPr="00811E0F">
              <w:t>California Natural Resources Agency</w:t>
            </w:r>
          </w:p>
        </w:tc>
        <w:tc>
          <w:tcPr>
            <w:tcW w:w="2870" w:type="pct"/>
          </w:tcPr>
          <w:p w14:paraId="7268E8EF"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California Natural Resources Agency Environmental Enhancement and Mitigation (EEM) Program</w:t>
            </w:r>
          </w:p>
        </w:tc>
        <w:tc>
          <w:tcPr>
            <w:tcW w:w="555" w:type="pct"/>
          </w:tcPr>
          <w:p w14:paraId="3DBD2085"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7C223E7F"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4D849B4E" w14:textId="77777777" w:rsidR="00771C80" w:rsidRDefault="00771C80" w:rsidP="002411C8">
            <w:pPr>
              <w:pStyle w:val="TableText"/>
            </w:pPr>
            <w:r w:rsidRPr="00811E0F">
              <w:t>California Natural Resources Agency</w:t>
            </w:r>
          </w:p>
        </w:tc>
        <w:tc>
          <w:tcPr>
            <w:tcW w:w="2870" w:type="pct"/>
          </w:tcPr>
          <w:p w14:paraId="7346EEE7"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811E0F">
              <w:t>California Natural Resources Agency Urban Greening Program</w:t>
            </w:r>
          </w:p>
        </w:tc>
        <w:tc>
          <w:tcPr>
            <w:tcW w:w="555" w:type="pct"/>
          </w:tcPr>
          <w:p w14:paraId="0347FF85"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Biennial</w:t>
            </w:r>
          </w:p>
        </w:tc>
      </w:tr>
      <w:tr w:rsidR="00771C80" w14:paraId="48CCE0C2"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48C47C49" w14:textId="77777777" w:rsidR="00771C80" w:rsidRDefault="00771C80" w:rsidP="002411C8">
            <w:pPr>
              <w:pStyle w:val="TableText"/>
            </w:pPr>
            <w:r w:rsidRPr="00811E0F">
              <w:t>California Office of Traffic Safety (OTS)</w:t>
            </w:r>
          </w:p>
        </w:tc>
        <w:tc>
          <w:tcPr>
            <w:tcW w:w="2870" w:type="pct"/>
          </w:tcPr>
          <w:p w14:paraId="34E0C786"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California Office of Traffic Safety (OTS) Grant Program</w:t>
            </w:r>
          </w:p>
        </w:tc>
        <w:tc>
          <w:tcPr>
            <w:tcW w:w="555" w:type="pct"/>
          </w:tcPr>
          <w:p w14:paraId="2E5332B4"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7FB4F884"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76D7433F" w14:textId="77777777" w:rsidR="00771C80" w:rsidRDefault="00771C80" w:rsidP="002411C8">
            <w:pPr>
              <w:pStyle w:val="TableText"/>
            </w:pPr>
            <w:r w:rsidRPr="00811E0F">
              <w:t xml:space="preserve">California Strategic Growth Council (SGC) </w:t>
            </w:r>
          </w:p>
        </w:tc>
        <w:tc>
          <w:tcPr>
            <w:tcW w:w="2870" w:type="pct"/>
          </w:tcPr>
          <w:p w14:paraId="3B3BC0BF"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811E0F">
              <w:t>California Strategic Growth Council (SGC) Transformative Climate Communities (TCC) Program</w:t>
            </w:r>
          </w:p>
        </w:tc>
        <w:tc>
          <w:tcPr>
            <w:tcW w:w="555" w:type="pct"/>
          </w:tcPr>
          <w:p w14:paraId="7E5E38C6"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771C80" w14:paraId="67EA6026"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5CAED211" w14:textId="77777777" w:rsidR="00771C80" w:rsidRPr="00811E0F" w:rsidRDefault="00771C80" w:rsidP="002411C8">
            <w:pPr>
              <w:pStyle w:val="TableText"/>
              <w:rPr>
                <w:highlight w:val="yellow"/>
              </w:rPr>
            </w:pPr>
            <w:r w:rsidRPr="00D75DD6">
              <w:t>California Department of Transportation</w:t>
            </w:r>
            <w:r>
              <w:t xml:space="preserve"> (Caltrans)</w:t>
            </w:r>
          </w:p>
        </w:tc>
        <w:tc>
          <w:tcPr>
            <w:tcW w:w="2870" w:type="pct"/>
          </w:tcPr>
          <w:p w14:paraId="39BDC898" w14:textId="77777777" w:rsidR="00771C80" w:rsidRPr="00811E0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Caltrans Strategic Partnerships Grants</w:t>
            </w:r>
          </w:p>
        </w:tc>
        <w:tc>
          <w:tcPr>
            <w:tcW w:w="555" w:type="pct"/>
          </w:tcPr>
          <w:p w14:paraId="40C530B5"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4306AB73"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25778E30" w14:textId="77777777" w:rsidR="00771C80" w:rsidRPr="00811E0F" w:rsidRDefault="00771C80" w:rsidP="002411C8">
            <w:pPr>
              <w:pStyle w:val="TableText"/>
              <w:rPr>
                <w:highlight w:val="yellow"/>
              </w:rPr>
            </w:pPr>
            <w:r w:rsidRPr="00D75DD6">
              <w:t>California Department of Transportation</w:t>
            </w:r>
            <w:r>
              <w:t xml:space="preserve"> (Caltrans)</w:t>
            </w:r>
          </w:p>
        </w:tc>
        <w:tc>
          <w:tcPr>
            <w:tcW w:w="2870" w:type="pct"/>
          </w:tcPr>
          <w:p w14:paraId="76968EFE" w14:textId="77777777" w:rsidR="00771C80" w:rsidRPr="00811E0F"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811E0F">
              <w:t>Clean California</w:t>
            </w:r>
          </w:p>
        </w:tc>
        <w:tc>
          <w:tcPr>
            <w:tcW w:w="555" w:type="pct"/>
          </w:tcPr>
          <w:p w14:paraId="08F89206"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Three-year cycle</w:t>
            </w:r>
          </w:p>
        </w:tc>
      </w:tr>
      <w:tr w:rsidR="00771C80" w14:paraId="3EF2E11A"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71EC2840" w14:textId="77777777" w:rsidR="00771C80" w:rsidRPr="00811E0F" w:rsidRDefault="00771C80" w:rsidP="002411C8">
            <w:pPr>
              <w:pStyle w:val="TableText"/>
              <w:rPr>
                <w:highlight w:val="yellow"/>
              </w:rPr>
            </w:pPr>
            <w:r w:rsidRPr="00D75DD6">
              <w:t>California Department of Transportation</w:t>
            </w:r>
            <w:r>
              <w:t xml:space="preserve"> (Caltrans)</w:t>
            </w:r>
          </w:p>
        </w:tc>
        <w:tc>
          <w:tcPr>
            <w:tcW w:w="2870" w:type="pct"/>
          </w:tcPr>
          <w:p w14:paraId="0BD1186A" w14:textId="77777777" w:rsidR="00771C80" w:rsidRPr="00811E0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Highway Safety Improvement Program (HSIP)</w:t>
            </w:r>
          </w:p>
        </w:tc>
        <w:tc>
          <w:tcPr>
            <w:tcW w:w="555" w:type="pct"/>
          </w:tcPr>
          <w:p w14:paraId="6FA2430B"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674E8" w14:paraId="320953F1"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0AF07175" w14:textId="170F799D" w:rsidR="007674E8" w:rsidRPr="00C74EC6" w:rsidRDefault="007674E8" w:rsidP="002411C8">
            <w:pPr>
              <w:pStyle w:val="TableText"/>
            </w:pPr>
            <w:r>
              <w:t>California</w:t>
            </w:r>
            <w:r w:rsidR="00474497">
              <w:t xml:space="preserve"> Department of</w:t>
            </w:r>
            <w:r>
              <w:t xml:space="preserve"> Parks and Recreation</w:t>
            </w:r>
          </w:p>
        </w:tc>
        <w:tc>
          <w:tcPr>
            <w:tcW w:w="2870" w:type="pct"/>
          </w:tcPr>
          <w:p w14:paraId="453D5B7D" w14:textId="74EA084B" w:rsidR="007674E8" w:rsidRPr="00811E0F" w:rsidRDefault="007674E8" w:rsidP="002411C8">
            <w:pPr>
              <w:pStyle w:val="TableText"/>
              <w:cnfStyle w:val="000000000000" w:firstRow="0" w:lastRow="0" w:firstColumn="0" w:lastColumn="0" w:oddVBand="0" w:evenVBand="0" w:oddHBand="0" w:evenHBand="0" w:firstRowFirstColumn="0" w:firstRowLastColumn="0" w:lastRowFirstColumn="0" w:lastRowLastColumn="0"/>
            </w:pPr>
            <w:r>
              <w:t>Recreational Trails Program (RTP)</w:t>
            </w:r>
          </w:p>
        </w:tc>
        <w:tc>
          <w:tcPr>
            <w:tcW w:w="555" w:type="pct"/>
          </w:tcPr>
          <w:p w14:paraId="5DEB96E9" w14:textId="1F050C83" w:rsidR="007674E8" w:rsidRDefault="007674E8"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771C80" w14:paraId="1AD90EF7"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06B26FB3" w14:textId="77777777" w:rsidR="00771C80" w:rsidRPr="00811E0F" w:rsidRDefault="00771C80" w:rsidP="002411C8">
            <w:pPr>
              <w:pStyle w:val="TableText"/>
              <w:rPr>
                <w:highlight w:val="yellow"/>
              </w:rPr>
            </w:pPr>
            <w:r w:rsidRPr="00C74EC6">
              <w:t>California Transportation Commission</w:t>
            </w:r>
            <w:r>
              <w:t xml:space="preserve"> (CTC)</w:t>
            </w:r>
          </w:p>
        </w:tc>
        <w:tc>
          <w:tcPr>
            <w:tcW w:w="2870" w:type="pct"/>
          </w:tcPr>
          <w:p w14:paraId="0673E3EC" w14:textId="77777777" w:rsidR="00771C80" w:rsidRPr="00811E0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SB 1 Local Partnership Program (LPP)</w:t>
            </w:r>
          </w:p>
        </w:tc>
        <w:tc>
          <w:tcPr>
            <w:tcW w:w="555" w:type="pct"/>
          </w:tcPr>
          <w:p w14:paraId="26FB8990"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Biennial</w:t>
            </w:r>
          </w:p>
        </w:tc>
      </w:tr>
      <w:tr w:rsidR="00771C80" w14:paraId="0E256B51"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141FCF4F" w14:textId="77777777" w:rsidR="00771C80" w:rsidRPr="00811E0F" w:rsidRDefault="00771C80" w:rsidP="002411C8">
            <w:pPr>
              <w:pStyle w:val="TableText"/>
              <w:rPr>
                <w:highlight w:val="yellow"/>
              </w:rPr>
            </w:pPr>
            <w:r w:rsidRPr="00C74EC6">
              <w:t>California Transportation Commission</w:t>
            </w:r>
            <w:r>
              <w:t xml:space="preserve"> (CTC)</w:t>
            </w:r>
          </w:p>
        </w:tc>
        <w:tc>
          <w:tcPr>
            <w:tcW w:w="2870" w:type="pct"/>
          </w:tcPr>
          <w:p w14:paraId="2360B84F" w14:textId="77777777" w:rsidR="00771C80" w:rsidRPr="00811E0F"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811E0F">
              <w:t>SB 1 Local Streets and Roads Program (LSRP)</w:t>
            </w:r>
          </w:p>
        </w:tc>
        <w:tc>
          <w:tcPr>
            <w:tcW w:w="555" w:type="pct"/>
          </w:tcPr>
          <w:p w14:paraId="508B616D"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771C80" w14:paraId="1E16479A"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4C92B84C" w14:textId="77777777" w:rsidR="00771C80" w:rsidRPr="00811E0F" w:rsidRDefault="00771C80" w:rsidP="002411C8">
            <w:pPr>
              <w:pStyle w:val="TableText"/>
              <w:rPr>
                <w:highlight w:val="yellow"/>
              </w:rPr>
            </w:pPr>
            <w:r w:rsidRPr="00C74EC6">
              <w:t>California Transportation Commission</w:t>
            </w:r>
            <w:r>
              <w:t xml:space="preserve"> (CTC)</w:t>
            </w:r>
          </w:p>
        </w:tc>
        <w:tc>
          <w:tcPr>
            <w:tcW w:w="2870" w:type="pct"/>
          </w:tcPr>
          <w:p w14:paraId="33B52C74" w14:textId="77777777" w:rsidR="00771C80" w:rsidRPr="00811E0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811E0F">
              <w:t>SB 1 Solutions for Congested Corridors Program (SCCP)</w:t>
            </w:r>
          </w:p>
        </w:tc>
        <w:tc>
          <w:tcPr>
            <w:tcW w:w="555" w:type="pct"/>
          </w:tcPr>
          <w:p w14:paraId="487726BF"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3C90FFE5"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57C5AD18" w14:textId="77777777" w:rsidR="00771C80" w:rsidRPr="00811E0F" w:rsidRDefault="00771C80" w:rsidP="002411C8">
            <w:pPr>
              <w:pStyle w:val="TableText"/>
              <w:rPr>
                <w:highlight w:val="yellow"/>
              </w:rPr>
            </w:pPr>
            <w:r w:rsidRPr="00C74EC6">
              <w:t>California Transportation Commission</w:t>
            </w:r>
            <w:r>
              <w:t xml:space="preserve"> (CTC)</w:t>
            </w:r>
          </w:p>
        </w:tc>
        <w:tc>
          <w:tcPr>
            <w:tcW w:w="2870" w:type="pct"/>
          </w:tcPr>
          <w:p w14:paraId="558E5CDD" w14:textId="77777777" w:rsidR="00771C80" w:rsidRPr="00811E0F"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811E0F">
              <w:t>SB 1 State Transportation Improvement Program (STIP)</w:t>
            </w:r>
          </w:p>
        </w:tc>
        <w:tc>
          <w:tcPr>
            <w:tcW w:w="555" w:type="pct"/>
          </w:tcPr>
          <w:p w14:paraId="518D80BF"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Biennial</w:t>
            </w:r>
          </w:p>
        </w:tc>
      </w:tr>
      <w:tr w:rsidR="00771C80" w14:paraId="6920FCE3"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21B5CC3C" w14:textId="77777777" w:rsidR="00771C80" w:rsidRPr="00811E0F" w:rsidRDefault="00771C80" w:rsidP="002411C8">
            <w:pPr>
              <w:pStyle w:val="TableText"/>
              <w:rPr>
                <w:highlight w:val="yellow"/>
              </w:rPr>
            </w:pPr>
            <w:r w:rsidRPr="004C573F">
              <w:t>California Strategic Growth Council (SGC)</w:t>
            </w:r>
          </w:p>
        </w:tc>
        <w:tc>
          <w:tcPr>
            <w:tcW w:w="2870" w:type="pct"/>
          </w:tcPr>
          <w:p w14:paraId="5668DDAE" w14:textId="77777777" w:rsidR="00771C80" w:rsidRPr="00811E0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B02171">
              <w:t>SGC Affordable Housing and Sustainable Communities (AHSC) Program</w:t>
            </w:r>
          </w:p>
        </w:tc>
        <w:tc>
          <w:tcPr>
            <w:tcW w:w="555" w:type="pct"/>
          </w:tcPr>
          <w:p w14:paraId="100D4BC8"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1025A5" w14:paraId="3F3F15BD" w14:textId="77777777" w:rsidTr="002411C8">
        <w:tc>
          <w:tcPr>
            <w:cnfStyle w:val="001000000000" w:firstRow="0" w:lastRow="0" w:firstColumn="1" w:lastColumn="0" w:oddVBand="0" w:evenVBand="0" w:oddHBand="0" w:evenHBand="0" w:firstRowFirstColumn="0" w:firstRowLastColumn="0" w:lastRowFirstColumn="0" w:lastRowLastColumn="0"/>
            <w:tcW w:w="1575" w:type="pct"/>
          </w:tcPr>
          <w:p w14:paraId="1D89E1AA" w14:textId="03F616C9" w:rsidR="001025A5" w:rsidRPr="004C573F" w:rsidRDefault="001025A5" w:rsidP="002411C8">
            <w:pPr>
              <w:pStyle w:val="TableText"/>
            </w:pPr>
            <w:r>
              <w:t>California Department of Parks and Recreation</w:t>
            </w:r>
          </w:p>
        </w:tc>
        <w:tc>
          <w:tcPr>
            <w:tcW w:w="2870" w:type="pct"/>
          </w:tcPr>
          <w:p w14:paraId="4DA2F2A0" w14:textId="23459D19" w:rsidR="001025A5" w:rsidRPr="00B02171" w:rsidRDefault="001025A5" w:rsidP="002411C8">
            <w:pPr>
              <w:pStyle w:val="TableText"/>
              <w:cnfStyle w:val="000000000000" w:firstRow="0" w:lastRow="0" w:firstColumn="0" w:lastColumn="0" w:oddVBand="0" w:evenVBand="0" w:oddHBand="0" w:evenHBand="0" w:firstRowFirstColumn="0" w:firstRowLastColumn="0" w:lastRowFirstColumn="0" w:lastRowLastColumn="0"/>
            </w:pPr>
            <w:r>
              <w:t>Statewide Parks Program</w:t>
            </w:r>
          </w:p>
        </w:tc>
        <w:tc>
          <w:tcPr>
            <w:tcW w:w="555" w:type="pct"/>
          </w:tcPr>
          <w:p w14:paraId="7F42C2FB" w14:textId="128E9BA7" w:rsidR="001025A5" w:rsidRDefault="001025A5"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1025A5" w14:paraId="08262357"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Pr>
          <w:p w14:paraId="7C9909AE" w14:textId="0A33E322" w:rsidR="001025A5" w:rsidRPr="004C573F" w:rsidRDefault="001025A5" w:rsidP="002411C8">
            <w:pPr>
              <w:pStyle w:val="TableText"/>
            </w:pPr>
            <w:r>
              <w:lastRenderedPageBreak/>
              <w:t>Caltrans and the Metropolitan Transportation Commission (MTC)</w:t>
            </w:r>
          </w:p>
        </w:tc>
        <w:tc>
          <w:tcPr>
            <w:tcW w:w="2870" w:type="pct"/>
          </w:tcPr>
          <w:p w14:paraId="16154708" w14:textId="51BB5731" w:rsidR="001025A5" w:rsidRPr="00B02171" w:rsidRDefault="001025A5" w:rsidP="002411C8">
            <w:pPr>
              <w:pStyle w:val="TableText"/>
              <w:cnfStyle w:val="000000010000" w:firstRow="0" w:lastRow="0" w:firstColumn="0" w:lastColumn="0" w:oddVBand="0" w:evenVBand="0" w:oddHBand="0" w:evenHBand="1" w:firstRowFirstColumn="0" w:firstRowLastColumn="0" w:lastRowFirstColumn="0" w:lastRowLastColumn="0"/>
            </w:pPr>
            <w:r>
              <w:t>Surface Transportation Block Grants</w:t>
            </w:r>
          </w:p>
        </w:tc>
        <w:tc>
          <w:tcPr>
            <w:tcW w:w="555" w:type="pct"/>
          </w:tcPr>
          <w:p w14:paraId="4952CA42" w14:textId="64320633" w:rsidR="001025A5" w:rsidRDefault="001025A5"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7AF655E8"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bottom w:val="nil"/>
            </w:tcBorders>
            <w:shd w:val="clear" w:color="auto" w:fill="D9D9D9" w:themeFill="background1" w:themeFillShade="D9"/>
          </w:tcPr>
          <w:p w14:paraId="31928A60" w14:textId="77777777" w:rsidR="00771C80" w:rsidRPr="009F7780" w:rsidRDefault="00771C80" w:rsidP="002411C8">
            <w:pPr>
              <w:pStyle w:val="TableText"/>
              <w:rPr>
                <w:b/>
                <w:bCs/>
                <w:i/>
                <w:iCs/>
                <w:highlight w:val="yellow"/>
              </w:rPr>
            </w:pPr>
            <w:r w:rsidRPr="009F7780">
              <w:rPr>
                <w:b/>
                <w:bCs/>
                <w:i/>
                <w:iCs/>
              </w:rPr>
              <w:t>Federal Sources</w:t>
            </w:r>
          </w:p>
        </w:tc>
        <w:tc>
          <w:tcPr>
            <w:tcW w:w="2870" w:type="pct"/>
            <w:tcBorders>
              <w:top w:val="nil"/>
              <w:bottom w:val="nil"/>
            </w:tcBorders>
            <w:shd w:val="clear" w:color="auto" w:fill="D9D9D9" w:themeFill="background1" w:themeFillShade="D9"/>
          </w:tcPr>
          <w:p w14:paraId="5DD34CA8" w14:textId="77777777" w:rsidR="00771C80" w:rsidRPr="00C10C2F" w:rsidRDefault="00771C80" w:rsidP="002411C8">
            <w:pPr>
              <w:pStyle w:val="TableText"/>
              <w:cnfStyle w:val="000000000000" w:firstRow="0" w:lastRow="0" w:firstColumn="0" w:lastColumn="0" w:oddVBand="0" w:evenVBand="0" w:oddHBand="0" w:evenHBand="0" w:firstRowFirstColumn="0" w:firstRowLastColumn="0" w:lastRowFirstColumn="0" w:lastRowLastColumn="0"/>
            </w:pPr>
          </w:p>
        </w:tc>
        <w:tc>
          <w:tcPr>
            <w:tcW w:w="0" w:type="auto"/>
            <w:tcBorders>
              <w:top w:val="nil"/>
              <w:bottom w:val="nil"/>
            </w:tcBorders>
            <w:shd w:val="clear" w:color="auto" w:fill="D9D9D9" w:themeFill="background1" w:themeFillShade="D9"/>
          </w:tcPr>
          <w:p w14:paraId="0E30A353"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p>
        </w:tc>
      </w:tr>
      <w:tr w:rsidR="00771C80" w14:paraId="2B3C7CC9"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574A8C4E" w14:textId="77777777" w:rsidR="00771C80" w:rsidRPr="00811E0F" w:rsidRDefault="00771C80" w:rsidP="002411C8">
            <w:pPr>
              <w:pStyle w:val="TableText"/>
              <w:rPr>
                <w:highlight w:val="yellow"/>
              </w:rPr>
            </w:pPr>
            <w:r>
              <w:t>US Department of Housing and Urban Development (HUD)</w:t>
            </w:r>
          </w:p>
        </w:tc>
        <w:tc>
          <w:tcPr>
            <w:tcW w:w="2870" w:type="pct"/>
            <w:tcBorders>
              <w:top w:val="nil"/>
            </w:tcBorders>
          </w:tcPr>
          <w:p w14:paraId="61F5833F" w14:textId="77777777" w:rsidR="00771C80" w:rsidRPr="00C10C2F" w:rsidRDefault="00771C80" w:rsidP="002411C8">
            <w:pPr>
              <w:pStyle w:val="TableText"/>
              <w:cnfStyle w:val="000000010000" w:firstRow="0" w:lastRow="0" w:firstColumn="0" w:lastColumn="0" w:oddVBand="0" w:evenVBand="0" w:oddHBand="0" w:evenHBand="1" w:firstRowFirstColumn="0" w:firstRowLastColumn="0" w:lastRowFirstColumn="0" w:lastRowLastColumn="0"/>
            </w:pPr>
            <w:r w:rsidRPr="00B02171">
              <w:t>Community Development Block Grant (CDBG) Program</w:t>
            </w:r>
          </w:p>
        </w:tc>
        <w:tc>
          <w:tcPr>
            <w:tcW w:w="0" w:type="auto"/>
            <w:tcBorders>
              <w:top w:val="nil"/>
            </w:tcBorders>
          </w:tcPr>
          <w:p w14:paraId="22B8EBD8" w14:textId="77777777" w:rsidR="00771C80" w:rsidRDefault="00771C80"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1CA2CEB9"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4A8BF127" w14:textId="77777777" w:rsidR="00771C80" w:rsidRPr="00811E0F" w:rsidRDefault="00771C80" w:rsidP="002411C8">
            <w:pPr>
              <w:pStyle w:val="TableText"/>
              <w:rPr>
                <w:highlight w:val="yellow"/>
              </w:rPr>
            </w:pPr>
            <w:r w:rsidRPr="004C573F">
              <w:t>US Department of Transportation (US DOT)</w:t>
            </w:r>
          </w:p>
        </w:tc>
        <w:tc>
          <w:tcPr>
            <w:tcW w:w="2870" w:type="pct"/>
            <w:tcBorders>
              <w:top w:val="nil"/>
            </w:tcBorders>
          </w:tcPr>
          <w:p w14:paraId="75AF3F9A" w14:textId="77777777" w:rsidR="00771C80" w:rsidRPr="00B02171"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B02171">
              <w:t>Congestion Mitigation and Air Quality (CMAQ) Improvement Program</w:t>
            </w:r>
          </w:p>
        </w:tc>
        <w:tc>
          <w:tcPr>
            <w:tcW w:w="0" w:type="auto"/>
            <w:tcBorders>
              <w:top w:val="nil"/>
            </w:tcBorders>
          </w:tcPr>
          <w:p w14:paraId="5F28005D"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tr w:rsidR="001D06ED" w14:paraId="10598768" w14:textId="77777777" w:rsidTr="00241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2C9029CC" w14:textId="0A0E9DF3" w:rsidR="001D06ED" w:rsidRPr="004C573F" w:rsidRDefault="001D06ED" w:rsidP="002411C8">
            <w:pPr>
              <w:pStyle w:val="TableText"/>
            </w:pPr>
            <w:r w:rsidRPr="004C573F">
              <w:t>US Department of Transportation (US DOT)</w:t>
            </w:r>
          </w:p>
        </w:tc>
        <w:tc>
          <w:tcPr>
            <w:tcW w:w="2870" w:type="pct"/>
            <w:tcBorders>
              <w:top w:val="nil"/>
            </w:tcBorders>
          </w:tcPr>
          <w:p w14:paraId="31A037C6" w14:textId="13AA1F0C" w:rsidR="001D06ED" w:rsidRPr="00B02171" w:rsidRDefault="001D06ED" w:rsidP="002411C8">
            <w:pPr>
              <w:pStyle w:val="TableText"/>
              <w:cnfStyle w:val="000000010000" w:firstRow="0" w:lastRow="0" w:firstColumn="0" w:lastColumn="0" w:oddVBand="0" w:evenVBand="0" w:oddHBand="0" w:evenHBand="1" w:firstRowFirstColumn="0" w:firstRowLastColumn="0" w:lastRowFirstColumn="0" w:lastRowLastColumn="0"/>
            </w:pPr>
            <w:r>
              <w:t>Safe Streets and Roads for All (SS4A) Grant Program</w:t>
            </w:r>
          </w:p>
        </w:tc>
        <w:tc>
          <w:tcPr>
            <w:tcW w:w="0" w:type="auto"/>
            <w:tcBorders>
              <w:top w:val="nil"/>
            </w:tcBorders>
          </w:tcPr>
          <w:p w14:paraId="6A887767" w14:textId="1DDA3375" w:rsidR="001D06ED" w:rsidRDefault="001D06ED" w:rsidP="002411C8">
            <w:pPr>
              <w:pStyle w:val="TableText"/>
              <w:cnfStyle w:val="000000010000" w:firstRow="0" w:lastRow="0" w:firstColumn="0" w:lastColumn="0" w:oddVBand="0" w:evenVBand="0" w:oddHBand="0" w:evenHBand="1" w:firstRowFirstColumn="0" w:firstRowLastColumn="0" w:lastRowFirstColumn="0" w:lastRowLastColumn="0"/>
            </w:pPr>
            <w:r>
              <w:t>Annual</w:t>
            </w:r>
          </w:p>
        </w:tc>
      </w:tr>
      <w:tr w:rsidR="00771C80" w14:paraId="47137F6A" w14:textId="77777777" w:rsidTr="002411C8">
        <w:tc>
          <w:tcPr>
            <w:cnfStyle w:val="001000000000" w:firstRow="0" w:lastRow="0" w:firstColumn="1" w:lastColumn="0" w:oddVBand="0" w:evenVBand="0" w:oddHBand="0" w:evenHBand="0" w:firstRowFirstColumn="0" w:firstRowLastColumn="0" w:lastRowFirstColumn="0" w:lastRowLastColumn="0"/>
            <w:tcW w:w="1575" w:type="pct"/>
            <w:tcBorders>
              <w:top w:val="nil"/>
            </w:tcBorders>
          </w:tcPr>
          <w:p w14:paraId="2CE14801" w14:textId="77777777" w:rsidR="00771C80" w:rsidRPr="00811E0F" w:rsidRDefault="00771C80" w:rsidP="002411C8">
            <w:pPr>
              <w:pStyle w:val="TableText"/>
              <w:rPr>
                <w:highlight w:val="yellow"/>
              </w:rPr>
            </w:pPr>
            <w:r w:rsidRPr="004C573F">
              <w:t>US Department of Transportation (US DOT)</w:t>
            </w:r>
          </w:p>
        </w:tc>
        <w:tc>
          <w:tcPr>
            <w:tcW w:w="2870" w:type="pct"/>
            <w:tcBorders>
              <w:top w:val="nil"/>
            </w:tcBorders>
          </w:tcPr>
          <w:p w14:paraId="59941C10" w14:textId="77777777" w:rsidR="00771C80" w:rsidRPr="00B02171" w:rsidRDefault="00771C80" w:rsidP="002411C8">
            <w:pPr>
              <w:pStyle w:val="TableText"/>
              <w:cnfStyle w:val="000000000000" w:firstRow="0" w:lastRow="0" w:firstColumn="0" w:lastColumn="0" w:oddVBand="0" w:evenVBand="0" w:oddHBand="0" w:evenHBand="0" w:firstRowFirstColumn="0" w:firstRowLastColumn="0" w:lastRowFirstColumn="0" w:lastRowLastColumn="0"/>
            </w:pPr>
            <w:r w:rsidRPr="00B02171">
              <w:t>Rebuilding American Infrastructure with Sustainability and Equity (RAISE) Discretionary Grant Program</w:t>
            </w:r>
          </w:p>
        </w:tc>
        <w:tc>
          <w:tcPr>
            <w:tcW w:w="0" w:type="auto"/>
            <w:tcBorders>
              <w:top w:val="nil"/>
            </w:tcBorders>
          </w:tcPr>
          <w:p w14:paraId="22057984" w14:textId="77777777" w:rsidR="00771C80" w:rsidRDefault="00771C80" w:rsidP="002411C8">
            <w:pPr>
              <w:pStyle w:val="TableText"/>
              <w:cnfStyle w:val="000000000000" w:firstRow="0" w:lastRow="0" w:firstColumn="0" w:lastColumn="0" w:oddVBand="0" w:evenVBand="0" w:oddHBand="0" w:evenHBand="0" w:firstRowFirstColumn="0" w:firstRowLastColumn="0" w:lastRowFirstColumn="0" w:lastRowLastColumn="0"/>
            </w:pPr>
            <w:r>
              <w:t>Annual</w:t>
            </w:r>
          </w:p>
        </w:tc>
      </w:tr>
      <w:bookmarkEnd w:id="0"/>
    </w:tbl>
    <w:p w14:paraId="520BE3C4" w14:textId="77777777" w:rsidR="00771C80" w:rsidRDefault="00771C80" w:rsidP="00771C80">
      <w:pPr>
        <w:pStyle w:val="Heading3"/>
      </w:pPr>
    </w:p>
    <w:sectPr w:rsidR="00771C80" w:rsidSect="00786DFC">
      <w:headerReference w:type="default" r:id="rId8"/>
      <w:footerReference w:type="even" r:id="rId9"/>
      <w:headerReference w:type="first" r:id="rId10"/>
      <w:footerReference w:type="first" r:id="rId11"/>
      <w:pgSz w:w="12240" w:h="15840" w:code="1"/>
      <w:pgMar w:top="216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9A34" w14:textId="77777777" w:rsidR="00CE7E35" w:rsidRDefault="00CE7E35" w:rsidP="0032690E">
      <w:pPr>
        <w:spacing w:before="0" w:after="0" w:line="240" w:lineRule="auto"/>
      </w:pPr>
      <w:r>
        <w:separator/>
      </w:r>
    </w:p>
    <w:p w14:paraId="5B459FF2" w14:textId="77777777" w:rsidR="00CE7E35" w:rsidRDefault="00CE7E35"/>
  </w:endnote>
  <w:endnote w:type="continuationSeparator" w:id="0">
    <w:p w14:paraId="7819D53F" w14:textId="77777777" w:rsidR="00CE7E35" w:rsidRDefault="00CE7E35" w:rsidP="0032690E">
      <w:pPr>
        <w:spacing w:before="0" w:after="0" w:line="240" w:lineRule="auto"/>
      </w:pPr>
      <w:r>
        <w:continuationSeparator/>
      </w:r>
    </w:p>
    <w:p w14:paraId="1216CE32" w14:textId="77777777" w:rsidR="00CE7E35" w:rsidRDefault="00CE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6F6B" w14:textId="77777777" w:rsidR="00013077" w:rsidRPr="00013077" w:rsidRDefault="00013077" w:rsidP="00013077">
    <w:pPr>
      <w:pStyle w:val="Footer"/>
    </w:pPr>
    <w:r>
      <w:rPr>
        <w:noProof/>
      </w:rPr>
      <w:drawing>
        <wp:inline distT="0" distB="0" distL="0" distR="0" wp14:anchorId="1D3D5ADE" wp14:editId="55D3C64C">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386B2EAC" wp14:editId="02EA46E4">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56A319" id="Rectangle 4" o:spid="_x0000_s1026"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path="m,l7772400,95693r,132907l,228600,,xe" fillcolor="#8dc642" stroked="f" strokeweight="1pt">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EF4A" w14:textId="2206193A" w:rsidR="00397B7D" w:rsidRPr="0093607E" w:rsidRDefault="00397B7D" w:rsidP="0093607E">
    <w:pPr>
      <w:pStyle w:val="Footer"/>
      <w:pBdr>
        <w:top w:val="single" w:sz="4" w:space="1" w:color="849895"/>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972D" w14:textId="77777777" w:rsidR="00CE7E35" w:rsidRPr="009C0ABF" w:rsidRDefault="00CE7E35" w:rsidP="0032690E">
      <w:pPr>
        <w:spacing w:before="0" w:after="0" w:line="240" w:lineRule="auto"/>
        <w:rPr>
          <w:color w:val="7F7F7F" w:themeColor="text1" w:themeTint="80"/>
        </w:rPr>
      </w:pPr>
      <w:r w:rsidRPr="009C0ABF">
        <w:rPr>
          <w:color w:val="7F7F7F" w:themeColor="text1" w:themeTint="80"/>
        </w:rPr>
        <w:separator/>
      </w:r>
    </w:p>
  </w:footnote>
  <w:footnote w:type="continuationSeparator" w:id="0">
    <w:p w14:paraId="37A19C5D" w14:textId="77777777" w:rsidR="00CE7E35" w:rsidRDefault="00CE7E35" w:rsidP="0032690E">
      <w:pPr>
        <w:spacing w:before="0" w:after="0" w:line="240" w:lineRule="auto"/>
      </w:pPr>
      <w:r>
        <w:continuationSeparator/>
      </w:r>
    </w:p>
    <w:p w14:paraId="4DF85B19" w14:textId="77777777" w:rsidR="00CE7E35" w:rsidRDefault="00CE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6BC1" w14:textId="77777777" w:rsidR="001121F2" w:rsidRPr="00163AA7" w:rsidRDefault="001121F2" w:rsidP="00163AA7">
    <w:pPr>
      <w:pStyle w:val="Head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4</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8353" w14:textId="7FD95048" w:rsidR="00AC761A" w:rsidRDefault="00AC761A" w:rsidP="00AC761A">
    <w:pPr>
      <w:pStyle w:val="Header"/>
      <w:tabs>
        <w:tab w:val="right" w:pos="8640"/>
      </w:tabs>
    </w:pPr>
    <w:r>
      <w:t xml:space="preserve">Page </w:t>
    </w:r>
    <w:r>
      <w:fldChar w:fldCharType="begin"/>
    </w:r>
    <w:r>
      <w:instrText xml:space="preserve"> PAGE </w:instrText>
    </w:r>
    <w:r>
      <w:fldChar w:fldCharType="separate"/>
    </w:r>
    <w:r>
      <w:t>1</w:t>
    </w:r>
    <w:r>
      <w:fldChar w:fldCharType="end"/>
    </w:r>
    <w:r>
      <w:t xml:space="preserve"> of </w:t>
    </w:r>
    <w:fldSimple w:instr=" NUMPAGES ">
      <w:r>
        <w:t>1</w:t>
      </w:r>
    </w:fldSimple>
    <w:r>
      <w:t xml:space="preserve"> </w:t>
    </w:r>
    <w:r>
      <w:tab/>
      <w:t>Connected Communit</w:t>
    </w:r>
    <w:r w:rsidR="009D2A29">
      <w:t>y</w:t>
    </w:r>
    <w:r>
      <w:t xml:space="preserve"> PDA </w:t>
    </w:r>
    <w:r w:rsidR="009D2A29">
      <w:t>Policy Development Guide</w:t>
    </w:r>
  </w:p>
  <w:p w14:paraId="3549EB8F" w14:textId="4EE9C501" w:rsidR="00AC761A" w:rsidRPr="00163AA7" w:rsidRDefault="009D2A29" w:rsidP="00AC761A">
    <w:pPr>
      <w:pStyle w:val="Header"/>
      <w:tabs>
        <w:tab w:val="right" w:pos="8640"/>
      </w:tabs>
      <w:jc w:val="right"/>
    </w:pPr>
    <w:r>
      <w:t xml:space="preserve">Policy </w:t>
    </w:r>
    <w:r w:rsidR="00AC761A">
      <w:t>B</w:t>
    </w:r>
    <w:r>
      <w:t>2</w:t>
    </w:r>
    <w:r w:rsidR="00AC761A">
      <w:t>. BPIAP</w:t>
    </w:r>
  </w:p>
  <w:p w14:paraId="38F41FD4" w14:textId="6509890C" w:rsidR="00A671B7" w:rsidRPr="00AC761A" w:rsidRDefault="00A671B7" w:rsidP="00AC7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58318EF"/>
    <w:multiLevelType w:val="hybridMultilevel"/>
    <w:tmpl w:val="81367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705FD"/>
    <w:multiLevelType w:val="hybridMultilevel"/>
    <w:tmpl w:val="C3E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ascii="Segoe UI" w:hAnsi="Segoe UI" w:hint="default"/>
        <w:sz w:val="26"/>
      </w:rPr>
    </w:lvl>
    <w:lvl w:ilvl="1">
      <w:start w:val="1"/>
      <w:numFmt w:val="bullet"/>
      <w:pStyle w:val="ListBullet2"/>
      <w:lvlText w:val="◦"/>
      <w:lvlJc w:val="left"/>
      <w:pPr>
        <w:tabs>
          <w:tab w:val="num" w:pos="720"/>
        </w:tabs>
        <w:ind w:left="1080" w:hanging="360"/>
      </w:pPr>
      <w:rPr>
        <w:rFonts w:ascii="Segoe UI" w:hAnsi="Segoe UI" w:hint="default"/>
        <w:sz w:val="26"/>
      </w:rPr>
    </w:lvl>
    <w:lvl w:ilvl="2">
      <w:start w:val="1"/>
      <w:numFmt w:val="bullet"/>
      <w:pStyle w:val="ListBullet3"/>
      <w:lvlText w:val="▪"/>
      <w:lvlJc w:val="left"/>
      <w:pPr>
        <w:tabs>
          <w:tab w:val="num" w:pos="1080"/>
        </w:tabs>
        <w:ind w:left="1440" w:hanging="360"/>
      </w:pPr>
      <w:rPr>
        <w:rFonts w:ascii="Segoe UI" w:hAnsi="Segoe UI" w:hint="default"/>
        <w:color w:val="auto"/>
        <w:sz w:val="26"/>
      </w:rPr>
    </w:lvl>
    <w:lvl w:ilvl="3">
      <w:start w:val="1"/>
      <w:numFmt w:val="bullet"/>
      <w:pStyle w:val="ListBullet4"/>
      <w:lvlText w:val="▫"/>
      <w:lvlJc w:val="left"/>
      <w:pPr>
        <w:tabs>
          <w:tab w:val="num" w:pos="1440"/>
        </w:tabs>
        <w:ind w:left="1800" w:hanging="360"/>
      </w:pPr>
      <w:rPr>
        <w:rFonts w:ascii="Segoe UI" w:hAnsi="Segoe UI" w:hint="default"/>
        <w:sz w:val="26"/>
      </w:rPr>
    </w:lvl>
    <w:lvl w:ilvl="4">
      <w:start w:val="1"/>
      <w:numFmt w:val="bullet"/>
      <w:pStyle w:val="ListBullet5"/>
      <w:lvlText w:val="♦"/>
      <w:lvlJc w:val="left"/>
      <w:pPr>
        <w:tabs>
          <w:tab w:val="num" w:pos="1800"/>
        </w:tabs>
        <w:ind w:left="2160" w:hanging="360"/>
      </w:pPr>
      <w:rPr>
        <w:rFonts w:ascii="Segoe UI" w:hAnsi="Segoe UI" w:hint="default"/>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5" w15:restartNumberingAfterBreak="0">
    <w:nsid w:val="4A560D0C"/>
    <w:multiLevelType w:val="hybridMultilevel"/>
    <w:tmpl w:val="866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F25B2"/>
    <w:multiLevelType w:val="hybridMultilevel"/>
    <w:tmpl w:val="3834980A"/>
    <w:lvl w:ilvl="0" w:tplc="1A42A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471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243551">
    <w:abstractNumId w:val="4"/>
  </w:num>
  <w:num w:numId="3" w16cid:durableId="1256357059">
    <w:abstractNumId w:val="0"/>
  </w:num>
  <w:num w:numId="4" w16cid:durableId="383338358">
    <w:abstractNumId w:val="3"/>
  </w:num>
  <w:num w:numId="5" w16cid:durableId="175387985">
    <w:abstractNumId w:val="0"/>
  </w:num>
  <w:num w:numId="6" w16cid:durableId="1387803457">
    <w:abstractNumId w:val="0"/>
  </w:num>
  <w:num w:numId="7" w16cid:durableId="198012059">
    <w:abstractNumId w:val="0"/>
  </w:num>
  <w:num w:numId="8" w16cid:durableId="2043940087">
    <w:abstractNumId w:val="0"/>
  </w:num>
  <w:num w:numId="9" w16cid:durableId="1415056006">
    <w:abstractNumId w:val="0"/>
  </w:num>
  <w:num w:numId="10" w16cid:durableId="1854224823">
    <w:abstractNumId w:val="0"/>
  </w:num>
  <w:num w:numId="11" w16cid:durableId="1740010142">
    <w:abstractNumId w:val="0"/>
  </w:num>
  <w:num w:numId="12" w16cid:durableId="432946285">
    <w:abstractNumId w:val="0"/>
  </w:num>
  <w:num w:numId="13" w16cid:durableId="1715348910">
    <w:abstractNumId w:val="0"/>
  </w:num>
  <w:num w:numId="14" w16cid:durableId="2105488216">
    <w:abstractNumId w:val="0"/>
  </w:num>
  <w:num w:numId="15" w16cid:durableId="1464805538">
    <w:abstractNumId w:val="0"/>
  </w:num>
  <w:num w:numId="16" w16cid:durableId="1779525766">
    <w:abstractNumId w:val="0"/>
  </w:num>
  <w:num w:numId="17" w16cid:durableId="413207056">
    <w:abstractNumId w:val="4"/>
  </w:num>
  <w:num w:numId="18" w16cid:durableId="1406534358">
    <w:abstractNumId w:val="4"/>
  </w:num>
  <w:num w:numId="19" w16cid:durableId="1823109563">
    <w:abstractNumId w:val="4"/>
  </w:num>
  <w:num w:numId="20" w16cid:durableId="944001983">
    <w:abstractNumId w:val="4"/>
  </w:num>
  <w:num w:numId="21" w16cid:durableId="616178387">
    <w:abstractNumId w:val="4"/>
  </w:num>
  <w:num w:numId="22" w16cid:durableId="1139805677">
    <w:abstractNumId w:val="3"/>
  </w:num>
  <w:num w:numId="23" w16cid:durableId="1740249005">
    <w:abstractNumId w:val="3"/>
  </w:num>
  <w:num w:numId="24" w16cid:durableId="801654083">
    <w:abstractNumId w:val="3"/>
  </w:num>
  <w:num w:numId="25" w16cid:durableId="35735976">
    <w:abstractNumId w:val="3"/>
  </w:num>
  <w:num w:numId="26" w16cid:durableId="1596090278">
    <w:abstractNumId w:val="3"/>
  </w:num>
  <w:num w:numId="27" w16cid:durableId="1289243785">
    <w:abstractNumId w:val="4"/>
  </w:num>
  <w:num w:numId="28" w16cid:durableId="899098976">
    <w:abstractNumId w:val="0"/>
  </w:num>
  <w:num w:numId="29" w16cid:durableId="274823856">
    <w:abstractNumId w:val="3"/>
  </w:num>
  <w:num w:numId="30" w16cid:durableId="1066731876">
    <w:abstractNumId w:val="1"/>
  </w:num>
  <w:num w:numId="31" w16cid:durableId="554707036">
    <w:abstractNumId w:val="6"/>
  </w:num>
  <w:num w:numId="32" w16cid:durableId="835657932">
    <w:abstractNumId w:val="2"/>
  </w:num>
  <w:num w:numId="33" w16cid:durableId="20801261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07"/>
    <w:rsid w:val="0000367A"/>
    <w:rsid w:val="00010ECC"/>
    <w:rsid w:val="00013077"/>
    <w:rsid w:val="000446F2"/>
    <w:rsid w:val="0004495D"/>
    <w:rsid w:val="00062DE8"/>
    <w:rsid w:val="00066103"/>
    <w:rsid w:val="000762B3"/>
    <w:rsid w:val="000920BD"/>
    <w:rsid w:val="000A3221"/>
    <w:rsid w:val="000A4685"/>
    <w:rsid w:val="000B1FE7"/>
    <w:rsid w:val="000B45FC"/>
    <w:rsid w:val="000D340E"/>
    <w:rsid w:val="000D4582"/>
    <w:rsid w:val="000F4200"/>
    <w:rsid w:val="000F494D"/>
    <w:rsid w:val="000F5BFE"/>
    <w:rsid w:val="001025A5"/>
    <w:rsid w:val="001037AA"/>
    <w:rsid w:val="001121F2"/>
    <w:rsid w:val="00116207"/>
    <w:rsid w:val="001365D3"/>
    <w:rsid w:val="00150677"/>
    <w:rsid w:val="00161797"/>
    <w:rsid w:val="00163AA7"/>
    <w:rsid w:val="0016718A"/>
    <w:rsid w:val="00170B8D"/>
    <w:rsid w:val="00196F1D"/>
    <w:rsid w:val="001B16CC"/>
    <w:rsid w:val="001B741E"/>
    <w:rsid w:val="001D06ED"/>
    <w:rsid w:val="001E227E"/>
    <w:rsid w:val="001E420F"/>
    <w:rsid w:val="001F1800"/>
    <w:rsid w:val="002045FD"/>
    <w:rsid w:val="00267B3A"/>
    <w:rsid w:val="00271EB5"/>
    <w:rsid w:val="00276CFE"/>
    <w:rsid w:val="002A2148"/>
    <w:rsid w:val="002B6E68"/>
    <w:rsid w:val="002C2999"/>
    <w:rsid w:val="002C2A83"/>
    <w:rsid w:val="002C45AE"/>
    <w:rsid w:val="002E1ADA"/>
    <w:rsid w:val="003130E7"/>
    <w:rsid w:val="0032690E"/>
    <w:rsid w:val="00326EDE"/>
    <w:rsid w:val="00333243"/>
    <w:rsid w:val="00341A13"/>
    <w:rsid w:val="00342501"/>
    <w:rsid w:val="00354D15"/>
    <w:rsid w:val="00386BDA"/>
    <w:rsid w:val="00397B7D"/>
    <w:rsid w:val="003B4CB5"/>
    <w:rsid w:val="003B52E5"/>
    <w:rsid w:val="003C5193"/>
    <w:rsid w:val="003C7466"/>
    <w:rsid w:val="003D00D4"/>
    <w:rsid w:val="003D110F"/>
    <w:rsid w:val="003E206C"/>
    <w:rsid w:val="003F1F08"/>
    <w:rsid w:val="003F745C"/>
    <w:rsid w:val="003F7E93"/>
    <w:rsid w:val="004123DC"/>
    <w:rsid w:val="0041397A"/>
    <w:rsid w:val="004164B5"/>
    <w:rsid w:val="00416DBE"/>
    <w:rsid w:val="00427698"/>
    <w:rsid w:val="004341B1"/>
    <w:rsid w:val="004362CD"/>
    <w:rsid w:val="004646C4"/>
    <w:rsid w:val="00474497"/>
    <w:rsid w:val="0047463E"/>
    <w:rsid w:val="004766EC"/>
    <w:rsid w:val="004A07BA"/>
    <w:rsid w:val="004A0FB5"/>
    <w:rsid w:val="004A7D2C"/>
    <w:rsid w:val="004A7D8F"/>
    <w:rsid w:val="004A7F42"/>
    <w:rsid w:val="004C573F"/>
    <w:rsid w:val="004C739E"/>
    <w:rsid w:val="004D0752"/>
    <w:rsid w:val="004E4DA7"/>
    <w:rsid w:val="004F18AE"/>
    <w:rsid w:val="004F6ABA"/>
    <w:rsid w:val="004F7B59"/>
    <w:rsid w:val="00504010"/>
    <w:rsid w:val="00513431"/>
    <w:rsid w:val="0051517D"/>
    <w:rsid w:val="00521CDA"/>
    <w:rsid w:val="0052578C"/>
    <w:rsid w:val="00555787"/>
    <w:rsid w:val="0056685B"/>
    <w:rsid w:val="00576E24"/>
    <w:rsid w:val="0057702D"/>
    <w:rsid w:val="005861EA"/>
    <w:rsid w:val="005A0E25"/>
    <w:rsid w:val="005A3566"/>
    <w:rsid w:val="005C6C56"/>
    <w:rsid w:val="005D3AEE"/>
    <w:rsid w:val="005D7383"/>
    <w:rsid w:val="005E3FE5"/>
    <w:rsid w:val="00602C35"/>
    <w:rsid w:val="00607D7D"/>
    <w:rsid w:val="006121A4"/>
    <w:rsid w:val="00612598"/>
    <w:rsid w:val="00617DDC"/>
    <w:rsid w:val="00623816"/>
    <w:rsid w:val="0062618C"/>
    <w:rsid w:val="00631DB9"/>
    <w:rsid w:val="00661750"/>
    <w:rsid w:val="006648D9"/>
    <w:rsid w:val="0068264B"/>
    <w:rsid w:val="00692326"/>
    <w:rsid w:val="00696C50"/>
    <w:rsid w:val="006B35C5"/>
    <w:rsid w:val="006D0CE5"/>
    <w:rsid w:val="006D1DFC"/>
    <w:rsid w:val="006F0BA4"/>
    <w:rsid w:val="006F3B12"/>
    <w:rsid w:val="006F5A9B"/>
    <w:rsid w:val="006F6B45"/>
    <w:rsid w:val="007558BA"/>
    <w:rsid w:val="00761737"/>
    <w:rsid w:val="007633F0"/>
    <w:rsid w:val="00764609"/>
    <w:rsid w:val="00765814"/>
    <w:rsid w:val="007674E8"/>
    <w:rsid w:val="007675D1"/>
    <w:rsid w:val="00771C80"/>
    <w:rsid w:val="0077235F"/>
    <w:rsid w:val="0078022D"/>
    <w:rsid w:val="00781E96"/>
    <w:rsid w:val="00784C07"/>
    <w:rsid w:val="00786DFC"/>
    <w:rsid w:val="007A799B"/>
    <w:rsid w:val="007C2A23"/>
    <w:rsid w:val="007D1086"/>
    <w:rsid w:val="007E0FB1"/>
    <w:rsid w:val="007F32B9"/>
    <w:rsid w:val="00811E0F"/>
    <w:rsid w:val="008157DD"/>
    <w:rsid w:val="00823962"/>
    <w:rsid w:val="0083479F"/>
    <w:rsid w:val="00851311"/>
    <w:rsid w:val="00865201"/>
    <w:rsid w:val="00867EC8"/>
    <w:rsid w:val="0087759C"/>
    <w:rsid w:val="008A119D"/>
    <w:rsid w:val="008A6FBF"/>
    <w:rsid w:val="008B4DC3"/>
    <w:rsid w:val="008C0BED"/>
    <w:rsid w:val="008D4665"/>
    <w:rsid w:val="008D7124"/>
    <w:rsid w:val="008E0BC1"/>
    <w:rsid w:val="008E47DD"/>
    <w:rsid w:val="00907E54"/>
    <w:rsid w:val="00912215"/>
    <w:rsid w:val="00924C44"/>
    <w:rsid w:val="00925A3C"/>
    <w:rsid w:val="00925F9F"/>
    <w:rsid w:val="0093607E"/>
    <w:rsid w:val="00954F43"/>
    <w:rsid w:val="009839FE"/>
    <w:rsid w:val="009C0ABF"/>
    <w:rsid w:val="009C114D"/>
    <w:rsid w:val="009D2A29"/>
    <w:rsid w:val="009D511C"/>
    <w:rsid w:val="009E7E1D"/>
    <w:rsid w:val="009F7780"/>
    <w:rsid w:val="00A00CB9"/>
    <w:rsid w:val="00A00F53"/>
    <w:rsid w:val="00A06B72"/>
    <w:rsid w:val="00A15593"/>
    <w:rsid w:val="00A23F4A"/>
    <w:rsid w:val="00A27C04"/>
    <w:rsid w:val="00A443D7"/>
    <w:rsid w:val="00A55692"/>
    <w:rsid w:val="00A671B7"/>
    <w:rsid w:val="00A71193"/>
    <w:rsid w:val="00A8296C"/>
    <w:rsid w:val="00A85A60"/>
    <w:rsid w:val="00A91B3E"/>
    <w:rsid w:val="00A95B9B"/>
    <w:rsid w:val="00AA2E71"/>
    <w:rsid w:val="00AA6244"/>
    <w:rsid w:val="00AB2D7B"/>
    <w:rsid w:val="00AB3B9B"/>
    <w:rsid w:val="00AB64C6"/>
    <w:rsid w:val="00AC56BF"/>
    <w:rsid w:val="00AC604E"/>
    <w:rsid w:val="00AC761A"/>
    <w:rsid w:val="00AC7A0A"/>
    <w:rsid w:val="00AC7AEB"/>
    <w:rsid w:val="00AD284E"/>
    <w:rsid w:val="00AE0F03"/>
    <w:rsid w:val="00AE7A56"/>
    <w:rsid w:val="00B02171"/>
    <w:rsid w:val="00B04DD5"/>
    <w:rsid w:val="00B06364"/>
    <w:rsid w:val="00B332CA"/>
    <w:rsid w:val="00B334C7"/>
    <w:rsid w:val="00B36E6D"/>
    <w:rsid w:val="00B3706C"/>
    <w:rsid w:val="00B3722D"/>
    <w:rsid w:val="00B55687"/>
    <w:rsid w:val="00B603FB"/>
    <w:rsid w:val="00B60D55"/>
    <w:rsid w:val="00B71055"/>
    <w:rsid w:val="00B93CCC"/>
    <w:rsid w:val="00BA77FC"/>
    <w:rsid w:val="00BE300A"/>
    <w:rsid w:val="00BE425C"/>
    <w:rsid w:val="00BE5DD6"/>
    <w:rsid w:val="00BE623F"/>
    <w:rsid w:val="00BF3653"/>
    <w:rsid w:val="00C0145E"/>
    <w:rsid w:val="00C10C2F"/>
    <w:rsid w:val="00C126F9"/>
    <w:rsid w:val="00C22455"/>
    <w:rsid w:val="00C30E5B"/>
    <w:rsid w:val="00C4237D"/>
    <w:rsid w:val="00C45A7F"/>
    <w:rsid w:val="00C57A78"/>
    <w:rsid w:val="00C60F92"/>
    <w:rsid w:val="00C669FA"/>
    <w:rsid w:val="00C74EC6"/>
    <w:rsid w:val="00C77A41"/>
    <w:rsid w:val="00C87E1C"/>
    <w:rsid w:val="00C87E4F"/>
    <w:rsid w:val="00C93275"/>
    <w:rsid w:val="00CB31B4"/>
    <w:rsid w:val="00CC1EA6"/>
    <w:rsid w:val="00CD2B86"/>
    <w:rsid w:val="00CE4B55"/>
    <w:rsid w:val="00CE7E35"/>
    <w:rsid w:val="00CF2C67"/>
    <w:rsid w:val="00D01040"/>
    <w:rsid w:val="00D2343D"/>
    <w:rsid w:val="00D37481"/>
    <w:rsid w:val="00D65037"/>
    <w:rsid w:val="00D75DD6"/>
    <w:rsid w:val="00D80BCF"/>
    <w:rsid w:val="00D87E9E"/>
    <w:rsid w:val="00DA6E4B"/>
    <w:rsid w:val="00DE05D4"/>
    <w:rsid w:val="00DE08D1"/>
    <w:rsid w:val="00DF2CD2"/>
    <w:rsid w:val="00E005F1"/>
    <w:rsid w:val="00E07C9B"/>
    <w:rsid w:val="00E1120D"/>
    <w:rsid w:val="00E1175F"/>
    <w:rsid w:val="00E140B6"/>
    <w:rsid w:val="00E22D61"/>
    <w:rsid w:val="00E24389"/>
    <w:rsid w:val="00E30742"/>
    <w:rsid w:val="00E376EC"/>
    <w:rsid w:val="00E42E81"/>
    <w:rsid w:val="00E6273F"/>
    <w:rsid w:val="00E656B7"/>
    <w:rsid w:val="00E66FB7"/>
    <w:rsid w:val="00E6795C"/>
    <w:rsid w:val="00E83793"/>
    <w:rsid w:val="00E84194"/>
    <w:rsid w:val="00E947FC"/>
    <w:rsid w:val="00EB6488"/>
    <w:rsid w:val="00ED5C89"/>
    <w:rsid w:val="00EE57CF"/>
    <w:rsid w:val="00F00713"/>
    <w:rsid w:val="00F15C41"/>
    <w:rsid w:val="00F15E64"/>
    <w:rsid w:val="00F209C0"/>
    <w:rsid w:val="00F409D3"/>
    <w:rsid w:val="00F40FB1"/>
    <w:rsid w:val="00F527B8"/>
    <w:rsid w:val="00F53E0F"/>
    <w:rsid w:val="00F560AF"/>
    <w:rsid w:val="00F72422"/>
    <w:rsid w:val="00F73BC3"/>
    <w:rsid w:val="00F74628"/>
    <w:rsid w:val="00FA0081"/>
    <w:rsid w:val="00FA2A5E"/>
    <w:rsid w:val="00FB2BC8"/>
    <w:rsid w:val="00FB5B1D"/>
    <w:rsid w:val="00FD3C42"/>
    <w:rsid w:val="00FE5A29"/>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DEAD"/>
  <w15:chartTrackingRefBased/>
  <w15:docId w15:val="{1B0A8979-59E9-4AD1-B363-5770C8D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uiPriority="8"/>
    <w:lsdException w:name="List Number 3" w:uiPriority="8"/>
    <w:lsdException w:name="List Number 4" w:uiPriority="8"/>
    <w:lsdException w:name="List Number 5" w:uiPriority="8"/>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28"/>
      </w:numPr>
      <w:spacing w:after="360" w:line="720" w:lineRule="exact"/>
      <w:outlineLvl w:val="0"/>
    </w:pPr>
    <w:rPr>
      <w:rFonts w:ascii="Sitka Display" w:eastAsiaTheme="majorEastAsia" w:hAnsi="Sitka Display"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customStyle="1" w:styleId="Heading1Char">
    <w:name w:val="Heading 1 Char"/>
    <w:basedOn w:val="DefaultParagraphFont"/>
    <w:link w:val="Heading1"/>
    <w:uiPriority w:val="9"/>
    <w:rsid w:val="00692326"/>
    <w:rPr>
      <w:rFonts w:ascii="Sitka Display" w:eastAsiaTheme="majorEastAsia" w:hAnsi="Sitka Display" w:cstheme="majorBidi"/>
      <w:color w:val="1B5633"/>
      <w:spacing w:val="-20"/>
      <w:sz w:val="68"/>
      <w:szCs w:val="32"/>
    </w:rPr>
  </w:style>
  <w:style w:type="character" w:customStyle="1" w:styleId="Heading2Char">
    <w:name w:val="Heading 2 Char"/>
    <w:basedOn w:val="DefaultParagraphFont"/>
    <w:link w:val="Heading2"/>
    <w:uiPriority w:val="9"/>
    <w:rsid w:val="00692326"/>
    <w:rPr>
      <w:rFonts w:ascii="Sitka Display" w:eastAsiaTheme="majorEastAsia" w:hAnsi="Sitka Display"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customStyle="1" w:styleId="HeaderChar">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customStyle="1" w:styleId="FooterChar">
    <w:name w:val="Footer Char"/>
    <w:basedOn w:val="DefaultParagraphFont"/>
    <w:link w:val="Footer"/>
    <w:uiPriority w:val="99"/>
    <w:rsid w:val="00692326"/>
    <w:rPr>
      <w:rFonts w:ascii="Segoe UI" w:hAnsi="Segoe UI"/>
      <w:color w:val="849895"/>
      <w:sz w:val="19"/>
    </w:rPr>
  </w:style>
  <w:style w:type="character" w:customStyle="1" w:styleId="Heading3Char">
    <w:name w:val="Heading 3 Char"/>
    <w:basedOn w:val="DefaultParagraphFont"/>
    <w:link w:val="Heading3"/>
    <w:uiPriority w:val="9"/>
    <w:rsid w:val="00692326"/>
    <w:rPr>
      <w:rFonts w:ascii="Segoe UI" w:eastAsiaTheme="majorEastAsia" w:hAnsi="Segoe UI" w:cstheme="majorBidi"/>
      <w:b/>
      <w:color w:val="1B5633"/>
      <w:szCs w:val="24"/>
    </w:rPr>
  </w:style>
  <w:style w:type="table" w:styleId="TableGrid">
    <w:name w:val="Table Grid"/>
    <w:basedOn w:val="TableNormal"/>
    <w:uiPriority w:val="39"/>
    <w:rsid w:val="006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able19">
    <w:name w:val="FPTable19"/>
    <w:basedOn w:val="TableNormal"/>
    <w:uiPriority w:val="99"/>
    <w:rsid w:val="00692326"/>
    <w:pPr>
      <w:spacing w:after="0" w:line="240" w:lineRule="auto"/>
    </w:pPr>
    <w:rPr>
      <w:rFonts w:ascii="Segoe UI" w:hAnsi="Segoe UI"/>
      <w:sz w:val="20"/>
    </w:rPr>
    <w:tblPr>
      <w:tblStyleRowBandSize w:val="1"/>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27"/>
      </w:numPr>
      <w:spacing w:before="0" w:after="120" w:line="264" w:lineRule="auto"/>
      <w:contextualSpacing/>
    </w:pPr>
  </w:style>
  <w:style w:type="numbering" w:customStyle="1" w:styleId="ListBullets">
    <w:name w:val="ListBullets"/>
    <w:uiPriority w:val="99"/>
    <w:rsid w:val="00692326"/>
    <w:pPr>
      <w:numPr>
        <w:numId w:val="2"/>
      </w:numPr>
    </w:pPr>
  </w:style>
  <w:style w:type="numbering" w:customStyle="1" w:styleId="ListNumbers">
    <w:name w:val="ListNumbers"/>
    <w:uiPriority w:val="99"/>
    <w:rsid w:val="00692326"/>
    <w:pPr>
      <w:numPr>
        <w:numId w:val="4"/>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29"/>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customStyle="1" w:styleId="HeadingOther">
    <w:name w:val="Heading Other"/>
    <w:basedOn w:val="Subheading"/>
    <w:next w:val="NoSpacing"/>
    <w:uiPriority w:val="9"/>
    <w:qFormat/>
    <w:rsid w:val="00692326"/>
    <w:pPr>
      <w:pBdr>
        <w:bottom w:val="single" w:sz="8" w:space="0" w:color="1B5633"/>
      </w:pBdr>
      <w:spacing w:after="0"/>
      <w:outlineLvl w:val="9"/>
    </w:pPr>
    <w:rPr>
      <w:b w:val="0"/>
      <w:sz w:val="32"/>
    </w:rPr>
  </w:style>
  <w:style w:type="character" w:customStyle="1" w:styleId="Heading4Char">
    <w:name w:val="Heading 4 Char"/>
    <w:basedOn w:val="DefaultParagraphFont"/>
    <w:link w:val="Heading4"/>
    <w:uiPriority w:val="9"/>
    <w:rsid w:val="00692326"/>
    <w:rPr>
      <w:rFonts w:ascii="Segoe UI" w:eastAsiaTheme="majorEastAsia" w:hAnsi="Segoe UI"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customStyle="1" w:styleId="TableText">
    <w:name w:val="Table Text"/>
    <w:basedOn w:val="NoSpacing"/>
    <w:uiPriority w:val="10"/>
    <w:qFormat/>
    <w:rsid w:val="00692326"/>
    <w:rPr>
      <w:sz w:val="18"/>
    </w:rPr>
  </w:style>
  <w:style w:type="paragraph" w:customStyle="1" w:styleId="TableSource-Notes">
    <w:name w:val="Table Source-Notes"/>
    <w:basedOn w:val="TableText"/>
    <w:next w:val="Normal"/>
    <w:uiPriority w:val="10"/>
    <w:qFormat/>
    <w:rsid w:val="00692326"/>
    <w:pPr>
      <w:spacing w:before="40" w:after="480"/>
      <w:contextualSpacing/>
    </w:pPr>
    <w:rPr>
      <w:sz w:val="16"/>
    </w:rPr>
  </w:style>
  <w:style w:type="paragraph" w:customStyle="1" w:styleId="TableColumnHeading">
    <w:name w:val="Table Column Heading"/>
    <w:basedOn w:val="TableText"/>
    <w:uiPriority w:val="10"/>
    <w:qFormat/>
    <w:rsid w:val="00692326"/>
    <w:pPr>
      <w:spacing w:before="20" w:after="20"/>
    </w:pPr>
    <w:rPr>
      <w:b/>
      <w:color w:val="FFFFFF" w:themeColor="background1"/>
    </w:rPr>
  </w:style>
  <w:style w:type="paragraph" w:customStyle="1" w:styleId="TableTitle">
    <w:name w:val="Table Title"/>
    <w:basedOn w:val="TableText"/>
    <w:uiPriority w:val="10"/>
    <w:qFormat/>
    <w:rsid w:val="00692326"/>
    <w:pPr>
      <w:keepNext/>
      <w:spacing w:before="200" w:after="60"/>
    </w:pPr>
    <w:rPr>
      <w:b/>
      <w:sz w:val="22"/>
    </w:rPr>
  </w:style>
  <w:style w:type="paragraph" w:customStyle="1" w:styleId="TableRowHeading">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customStyle="1" w:styleId="FootnoteTextChar">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customStyle="1" w:styleId="Heading5Char">
    <w:name w:val="Heading 5 Char"/>
    <w:basedOn w:val="DefaultParagraphFont"/>
    <w:link w:val="Heading5"/>
    <w:uiPriority w:val="9"/>
    <w:rsid w:val="00692326"/>
    <w:rPr>
      <w:rFonts w:ascii="Segoe UI" w:eastAsiaTheme="majorEastAsia" w:hAnsi="Segoe UI" w:cstheme="majorBidi"/>
      <w:iCs/>
      <w:color w:val="1B5633"/>
      <w:sz w:val="20"/>
      <w:szCs w:val="24"/>
    </w:rPr>
  </w:style>
  <w:style w:type="character" w:customStyle="1" w:styleId="Heading6Char">
    <w:name w:val="Heading 6 Char"/>
    <w:basedOn w:val="DefaultParagraphFont"/>
    <w:link w:val="Heading6"/>
    <w:uiPriority w:val="9"/>
    <w:rsid w:val="00692326"/>
    <w:rPr>
      <w:rFonts w:ascii="Segoe UI" w:eastAsiaTheme="majorEastAsia" w:hAnsi="Segoe UI" w:cstheme="majorBidi"/>
      <w:i/>
      <w:iCs/>
      <w:color w:val="1B5633"/>
      <w:sz w:val="20"/>
      <w:szCs w:val="24"/>
      <w:u w:val="single"/>
    </w:rPr>
  </w:style>
  <w:style w:type="character" w:customStyle="1" w:styleId="Heading7Char">
    <w:name w:val="Heading 7 Char"/>
    <w:basedOn w:val="DefaultParagraphFont"/>
    <w:link w:val="Heading7"/>
    <w:uiPriority w:val="9"/>
    <w:semiHidden/>
    <w:rsid w:val="00692326"/>
    <w:rPr>
      <w:rFonts w:ascii="Segoe UI" w:eastAsiaTheme="majorEastAsia" w:hAnsi="Segoe UI" w:cstheme="majorBidi"/>
      <w:color w:val="8DC642"/>
      <w:szCs w:val="24"/>
      <w:u w:val="single"/>
    </w:rPr>
  </w:style>
  <w:style w:type="character" w:customStyle="1" w:styleId="Heading8Char">
    <w:name w:val="Heading 8 Char"/>
    <w:basedOn w:val="DefaultParagraphFont"/>
    <w:link w:val="Heading8"/>
    <w:uiPriority w:val="9"/>
    <w:semiHidden/>
    <w:rsid w:val="00692326"/>
    <w:rPr>
      <w:rFonts w:ascii="Segoe UI" w:eastAsiaTheme="majorEastAsia" w:hAnsi="Segoe UI" w:cstheme="majorBidi"/>
      <w:i/>
      <w:color w:val="8DC642"/>
      <w:szCs w:val="21"/>
      <w:u w:val="single"/>
    </w:rPr>
  </w:style>
  <w:style w:type="character" w:customStyle="1" w:styleId="Heading9Char">
    <w:name w:val="Heading 9 Char"/>
    <w:basedOn w:val="DefaultParagraphFont"/>
    <w:link w:val="Heading9"/>
    <w:uiPriority w:val="9"/>
    <w:semiHidden/>
    <w:rsid w:val="00692326"/>
    <w:rPr>
      <w:rFonts w:ascii="Segoe UI" w:eastAsiaTheme="majorEastAsia" w:hAnsi="Segoe UI" w:cstheme="majorBidi"/>
      <w:iCs/>
      <w:color w:val="8DC642"/>
      <w:sz w:val="20"/>
      <w:szCs w:val="21"/>
      <w:u w:val="single"/>
    </w:rPr>
  </w:style>
  <w:style w:type="paragraph" w:customStyle="1" w:styleId="DividerPage">
    <w:name w:val="Divider Page"/>
    <w:basedOn w:val="Subheading"/>
    <w:next w:val="Normal"/>
    <w:uiPriority w:val="35"/>
    <w:qFormat/>
    <w:rsid w:val="00692326"/>
    <w:pPr>
      <w:pageBreakBefore/>
      <w:outlineLvl w:val="9"/>
    </w:pPr>
    <w:rPr>
      <w:color w:val="849895"/>
      <w:sz w:val="56"/>
    </w:rPr>
  </w:style>
  <w:style w:type="character" w:customStyle="1" w:styleId="CaptionChar">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2326"/>
    <w:rPr>
      <w:rFonts w:ascii="Segoe UI" w:hAnsi="Segoe UI" w:cs="Segoe UI"/>
      <w:sz w:val="18"/>
      <w:szCs w:val="18"/>
    </w:rPr>
  </w:style>
  <w:style w:type="numbering" w:customStyle="1" w:styleId="ListHeads">
    <w:name w:val="ListHeads"/>
    <w:uiPriority w:val="99"/>
    <w:rsid w:val="00692326"/>
    <w:pPr>
      <w:numPr>
        <w:numId w:val="3"/>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eastAsiaTheme="majorEastAsia" w:hAnsiTheme="majorHAnsi" w:cstheme="majorBidi"/>
      <w:b/>
      <w:bCs/>
      <w:sz w:val="24"/>
      <w:szCs w:val="24"/>
    </w:rPr>
  </w:style>
  <w:style w:type="paragraph" w:customStyle="1" w:styleId="Subheading">
    <w:name w:val="Subheading"/>
    <w:basedOn w:val="Heading2"/>
    <w:next w:val="Normal"/>
    <w:uiPriority w:val="9"/>
    <w:qFormat/>
    <w:rsid w:val="00692326"/>
    <w:pPr>
      <w:spacing w:before="0" w:after="360" w:line="240" w:lineRule="auto"/>
    </w:pPr>
    <w:rPr>
      <w:sz w:val="36"/>
    </w:rPr>
  </w:style>
  <w:style w:type="table" w:customStyle="1" w:styleId="FPTable19Plain">
    <w:name w:val="FPTable19Plain"/>
    <w:basedOn w:val="TableNormal"/>
    <w:uiPriority w:val="99"/>
    <w:rsid w:val="00692326"/>
    <w:pPr>
      <w:spacing w:after="0" w:line="240" w:lineRule="auto"/>
    </w:pPr>
    <w:rPr>
      <w:rFonts w:ascii="Segoe UI" w:hAnsi="Segoe UI"/>
      <w:sz w:val="20"/>
    </w:rPr>
    <w:tblPr>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style>
  <w:style w:type="character" w:styleId="IntenseEmphasis">
    <w:name w:val="Intense Emphasis"/>
    <w:basedOn w:val="DefaultParagraphFont"/>
    <w:uiPriority w:val="21"/>
    <w:qFormat/>
    <w:rsid w:val="00C74EC6"/>
    <w:rPr>
      <w:i/>
      <w:iCs/>
      <w:color w:val="1B5633" w:themeColor="accent1"/>
    </w:rPr>
  </w:style>
  <w:style w:type="character" w:styleId="CommentReference">
    <w:name w:val="annotation reference"/>
    <w:basedOn w:val="DefaultParagraphFont"/>
    <w:uiPriority w:val="99"/>
    <w:semiHidden/>
    <w:unhideWhenUsed/>
    <w:rsid w:val="00AB3B9B"/>
    <w:rPr>
      <w:sz w:val="16"/>
      <w:szCs w:val="16"/>
    </w:rPr>
  </w:style>
  <w:style w:type="paragraph" w:styleId="CommentText">
    <w:name w:val="annotation text"/>
    <w:basedOn w:val="Normal"/>
    <w:link w:val="CommentTextChar"/>
    <w:uiPriority w:val="99"/>
    <w:unhideWhenUsed/>
    <w:rsid w:val="00AB3B9B"/>
    <w:pPr>
      <w:spacing w:line="240" w:lineRule="auto"/>
    </w:pPr>
    <w:rPr>
      <w:szCs w:val="20"/>
    </w:rPr>
  </w:style>
  <w:style w:type="character" w:customStyle="1" w:styleId="CommentTextChar">
    <w:name w:val="Comment Text Char"/>
    <w:basedOn w:val="DefaultParagraphFont"/>
    <w:link w:val="CommentText"/>
    <w:uiPriority w:val="99"/>
    <w:rsid w:val="00AB3B9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AB3B9B"/>
    <w:rPr>
      <w:b/>
      <w:bCs/>
    </w:rPr>
  </w:style>
  <w:style w:type="character" w:customStyle="1" w:styleId="CommentSubjectChar">
    <w:name w:val="Comment Subject Char"/>
    <w:basedOn w:val="CommentTextChar"/>
    <w:link w:val="CommentSubject"/>
    <w:uiPriority w:val="99"/>
    <w:semiHidden/>
    <w:rsid w:val="00AB3B9B"/>
    <w:rPr>
      <w:rFonts w:ascii="Segoe UI" w:hAnsi="Segoe UI"/>
      <w:b/>
      <w:bCs/>
      <w:sz w:val="20"/>
      <w:szCs w:val="20"/>
    </w:rPr>
  </w:style>
  <w:style w:type="paragraph" w:styleId="ListParagraph">
    <w:name w:val="List Paragraph"/>
    <w:basedOn w:val="Normal"/>
    <w:uiPriority w:val="34"/>
    <w:unhideWhenUsed/>
    <w:qFormat/>
    <w:rsid w:val="0052578C"/>
    <w:pPr>
      <w:ind w:left="720"/>
      <w:contextualSpacing/>
    </w:pPr>
  </w:style>
  <w:style w:type="paragraph" w:customStyle="1" w:styleId="Default">
    <w:name w:val="Default"/>
    <w:rsid w:val="00E42E81"/>
    <w:pPr>
      <w:autoSpaceDE w:val="0"/>
      <w:autoSpaceDN w:val="0"/>
      <w:adjustRightInd w:val="0"/>
      <w:spacing w:after="0" w:line="240" w:lineRule="auto"/>
    </w:pPr>
    <w:rPr>
      <w:rFonts w:ascii="Gotham Light" w:hAnsi="Gotham Light" w:cs="Gotham Light"/>
      <w:color w:val="000000"/>
      <w:sz w:val="24"/>
      <w:szCs w:val="24"/>
    </w:rPr>
  </w:style>
  <w:style w:type="paragraph" w:styleId="Revision">
    <w:name w:val="Revision"/>
    <w:hidden/>
    <w:uiPriority w:val="99"/>
    <w:semiHidden/>
    <w:rsid w:val="001D06ED"/>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90744">
      <w:bodyDiv w:val="1"/>
      <w:marLeft w:val="0"/>
      <w:marRight w:val="0"/>
      <w:marTop w:val="0"/>
      <w:marBottom w:val="0"/>
      <w:divBdr>
        <w:top w:val="none" w:sz="0" w:space="0" w:color="auto"/>
        <w:left w:val="none" w:sz="0" w:space="0" w:color="auto"/>
        <w:bottom w:val="none" w:sz="0" w:space="0" w:color="auto"/>
        <w:right w:val="none" w:sz="0" w:space="0" w:color="auto"/>
      </w:divBdr>
    </w:div>
    <w:div w:id="17920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Fehr &amp; Peers</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Riddle</dc:creator>
  <cp:keywords/>
  <dc:description/>
  <cp:lastModifiedBy>James Choe</cp:lastModifiedBy>
  <cp:revision>2</cp:revision>
  <dcterms:created xsi:type="dcterms:W3CDTF">2023-09-19T22:57:00Z</dcterms:created>
  <dcterms:modified xsi:type="dcterms:W3CDTF">2023-09-19T22:57:00Z</dcterms:modified>
</cp:coreProperties>
</file>