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C341D" w14:textId="7DEE2617" w:rsidR="003228C3" w:rsidRDefault="00EA20CF" w:rsidP="00BB417C">
      <w:r w:rsidRPr="00F433B0">
        <w:rPr>
          <w:noProof/>
        </w:rPr>
        <w:drawing>
          <wp:inline distT="0" distB="0" distL="0" distR="0" wp14:anchorId="20419E80" wp14:editId="106A4E7F">
            <wp:extent cx="6858000" cy="1713865"/>
            <wp:effectExtent l="0" t="0" r="0" b="635"/>
            <wp:docPr id="1" name="Graphic 1" descr="Header with ABAG logo and logo for Technical Assistance for Local Planning: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496438" name="Graphic 1" descr="Header with ABAG logo and logo for Technical Assistance for Local Planning: Housin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6858000" cy="1713865"/>
                    </a:xfrm>
                    <a:prstGeom prst="rect">
                      <a:avLst/>
                    </a:prstGeom>
                  </pic:spPr>
                </pic:pic>
              </a:graphicData>
            </a:graphic>
          </wp:inline>
        </w:drawing>
      </w:r>
    </w:p>
    <w:p w14:paraId="7EC68949" w14:textId="19717674" w:rsidR="004C014B" w:rsidRPr="000357CB" w:rsidRDefault="00EA20CF" w:rsidP="00BB417C">
      <w:pPr>
        <w:pStyle w:val="Boxedtext"/>
      </w:pPr>
      <w:r w:rsidRPr="00E54DB4">
        <w:rPr>
          <w:b/>
          <w:bCs/>
        </w:rPr>
        <w:t xml:space="preserve">DISCLAIMER: </w:t>
      </w:r>
      <w:bookmarkStart w:id="0" w:name="_Hlk115448018"/>
      <w:r w:rsidR="00A64E73" w:rsidRPr="002C0A6F">
        <w:t xml:space="preserve">This guide is intended solely as a technical overview </w:t>
      </w:r>
      <w:r w:rsidR="00A64E73">
        <w:t xml:space="preserve">of state housing laws that require affordability restrictions, overview </w:t>
      </w:r>
      <w:r w:rsidR="00A64E73" w:rsidRPr="002C0A6F">
        <w:t xml:space="preserve">of </w:t>
      </w:r>
      <w:r w:rsidR="00A64E73">
        <w:t>inclusionary housing</w:t>
      </w:r>
      <w:r w:rsidR="00A64E73" w:rsidRPr="002C0A6F">
        <w:t xml:space="preserve"> </w:t>
      </w:r>
      <w:r w:rsidR="00A64E73">
        <w:t>policy considerations, and considerations of provisions to include in affordable housing regulatory agreements</w:t>
      </w:r>
      <w:r w:rsidR="00A64E73" w:rsidRPr="002C0A6F">
        <w:t>.</w:t>
      </w:r>
      <w:r w:rsidR="00A64E73">
        <w:t xml:space="preserve"> </w:t>
      </w:r>
      <w:r w:rsidR="00A64E73" w:rsidRPr="002C0A6F">
        <w:t xml:space="preserve">It is not intended to serve as legal advice regarding any jurisdiction's specific policies or any proposed housing development project. Local staff should consult with their city attorney or county counsel when determining the </w:t>
      </w:r>
      <w:r w:rsidR="00A64E73">
        <w:t xml:space="preserve">affordable housing considerations or negotiating regulatory agreements and affordable homebuyer documents for </w:t>
      </w:r>
      <w:r w:rsidR="00A64E73" w:rsidRPr="002C0A6F">
        <w:t>any proposed housing development project in their jurisdiction</w:t>
      </w:r>
      <w:r w:rsidR="00A64E73">
        <w:t>.  Throughout this paper the term "city" is used, but this document applies equally to counties.</w:t>
      </w:r>
      <w:r w:rsidR="00A64E73" w:rsidRPr="002C0A6F">
        <w:t xml:space="preserve"> </w:t>
      </w:r>
    </w:p>
    <w:bookmarkEnd w:id="0"/>
    <w:p w14:paraId="0942B7A2" w14:textId="5B8F8106" w:rsidR="0034059C" w:rsidRPr="0034059C" w:rsidRDefault="00EA20CF" w:rsidP="0034059C">
      <w:pPr>
        <w:pStyle w:val="Heading1"/>
      </w:pPr>
      <w:r w:rsidRPr="002C0A6F">
        <w:t>Inclusionary</w:t>
      </w:r>
      <w:r>
        <w:t xml:space="preserve"> Affordable </w:t>
      </w:r>
      <w:r w:rsidRPr="002C0A6F">
        <w:t>Housing Program Considerations</w:t>
      </w:r>
      <w:r>
        <w:t xml:space="preserve"> and Agreements</w:t>
      </w:r>
    </w:p>
    <w:p w14:paraId="2756DDB1" w14:textId="14C485AB" w:rsidR="003A1E52" w:rsidRDefault="00EA20CF" w:rsidP="003A1E52">
      <w:pPr>
        <w:pStyle w:val="Heading2"/>
      </w:pPr>
      <w:r>
        <w:t>Introduction</w:t>
      </w:r>
    </w:p>
    <w:p w14:paraId="3AEADC30" w14:textId="6E46A5E3" w:rsidR="0034059C" w:rsidRDefault="00EA20CF" w:rsidP="0034059C">
      <w:r>
        <w:t xml:space="preserve">Many cities and counties have implemented inclusionary housing requirements and are also tasked with enforcing affordability requirements of various state programs, such as density bonus law and SB 35.  This guidance paper is intended to present policy considerations for creating or updating an inclusionary housing program, to implement certain state program requirements </w:t>
      </w:r>
      <w:r w:rsidRPr="000C7B33">
        <w:t>as of 2022</w:t>
      </w:r>
      <w:r>
        <w:t>, and to identify major items that are typically addressed in developer agreements, rent regulatory agreements, and affordable homebuyer agreements.</w:t>
      </w:r>
    </w:p>
    <w:p w14:paraId="770598FC" w14:textId="4CC5DAD5" w:rsidR="0034059C" w:rsidRDefault="00EA20CF" w:rsidP="0034059C">
      <w:pPr>
        <w:pStyle w:val="Heading2"/>
      </w:pPr>
      <w:r>
        <w:t>Summary of Program Requirements for Affordable Housing Under Various State Laws</w:t>
      </w:r>
    </w:p>
    <w:p w14:paraId="78281DCF" w14:textId="594F721B" w:rsidR="00AA7CC3" w:rsidRPr="00AA7CC3" w:rsidRDefault="00EA20CF" w:rsidP="00AA7CC3">
      <w:r>
        <w:t xml:space="preserve">The following table identifies the affordability requirements of several state programs, as of 2022.  This is not an exhaustive list, but rather the </w:t>
      </w:r>
      <w:proofErr w:type="gramStart"/>
      <w:r>
        <w:t>most commonly encountered</w:t>
      </w:r>
      <w:proofErr w:type="gramEnd"/>
      <w:r>
        <w:t>.  Note that the requirements applicable to state programs may vary widely and may also be different from a local inclusionary housing policy.  A city or county will need to reflect differences in program requirements when drafting its affordable housing agreements and apply the strictest of the applicable requirements to the units in the project (the lowest income, longest term, lowest rent calculation, etc.).</w:t>
      </w:r>
      <w:r>
        <w:br w:type="page"/>
      </w:r>
    </w:p>
    <w:p w14:paraId="1A73E4A8" w14:textId="0E413F5A" w:rsidR="00AA7CC3" w:rsidRDefault="00EA20CF" w:rsidP="00AA7CC3">
      <w:pPr>
        <w:pStyle w:val="Heading3"/>
      </w:pPr>
      <w:r w:rsidRPr="0034059C">
        <w:lastRenderedPageBreak/>
        <w:t>Table 1: Summary of Program Requirements for Affordable Units</w:t>
      </w:r>
    </w:p>
    <w:tbl>
      <w:tblPr>
        <w:tblStyle w:val="TableGrid"/>
        <w:tblW w:w="0" w:type="auto"/>
        <w:tblLook w:val="06A0" w:firstRow="1" w:lastRow="0" w:firstColumn="1" w:lastColumn="0" w:noHBand="1" w:noVBand="1"/>
      </w:tblPr>
      <w:tblGrid>
        <w:gridCol w:w="1434"/>
        <w:gridCol w:w="2045"/>
        <w:gridCol w:w="2046"/>
        <w:gridCol w:w="1733"/>
        <w:gridCol w:w="1737"/>
        <w:gridCol w:w="1795"/>
      </w:tblGrid>
      <w:tr w:rsidR="00431291" w14:paraId="0163C34E" w14:textId="77777777" w:rsidTr="00755A2E">
        <w:trPr>
          <w:cnfStyle w:val="100000000000" w:firstRow="1" w:lastRow="0" w:firstColumn="0" w:lastColumn="0" w:oddVBand="0" w:evenVBand="0" w:oddHBand="0" w:evenHBand="0" w:firstRowFirstColumn="0" w:firstRowLastColumn="0" w:lastRowFirstColumn="0" w:lastRowLastColumn="0"/>
          <w:trHeight w:val="48"/>
        </w:trPr>
        <w:tc>
          <w:tcPr>
            <w:tcW w:w="0" w:type="auto"/>
          </w:tcPr>
          <w:p w14:paraId="507CDAB9" w14:textId="7CD95A89" w:rsidR="0034059C" w:rsidRPr="0034059C" w:rsidRDefault="0034059C" w:rsidP="0034059C">
            <w:pPr>
              <w:pStyle w:val="Tabletext"/>
              <w:rPr>
                <w:rFonts w:cstheme="minorHAnsi"/>
              </w:rPr>
            </w:pPr>
          </w:p>
        </w:tc>
        <w:tc>
          <w:tcPr>
            <w:tcW w:w="0" w:type="auto"/>
          </w:tcPr>
          <w:p w14:paraId="13DC0077" w14:textId="77777777" w:rsidR="0034059C" w:rsidRPr="0034059C" w:rsidRDefault="00EA20CF" w:rsidP="0034059C">
            <w:pPr>
              <w:spacing w:after="0" w:line="240" w:lineRule="auto"/>
              <w:contextualSpacing/>
              <w:rPr>
                <w:rFonts w:cstheme="minorHAnsi"/>
                <w:b/>
                <w:bCs/>
              </w:rPr>
            </w:pPr>
            <w:r w:rsidRPr="0034059C">
              <w:rPr>
                <w:rFonts w:cstheme="minorHAnsi"/>
                <w:b/>
                <w:bCs/>
              </w:rPr>
              <w:t>Density Bonus</w:t>
            </w:r>
          </w:p>
          <w:p w14:paraId="60DFCD5D" w14:textId="7A0A810F" w:rsidR="0034059C" w:rsidRPr="0034059C" w:rsidRDefault="00EA20CF" w:rsidP="0034059C">
            <w:pPr>
              <w:pStyle w:val="Tabletext"/>
              <w:spacing w:line="240" w:lineRule="auto"/>
              <w:contextualSpacing/>
              <w:rPr>
                <w:rFonts w:cstheme="minorHAnsi"/>
              </w:rPr>
            </w:pPr>
            <w:r w:rsidRPr="0034059C">
              <w:rPr>
                <w:rFonts w:cstheme="minorHAnsi"/>
                <w:b/>
                <w:bCs/>
              </w:rPr>
              <w:t>§ 65915</w:t>
            </w:r>
          </w:p>
        </w:tc>
        <w:tc>
          <w:tcPr>
            <w:tcW w:w="2046" w:type="dxa"/>
          </w:tcPr>
          <w:p w14:paraId="44F8FB7C" w14:textId="77777777" w:rsidR="0034059C" w:rsidRPr="0034059C" w:rsidRDefault="00EA20CF" w:rsidP="0034059C">
            <w:pPr>
              <w:spacing w:after="0"/>
              <w:contextualSpacing/>
              <w:rPr>
                <w:rFonts w:cstheme="minorHAnsi"/>
                <w:b/>
                <w:bCs/>
              </w:rPr>
            </w:pPr>
            <w:r w:rsidRPr="0034059C">
              <w:rPr>
                <w:rFonts w:cstheme="minorHAnsi"/>
                <w:b/>
                <w:bCs/>
              </w:rPr>
              <w:t>SB 35</w:t>
            </w:r>
          </w:p>
          <w:p w14:paraId="04D640AE" w14:textId="1ED4A887" w:rsidR="0034059C" w:rsidRPr="0034059C" w:rsidRDefault="00EA20CF" w:rsidP="0034059C">
            <w:pPr>
              <w:pStyle w:val="Tabletext"/>
              <w:contextualSpacing/>
              <w:rPr>
                <w:rFonts w:cstheme="minorHAnsi"/>
              </w:rPr>
            </w:pPr>
            <w:r w:rsidRPr="0034059C">
              <w:rPr>
                <w:rFonts w:cstheme="minorHAnsi"/>
                <w:b/>
                <w:bCs/>
              </w:rPr>
              <w:t>§ 65913.4</w:t>
            </w:r>
          </w:p>
        </w:tc>
        <w:tc>
          <w:tcPr>
            <w:tcW w:w="1733" w:type="dxa"/>
          </w:tcPr>
          <w:p w14:paraId="261B25D4" w14:textId="77777777" w:rsidR="0034059C" w:rsidRPr="0034059C" w:rsidRDefault="00EA20CF" w:rsidP="0034059C">
            <w:pPr>
              <w:spacing w:after="0"/>
              <w:contextualSpacing/>
              <w:rPr>
                <w:rFonts w:cstheme="minorHAnsi"/>
                <w:b/>
                <w:bCs/>
              </w:rPr>
            </w:pPr>
            <w:r w:rsidRPr="0034059C">
              <w:rPr>
                <w:rFonts w:cstheme="minorHAnsi"/>
                <w:b/>
                <w:bCs/>
              </w:rPr>
              <w:t>‘By Right’ Zoning</w:t>
            </w:r>
          </w:p>
          <w:p w14:paraId="2A7C0929" w14:textId="7A87006B" w:rsidR="0034059C" w:rsidRPr="0034059C" w:rsidRDefault="00EA20CF" w:rsidP="0034059C">
            <w:pPr>
              <w:pStyle w:val="Tabletext"/>
              <w:contextualSpacing/>
              <w:rPr>
                <w:rFonts w:cstheme="minorHAnsi"/>
              </w:rPr>
            </w:pPr>
            <w:r w:rsidRPr="0034059C">
              <w:rPr>
                <w:rFonts w:cstheme="minorHAnsi"/>
                <w:b/>
                <w:bCs/>
              </w:rPr>
              <w:t xml:space="preserve"> § 65583.2(h), (</w:t>
            </w:r>
            <w:proofErr w:type="spellStart"/>
            <w:r w:rsidRPr="0034059C">
              <w:rPr>
                <w:rFonts w:cstheme="minorHAnsi"/>
                <w:b/>
                <w:bCs/>
              </w:rPr>
              <w:t>i</w:t>
            </w:r>
            <w:proofErr w:type="spellEnd"/>
            <w:r w:rsidRPr="0034059C">
              <w:rPr>
                <w:rFonts w:cstheme="minorHAnsi"/>
                <w:b/>
                <w:bCs/>
              </w:rPr>
              <w:t>)</w:t>
            </w:r>
          </w:p>
        </w:tc>
        <w:tc>
          <w:tcPr>
            <w:tcW w:w="1579" w:type="dxa"/>
          </w:tcPr>
          <w:p w14:paraId="2827F0E0" w14:textId="77777777" w:rsidR="0034059C" w:rsidRPr="0034059C" w:rsidRDefault="00EA20CF" w:rsidP="0034059C">
            <w:pPr>
              <w:spacing w:after="0"/>
              <w:contextualSpacing/>
              <w:rPr>
                <w:rFonts w:cstheme="minorHAnsi"/>
                <w:b/>
                <w:bCs/>
              </w:rPr>
            </w:pPr>
            <w:r w:rsidRPr="0034059C">
              <w:rPr>
                <w:rFonts w:cstheme="minorHAnsi"/>
                <w:b/>
                <w:bCs/>
              </w:rPr>
              <w:t>HAA Affordable Housing Provisions</w:t>
            </w:r>
          </w:p>
          <w:p w14:paraId="73783B57" w14:textId="1F507959" w:rsidR="0034059C" w:rsidRPr="0034059C" w:rsidRDefault="00EA20CF" w:rsidP="0034059C">
            <w:pPr>
              <w:pStyle w:val="Tabletext"/>
              <w:contextualSpacing/>
              <w:rPr>
                <w:rFonts w:cstheme="minorHAnsi"/>
              </w:rPr>
            </w:pPr>
            <w:r w:rsidRPr="0034059C">
              <w:rPr>
                <w:rFonts w:cstheme="minorHAnsi"/>
                <w:b/>
                <w:bCs/>
              </w:rPr>
              <w:t>§65589.5(h)(3)</w:t>
            </w:r>
          </w:p>
        </w:tc>
        <w:tc>
          <w:tcPr>
            <w:tcW w:w="1795" w:type="dxa"/>
          </w:tcPr>
          <w:p w14:paraId="1B6C0F7B" w14:textId="77777777" w:rsidR="0034059C" w:rsidRPr="0034059C" w:rsidRDefault="00EA20CF" w:rsidP="0034059C">
            <w:pPr>
              <w:spacing w:after="0"/>
              <w:contextualSpacing/>
              <w:rPr>
                <w:rFonts w:cstheme="minorHAnsi"/>
                <w:b/>
                <w:bCs/>
              </w:rPr>
            </w:pPr>
            <w:r w:rsidRPr="0034059C">
              <w:rPr>
                <w:rFonts w:cstheme="minorHAnsi"/>
                <w:b/>
                <w:bCs/>
              </w:rPr>
              <w:t>Inclusionary</w:t>
            </w:r>
          </w:p>
          <w:p w14:paraId="39C4C3E1" w14:textId="1B9AA01A" w:rsidR="0034059C" w:rsidRPr="0034059C" w:rsidRDefault="00EA20CF" w:rsidP="0034059C">
            <w:pPr>
              <w:pStyle w:val="Tabletext"/>
              <w:contextualSpacing/>
              <w:rPr>
                <w:rFonts w:cstheme="minorHAnsi"/>
              </w:rPr>
            </w:pPr>
            <w:r w:rsidRPr="0034059C">
              <w:rPr>
                <w:rFonts w:cstheme="minorHAnsi"/>
                <w:b/>
                <w:bCs/>
              </w:rPr>
              <w:t>(Local municipal code)</w:t>
            </w:r>
          </w:p>
        </w:tc>
      </w:tr>
      <w:tr w:rsidR="00431291" w14:paraId="2131B988" w14:textId="77777777" w:rsidTr="00755A2E">
        <w:trPr>
          <w:cantSplit w:val="0"/>
          <w:trHeight w:val="43"/>
        </w:trPr>
        <w:tc>
          <w:tcPr>
            <w:tcW w:w="0" w:type="auto"/>
            <w:shd w:val="clear" w:color="auto" w:fill="F5F8F8"/>
          </w:tcPr>
          <w:p w14:paraId="63D400DB" w14:textId="35CAE254" w:rsidR="0034059C" w:rsidRPr="0034059C" w:rsidRDefault="00EA20CF" w:rsidP="0034059C">
            <w:pPr>
              <w:pStyle w:val="Tabletext"/>
              <w:rPr>
                <w:rFonts w:cstheme="minorHAnsi"/>
              </w:rPr>
            </w:pPr>
            <w:r w:rsidRPr="0034059C">
              <w:rPr>
                <w:rFonts w:cstheme="minorHAnsi"/>
                <w:b/>
                <w:bCs/>
              </w:rPr>
              <w:t>Affordability Requirement</w:t>
            </w:r>
          </w:p>
        </w:tc>
        <w:tc>
          <w:tcPr>
            <w:tcW w:w="0" w:type="auto"/>
            <w:shd w:val="clear" w:color="auto" w:fill="F5F8F8"/>
          </w:tcPr>
          <w:p w14:paraId="15FCC4B0" w14:textId="77777777" w:rsidR="0034059C" w:rsidRPr="0034059C" w:rsidRDefault="00EA20CF" w:rsidP="0034059C">
            <w:pPr>
              <w:spacing w:after="0"/>
              <w:contextualSpacing/>
              <w:rPr>
                <w:rFonts w:cstheme="minorHAnsi"/>
              </w:rPr>
            </w:pPr>
            <w:r w:rsidRPr="0034059C">
              <w:rPr>
                <w:rFonts w:cstheme="minorHAnsi"/>
              </w:rPr>
              <w:t>Minimum 5% very low, 10% lower, 10% moderate; or senior housing</w:t>
            </w:r>
          </w:p>
          <w:p w14:paraId="5731CE77" w14:textId="1D12531B" w:rsidR="0034059C" w:rsidRPr="0034059C" w:rsidRDefault="00EA20CF" w:rsidP="0034059C">
            <w:pPr>
              <w:pStyle w:val="Tabletext"/>
              <w:contextualSpacing/>
              <w:rPr>
                <w:rFonts w:cstheme="minorHAnsi"/>
              </w:rPr>
            </w:pPr>
            <w:r w:rsidRPr="0034059C">
              <w:rPr>
                <w:rFonts w:cstheme="minorHAnsi"/>
              </w:rPr>
              <w:t>(§ 65915(b))</w:t>
            </w:r>
          </w:p>
        </w:tc>
        <w:tc>
          <w:tcPr>
            <w:tcW w:w="2046" w:type="dxa"/>
            <w:shd w:val="clear" w:color="auto" w:fill="F5F8F8"/>
          </w:tcPr>
          <w:p w14:paraId="3BBDFF69" w14:textId="77777777" w:rsidR="0034059C" w:rsidRPr="0034059C" w:rsidRDefault="00EA20CF" w:rsidP="0034059C">
            <w:pPr>
              <w:spacing w:after="0"/>
              <w:contextualSpacing/>
              <w:rPr>
                <w:rFonts w:cstheme="minorHAnsi"/>
              </w:rPr>
            </w:pPr>
            <w:r w:rsidRPr="0034059C">
              <w:rPr>
                <w:rFonts w:cstheme="minorHAnsi"/>
              </w:rPr>
              <w:t>10% or 50% lower</w:t>
            </w:r>
            <w:r>
              <w:rPr>
                <w:rStyle w:val="FootnoteReference"/>
                <w:rFonts w:cstheme="minorHAnsi"/>
              </w:rPr>
              <w:footnoteReference w:id="1"/>
            </w:r>
          </w:p>
          <w:p w14:paraId="2CCA7D34" w14:textId="02FC24FB" w:rsidR="0034059C" w:rsidRPr="0034059C" w:rsidRDefault="00EA20CF" w:rsidP="0034059C">
            <w:pPr>
              <w:pStyle w:val="Tabletext"/>
              <w:contextualSpacing/>
              <w:rPr>
                <w:rFonts w:cstheme="minorHAnsi"/>
              </w:rPr>
            </w:pPr>
            <w:r w:rsidRPr="0034059C">
              <w:rPr>
                <w:rFonts w:cstheme="minorHAnsi"/>
              </w:rPr>
              <w:t>(§65913.4(a)(4)(B))</w:t>
            </w:r>
          </w:p>
        </w:tc>
        <w:tc>
          <w:tcPr>
            <w:tcW w:w="1733" w:type="dxa"/>
            <w:shd w:val="clear" w:color="auto" w:fill="F5F8F8"/>
          </w:tcPr>
          <w:p w14:paraId="5082E5EE" w14:textId="77777777" w:rsidR="0034059C" w:rsidRPr="0034059C" w:rsidRDefault="00EA20CF" w:rsidP="0034059C">
            <w:pPr>
              <w:spacing w:after="0"/>
              <w:contextualSpacing/>
              <w:rPr>
                <w:rFonts w:cstheme="minorHAnsi"/>
              </w:rPr>
            </w:pPr>
            <w:r w:rsidRPr="0034059C">
              <w:rPr>
                <w:rFonts w:cstheme="minorHAnsi"/>
              </w:rPr>
              <w:t>20% lower</w:t>
            </w:r>
          </w:p>
          <w:p w14:paraId="6F3202CA" w14:textId="48BBA963" w:rsidR="0034059C" w:rsidRPr="0034059C" w:rsidRDefault="00EA20CF" w:rsidP="0034059C">
            <w:pPr>
              <w:pStyle w:val="Tabletext"/>
              <w:contextualSpacing/>
              <w:rPr>
                <w:rFonts w:cstheme="minorHAnsi"/>
              </w:rPr>
            </w:pPr>
            <w:r w:rsidRPr="0034059C">
              <w:rPr>
                <w:rFonts w:cstheme="minorHAnsi"/>
              </w:rPr>
              <w:t>(§ 65583.2(h))</w:t>
            </w:r>
          </w:p>
        </w:tc>
        <w:tc>
          <w:tcPr>
            <w:tcW w:w="1579" w:type="dxa"/>
            <w:shd w:val="clear" w:color="auto" w:fill="F5F8F8"/>
          </w:tcPr>
          <w:p w14:paraId="625E1135" w14:textId="77777777" w:rsidR="0034059C" w:rsidRPr="0034059C" w:rsidRDefault="00EA20CF" w:rsidP="0034059C">
            <w:pPr>
              <w:spacing w:after="0"/>
              <w:contextualSpacing/>
              <w:rPr>
                <w:rFonts w:cstheme="minorHAnsi"/>
              </w:rPr>
            </w:pPr>
            <w:r w:rsidRPr="0034059C">
              <w:rPr>
                <w:rFonts w:cstheme="minorHAnsi"/>
              </w:rPr>
              <w:t>20% low or 100% moderate or middle income</w:t>
            </w:r>
          </w:p>
          <w:p w14:paraId="6CA1E37C" w14:textId="4DC6FAB7" w:rsidR="0034059C" w:rsidRPr="0034059C" w:rsidRDefault="00EA20CF" w:rsidP="0034059C">
            <w:pPr>
              <w:pStyle w:val="Tabletext"/>
              <w:contextualSpacing/>
              <w:rPr>
                <w:rFonts w:cstheme="minorHAnsi"/>
              </w:rPr>
            </w:pPr>
            <w:r w:rsidRPr="0034059C">
              <w:rPr>
                <w:rFonts w:cstheme="minorHAnsi"/>
              </w:rPr>
              <w:t>(§65589.5(h)(3))</w:t>
            </w:r>
          </w:p>
        </w:tc>
        <w:tc>
          <w:tcPr>
            <w:tcW w:w="1795" w:type="dxa"/>
            <w:shd w:val="clear" w:color="auto" w:fill="F5F8F8"/>
          </w:tcPr>
          <w:p w14:paraId="2953F7B5" w14:textId="658D1DDD" w:rsidR="0034059C" w:rsidRPr="0034059C" w:rsidRDefault="00EA20CF" w:rsidP="0034059C">
            <w:pPr>
              <w:pStyle w:val="Tabletext"/>
              <w:contextualSpacing/>
              <w:rPr>
                <w:rFonts w:cstheme="minorHAnsi"/>
              </w:rPr>
            </w:pPr>
            <w:r w:rsidRPr="0034059C">
              <w:rPr>
                <w:rFonts w:cstheme="minorHAnsi"/>
              </w:rPr>
              <w:t xml:space="preserve">Varies; </w:t>
            </w:r>
            <w:proofErr w:type="gramStart"/>
            <w:r w:rsidRPr="0034059C">
              <w:rPr>
                <w:rFonts w:cstheme="minorHAnsi"/>
              </w:rPr>
              <w:t>typically</w:t>
            </w:r>
            <w:proofErr w:type="gramEnd"/>
            <w:r w:rsidRPr="0034059C">
              <w:rPr>
                <w:rFonts w:cstheme="minorHAnsi"/>
              </w:rPr>
              <w:t xml:space="preserve"> 15 – 20%</w:t>
            </w:r>
          </w:p>
        </w:tc>
      </w:tr>
      <w:tr w:rsidR="00431291" w14:paraId="1AD8C663" w14:textId="77777777" w:rsidTr="00755A2E">
        <w:trPr>
          <w:cantSplit w:val="0"/>
          <w:trHeight w:val="43"/>
        </w:trPr>
        <w:tc>
          <w:tcPr>
            <w:tcW w:w="0" w:type="auto"/>
          </w:tcPr>
          <w:p w14:paraId="196D8BF3" w14:textId="43598D5A" w:rsidR="0034059C" w:rsidRPr="0034059C" w:rsidRDefault="00EA20CF" w:rsidP="0034059C">
            <w:pPr>
              <w:pStyle w:val="Tabletext"/>
              <w:rPr>
                <w:rFonts w:cstheme="minorHAnsi"/>
              </w:rPr>
            </w:pPr>
            <w:r w:rsidRPr="0034059C">
              <w:rPr>
                <w:rFonts w:cstheme="minorHAnsi"/>
                <w:b/>
                <w:bCs/>
              </w:rPr>
              <w:t>How % Is Calculated</w:t>
            </w:r>
          </w:p>
        </w:tc>
        <w:tc>
          <w:tcPr>
            <w:tcW w:w="0" w:type="auto"/>
          </w:tcPr>
          <w:p w14:paraId="71BF89E3" w14:textId="77777777" w:rsidR="0034059C" w:rsidRPr="0034059C" w:rsidRDefault="00EA20CF" w:rsidP="0034059C">
            <w:pPr>
              <w:spacing w:after="0"/>
              <w:contextualSpacing/>
              <w:rPr>
                <w:rFonts w:cstheme="minorHAnsi"/>
              </w:rPr>
            </w:pPr>
            <w:r w:rsidRPr="0034059C">
              <w:rPr>
                <w:rFonts w:cstheme="minorHAnsi"/>
              </w:rPr>
              <w:t>On base density only</w:t>
            </w:r>
            <w:r>
              <w:rPr>
                <w:rStyle w:val="FootnoteReference"/>
                <w:rFonts w:cstheme="minorHAnsi"/>
              </w:rPr>
              <w:footnoteReference w:id="2"/>
            </w:r>
          </w:p>
          <w:p w14:paraId="1A9EB1AA" w14:textId="5C19CB2A" w:rsidR="0034059C" w:rsidRPr="0034059C" w:rsidRDefault="00EA20CF" w:rsidP="0034059C">
            <w:pPr>
              <w:pStyle w:val="Tabletext"/>
              <w:contextualSpacing/>
              <w:rPr>
                <w:rFonts w:cstheme="minorHAnsi"/>
              </w:rPr>
            </w:pPr>
            <w:r w:rsidRPr="0034059C">
              <w:rPr>
                <w:rFonts w:cstheme="minorHAnsi"/>
              </w:rPr>
              <w:t>(§ 65915(b), (o)(6))</w:t>
            </w:r>
          </w:p>
        </w:tc>
        <w:tc>
          <w:tcPr>
            <w:tcW w:w="2046" w:type="dxa"/>
          </w:tcPr>
          <w:p w14:paraId="55127CB5" w14:textId="1B0F48D2" w:rsidR="0034059C" w:rsidRPr="0034059C" w:rsidRDefault="00EA20CF" w:rsidP="0034059C">
            <w:pPr>
              <w:pStyle w:val="Tabletext"/>
              <w:contextualSpacing/>
              <w:rPr>
                <w:rFonts w:cstheme="minorHAnsi"/>
              </w:rPr>
            </w:pPr>
            <w:r w:rsidRPr="0034059C">
              <w:rPr>
                <w:rFonts w:cstheme="minorHAnsi"/>
              </w:rPr>
              <w:t>Statute: on “total units” ((§65913.4(a)(4)(B)); HCD</w:t>
            </w:r>
            <w:r>
              <w:rPr>
                <w:rStyle w:val="FootnoteReference"/>
                <w:rFonts w:cstheme="minorHAnsi"/>
              </w:rPr>
              <w:footnoteReference w:id="3"/>
            </w:r>
            <w:r w:rsidRPr="0034059C">
              <w:rPr>
                <w:rFonts w:cstheme="minorHAnsi"/>
              </w:rPr>
              <w:t xml:space="preserve"> Guidelines: on base density only (§ 402)</w:t>
            </w:r>
          </w:p>
        </w:tc>
        <w:tc>
          <w:tcPr>
            <w:tcW w:w="1733" w:type="dxa"/>
          </w:tcPr>
          <w:p w14:paraId="4C42E3E3" w14:textId="77777777" w:rsidR="0034059C" w:rsidRPr="0034059C" w:rsidRDefault="00EA20CF" w:rsidP="0034059C">
            <w:pPr>
              <w:spacing w:after="0"/>
              <w:contextualSpacing/>
              <w:rPr>
                <w:rFonts w:cstheme="minorHAnsi"/>
              </w:rPr>
            </w:pPr>
            <w:r w:rsidRPr="0034059C">
              <w:rPr>
                <w:rFonts w:cstheme="minorHAnsi"/>
              </w:rPr>
              <w:t>Not specified; HCD Site Inventory Guidebook says “total units”</w:t>
            </w:r>
          </w:p>
          <w:p w14:paraId="4146FD34" w14:textId="3D2D4DD0" w:rsidR="0034059C" w:rsidRPr="0034059C" w:rsidRDefault="00EA20CF" w:rsidP="0034059C">
            <w:pPr>
              <w:pStyle w:val="Tabletext"/>
              <w:contextualSpacing/>
              <w:rPr>
                <w:rFonts w:cstheme="minorHAnsi"/>
              </w:rPr>
            </w:pPr>
            <w:r w:rsidRPr="0034059C">
              <w:rPr>
                <w:rFonts w:cstheme="minorHAnsi"/>
              </w:rPr>
              <w:t>(page 38)</w:t>
            </w:r>
            <w:r>
              <w:rPr>
                <w:rStyle w:val="FootnoteReference"/>
                <w:rFonts w:cstheme="minorHAnsi"/>
              </w:rPr>
              <w:footnoteReference w:id="4"/>
            </w:r>
          </w:p>
        </w:tc>
        <w:tc>
          <w:tcPr>
            <w:tcW w:w="1579" w:type="dxa"/>
          </w:tcPr>
          <w:p w14:paraId="6E17C00C" w14:textId="77777777" w:rsidR="0034059C" w:rsidRPr="0034059C" w:rsidRDefault="00EA20CF" w:rsidP="0034059C">
            <w:pPr>
              <w:spacing w:after="0"/>
              <w:contextualSpacing/>
              <w:rPr>
                <w:rFonts w:cstheme="minorHAnsi"/>
              </w:rPr>
            </w:pPr>
            <w:r w:rsidRPr="0034059C">
              <w:rPr>
                <w:rFonts w:cstheme="minorHAnsi"/>
              </w:rPr>
              <w:t>On “total units”</w:t>
            </w:r>
          </w:p>
          <w:p w14:paraId="202F81D9" w14:textId="77777777" w:rsidR="0034059C" w:rsidRPr="0034059C" w:rsidRDefault="00EA20CF" w:rsidP="0034059C">
            <w:pPr>
              <w:spacing w:after="0"/>
              <w:contextualSpacing/>
              <w:rPr>
                <w:rFonts w:cstheme="minorHAnsi"/>
              </w:rPr>
            </w:pPr>
            <w:r w:rsidRPr="0034059C">
              <w:rPr>
                <w:rFonts w:cstheme="minorHAnsi"/>
              </w:rPr>
              <w:t>(§65589.5(h)(3))</w:t>
            </w:r>
          </w:p>
          <w:p w14:paraId="5B6C7860" w14:textId="77777777" w:rsidR="0034059C" w:rsidRPr="0034059C" w:rsidRDefault="0034059C" w:rsidP="0034059C">
            <w:pPr>
              <w:pStyle w:val="Tabletext"/>
              <w:contextualSpacing/>
              <w:rPr>
                <w:rFonts w:cstheme="minorHAnsi"/>
              </w:rPr>
            </w:pPr>
          </w:p>
        </w:tc>
        <w:tc>
          <w:tcPr>
            <w:tcW w:w="1795" w:type="dxa"/>
          </w:tcPr>
          <w:p w14:paraId="0BA75161" w14:textId="5995347A" w:rsidR="0034059C" w:rsidRPr="0034059C" w:rsidRDefault="00EA20CF" w:rsidP="0034059C">
            <w:pPr>
              <w:pStyle w:val="Tabletext"/>
              <w:contextualSpacing/>
              <w:rPr>
                <w:rFonts w:cstheme="minorHAnsi"/>
              </w:rPr>
            </w:pPr>
            <w:r w:rsidRPr="0034059C">
              <w:rPr>
                <w:rFonts w:cstheme="minorHAnsi"/>
              </w:rPr>
              <w:t>Commonly on base density only</w:t>
            </w:r>
          </w:p>
        </w:tc>
      </w:tr>
      <w:tr w:rsidR="00431291" w14:paraId="630B75E0" w14:textId="77777777" w:rsidTr="00755A2E">
        <w:trPr>
          <w:cantSplit w:val="0"/>
          <w:trHeight w:val="43"/>
        </w:trPr>
        <w:tc>
          <w:tcPr>
            <w:tcW w:w="0" w:type="auto"/>
            <w:shd w:val="clear" w:color="auto" w:fill="F5F8F8"/>
          </w:tcPr>
          <w:p w14:paraId="7266B77A" w14:textId="5D90918E" w:rsidR="0034059C" w:rsidRPr="0034059C" w:rsidRDefault="00EA20CF" w:rsidP="0034059C">
            <w:pPr>
              <w:pStyle w:val="Tabletext"/>
              <w:rPr>
                <w:rFonts w:cstheme="minorHAnsi"/>
              </w:rPr>
            </w:pPr>
            <w:r w:rsidRPr="0034059C">
              <w:rPr>
                <w:rFonts w:cstheme="minorHAnsi"/>
                <w:b/>
                <w:bCs/>
              </w:rPr>
              <w:t>Maximum Income for Household</w:t>
            </w:r>
          </w:p>
        </w:tc>
        <w:tc>
          <w:tcPr>
            <w:tcW w:w="0" w:type="auto"/>
            <w:shd w:val="clear" w:color="auto" w:fill="F5F8F8"/>
          </w:tcPr>
          <w:p w14:paraId="4C0B1392" w14:textId="77777777" w:rsidR="0034059C" w:rsidRPr="0034059C" w:rsidRDefault="00EA20CF" w:rsidP="0034059C">
            <w:pPr>
              <w:spacing w:after="0"/>
              <w:contextualSpacing/>
              <w:rPr>
                <w:rFonts w:cstheme="minorHAnsi"/>
              </w:rPr>
            </w:pPr>
            <w:r w:rsidRPr="0034059C">
              <w:rPr>
                <w:rFonts w:cstheme="minorHAnsi"/>
              </w:rPr>
              <w:t>HCD’s income table by household size for each income level</w:t>
            </w:r>
          </w:p>
          <w:p w14:paraId="6999BC67" w14:textId="5FFAAD6A" w:rsidR="0034059C" w:rsidRPr="0034059C" w:rsidRDefault="00EA20CF" w:rsidP="0034059C">
            <w:pPr>
              <w:pStyle w:val="Tabletext"/>
              <w:contextualSpacing/>
              <w:rPr>
                <w:rFonts w:cstheme="minorHAnsi"/>
              </w:rPr>
            </w:pPr>
            <w:r w:rsidRPr="0034059C">
              <w:rPr>
                <w:rFonts w:cstheme="minorHAnsi"/>
              </w:rPr>
              <w:t>(65915(b); Health &amp; Safety Code §§ 50079.5, 50093, 50105; 25 CCR § 6932)</w:t>
            </w:r>
          </w:p>
        </w:tc>
        <w:tc>
          <w:tcPr>
            <w:tcW w:w="2046" w:type="dxa"/>
            <w:shd w:val="clear" w:color="auto" w:fill="F5F8F8"/>
          </w:tcPr>
          <w:p w14:paraId="2EDBB27F" w14:textId="77777777" w:rsidR="0034059C" w:rsidRPr="0034059C" w:rsidRDefault="00EA20CF" w:rsidP="0034059C">
            <w:pPr>
              <w:spacing w:after="0"/>
              <w:contextualSpacing/>
              <w:rPr>
                <w:rFonts w:cstheme="minorHAnsi"/>
              </w:rPr>
            </w:pPr>
            <w:r w:rsidRPr="0034059C">
              <w:rPr>
                <w:rFonts w:cstheme="minorHAnsi"/>
              </w:rPr>
              <w:t>80% of median in HCD’s income table by household size</w:t>
            </w:r>
          </w:p>
          <w:p w14:paraId="3D5B76B2" w14:textId="77777777" w:rsidR="0034059C" w:rsidRPr="0034059C" w:rsidRDefault="00EA20CF" w:rsidP="0034059C">
            <w:pPr>
              <w:spacing w:after="0"/>
              <w:contextualSpacing/>
              <w:rPr>
                <w:rFonts w:cstheme="minorHAnsi"/>
              </w:rPr>
            </w:pPr>
            <w:r w:rsidRPr="0034059C">
              <w:rPr>
                <w:rFonts w:cstheme="minorHAnsi"/>
              </w:rPr>
              <w:t>(§65913.4(a)(4)(B); 25 CCR § 6932)</w:t>
            </w:r>
          </w:p>
          <w:p w14:paraId="49DDA9A3" w14:textId="77777777" w:rsidR="0034059C" w:rsidRPr="0034059C" w:rsidRDefault="0034059C" w:rsidP="0034059C">
            <w:pPr>
              <w:pStyle w:val="Tabletext"/>
              <w:contextualSpacing/>
              <w:rPr>
                <w:rFonts w:cstheme="minorHAnsi"/>
              </w:rPr>
            </w:pPr>
          </w:p>
        </w:tc>
        <w:tc>
          <w:tcPr>
            <w:tcW w:w="1733" w:type="dxa"/>
            <w:shd w:val="clear" w:color="auto" w:fill="F5F8F8"/>
          </w:tcPr>
          <w:p w14:paraId="57C1B378" w14:textId="78E56C38" w:rsidR="0034059C" w:rsidRPr="0034059C" w:rsidRDefault="00EA20CF" w:rsidP="0034059C">
            <w:pPr>
              <w:pStyle w:val="Tabletext"/>
              <w:contextualSpacing/>
              <w:rPr>
                <w:rFonts w:cstheme="minorHAnsi"/>
              </w:rPr>
            </w:pPr>
            <w:r w:rsidRPr="0034059C">
              <w:rPr>
                <w:rFonts w:cstheme="minorHAnsi"/>
              </w:rPr>
              <w:t>Not specified</w:t>
            </w:r>
          </w:p>
        </w:tc>
        <w:tc>
          <w:tcPr>
            <w:tcW w:w="1579" w:type="dxa"/>
            <w:shd w:val="clear" w:color="auto" w:fill="F5F8F8"/>
          </w:tcPr>
          <w:p w14:paraId="14758D38" w14:textId="77777777" w:rsidR="0034059C" w:rsidRPr="0034059C" w:rsidRDefault="00EA20CF" w:rsidP="0034059C">
            <w:pPr>
              <w:spacing w:after="0"/>
              <w:contextualSpacing/>
              <w:rPr>
                <w:rFonts w:cstheme="minorHAnsi"/>
              </w:rPr>
            </w:pPr>
            <w:r w:rsidRPr="0034059C">
              <w:rPr>
                <w:rFonts w:cstheme="minorHAnsi"/>
              </w:rPr>
              <w:t>HCD’s income table by household size for lower and moderate; 150% of median for middle income</w:t>
            </w:r>
          </w:p>
          <w:p w14:paraId="7CB74DF8" w14:textId="77777777" w:rsidR="0034059C" w:rsidRPr="0034059C" w:rsidRDefault="00EA20CF" w:rsidP="0034059C">
            <w:pPr>
              <w:spacing w:after="0"/>
              <w:contextualSpacing/>
              <w:rPr>
                <w:rFonts w:cstheme="minorHAnsi"/>
              </w:rPr>
            </w:pPr>
            <w:r w:rsidRPr="0034059C">
              <w:rPr>
                <w:rFonts w:cstheme="minorHAnsi"/>
              </w:rPr>
              <w:t>(§65589.5(h)(3));</w:t>
            </w:r>
          </w:p>
          <w:p w14:paraId="3D0EF9F4" w14:textId="0FEEE06A" w:rsidR="0034059C" w:rsidRPr="0034059C" w:rsidRDefault="00EA20CF" w:rsidP="00AA7CC3">
            <w:pPr>
              <w:spacing w:after="0"/>
              <w:contextualSpacing/>
              <w:rPr>
                <w:rFonts w:cstheme="minorHAnsi"/>
              </w:rPr>
            </w:pPr>
            <w:r w:rsidRPr="0034059C">
              <w:rPr>
                <w:rFonts w:cstheme="minorHAnsi"/>
              </w:rPr>
              <w:t>HSC §§ 50079.5, 50093; §65008(c); 25 CCR § 6932</w:t>
            </w:r>
          </w:p>
        </w:tc>
        <w:tc>
          <w:tcPr>
            <w:tcW w:w="1795" w:type="dxa"/>
            <w:shd w:val="clear" w:color="auto" w:fill="F5F8F8"/>
          </w:tcPr>
          <w:p w14:paraId="093F914B" w14:textId="20A853EA" w:rsidR="0034059C" w:rsidRPr="0034059C" w:rsidRDefault="00EA20CF" w:rsidP="0034059C">
            <w:pPr>
              <w:pStyle w:val="Tabletext"/>
              <w:contextualSpacing/>
              <w:rPr>
                <w:rFonts w:cstheme="minorHAnsi"/>
              </w:rPr>
            </w:pPr>
            <w:r w:rsidRPr="0034059C">
              <w:rPr>
                <w:rFonts w:cstheme="minorHAnsi"/>
              </w:rPr>
              <w:t>Often use either HCD or HUD income tables</w:t>
            </w:r>
          </w:p>
        </w:tc>
      </w:tr>
      <w:tr w:rsidR="00431291" w14:paraId="7A72AF56" w14:textId="77777777" w:rsidTr="00755A2E">
        <w:trPr>
          <w:cantSplit w:val="0"/>
          <w:trHeight w:val="43"/>
        </w:trPr>
        <w:tc>
          <w:tcPr>
            <w:tcW w:w="0" w:type="auto"/>
          </w:tcPr>
          <w:p w14:paraId="1A732A0B" w14:textId="437B78AD" w:rsidR="0034059C" w:rsidRPr="0034059C" w:rsidRDefault="00EA20CF" w:rsidP="0034059C">
            <w:pPr>
              <w:pStyle w:val="Tabletext"/>
              <w:contextualSpacing/>
            </w:pPr>
            <w:r w:rsidRPr="0034059C">
              <w:rPr>
                <w:b/>
                <w:bCs/>
              </w:rPr>
              <w:t>Affordable Sales Price</w:t>
            </w:r>
            <w:r>
              <w:rPr>
                <w:rStyle w:val="FootnoteReference"/>
                <w:b/>
                <w:bCs/>
              </w:rPr>
              <w:footnoteReference w:id="5"/>
            </w:r>
          </w:p>
        </w:tc>
        <w:tc>
          <w:tcPr>
            <w:tcW w:w="0" w:type="auto"/>
          </w:tcPr>
          <w:p w14:paraId="65B45166" w14:textId="77777777" w:rsidR="0034059C" w:rsidRPr="0034059C" w:rsidRDefault="00EA20CF" w:rsidP="0034059C">
            <w:pPr>
              <w:spacing w:after="0"/>
              <w:contextualSpacing/>
            </w:pPr>
            <w:r w:rsidRPr="0034059C">
              <w:t xml:space="preserve">Very low: 1/12 of 30% of 50% of median </w:t>
            </w:r>
          </w:p>
          <w:p w14:paraId="51A3AFF6" w14:textId="77777777" w:rsidR="0034059C" w:rsidRPr="0034059C" w:rsidRDefault="00EA20CF" w:rsidP="0034059C">
            <w:pPr>
              <w:spacing w:after="0"/>
              <w:contextualSpacing/>
            </w:pPr>
            <w:r w:rsidRPr="0034059C">
              <w:t>Low: 1/12 of 30% of 70% of median</w:t>
            </w:r>
          </w:p>
          <w:p w14:paraId="4F20964D" w14:textId="0FA25E84" w:rsidR="0034059C" w:rsidRPr="0034059C" w:rsidRDefault="00EA20CF" w:rsidP="0034059C">
            <w:pPr>
              <w:pStyle w:val="Tabletext"/>
              <w:contextualSpacing/>
            </w:pPr>
            <w:r w:rsidRPr="0034059C">
              <w:t xml:space="preserve">Moderate: 1/12 of 35% of 100% of median </w:t>
            </w:r>
            <w:r w:rsidRPr="0034059C">
              <w:lastRenderedPageBreak/>
              <w:t>(§65915(c)(20(A)(</w:t>
            </w:r>
            <w:proofErr w:type="spellStart"/>
            <w:r w:rsidRPr="0034059C">
              <w:t>i</w:t>
            </w:r>
            <w:proofErr w:type="spellEnd"/>
            <w:r w:rsidRPr="0034059C">
              <w:t>); HSC § 50052.5; 25 CCR § 6920)</w:t>
            </w:r>
          </w:p>
        </w:tc>
        <w:tc>
          <w:tcPr>
            <w:tcW w:w="2046" w:type="dxa"/>
          </w:tcPr>
          <w:p w14:paraId="6310A1E0" w14:textId="77777777" w:rsidR="0034059C" w:rsidRPr="0034059C" w:rsidRDefault="00EA20CF" w:rsidP="0034059C">
            <w:pPr>
              <w:spacing w:after="0"/>
              <w:contextualSpacing/>
            </w:pPr>
            <w:r w:rsidRPr="0034059C">
              <w:lastRenderedPageBreak/>
              <w:t>1/12 of 30% of 70% of median</w:t>
            </w:r>
          </w:p>
          <w:p w14:paraId="3032EB8E" w14:textId="101F09DC" w:rsidR="0034059C" w:rsidRPr="0034059C" w:rsidRDefault="00EA20CF" w:rsidP="0034059C">
            <w:pPr>
              <w:pStyle w:val="Tabletext"/>
              <w:contextualSpacing/>
            </w:pPr>
            <w:r w:rsidRPr="0034059C">
              <w:t>(§65913.4(k)(1); HSC § 50052.5; 25 CCR § 6920)</w:t>
            </w:r>
          </w:p>
        </w:tc>
        <w:tc>
          <w:tcPr>
            <w:tcW w:w="1733" w:type="dxa"/>
          </w:tcPr>
          <w:p w14:paraId="11C9FD97" w14:textId="77777777" w:rsidR="0034059C" w:rsidRPr="0034059C" w:rsidRDefault="00EA20CF" w:rsidP="0034059C">
            <w:pPr>
              <w:spacing w:after="0"/>
              <w:contextualSpacing/>
            </w:pPr>
            <w:r w:rsidRPr="0034059C">
              <w:t>To be eligible for ‘by right’ approval, subdivision cannot be required; only rental housing qualifies</w:t>
            </w:r>
          </w:p>
          <w:p w14:paraId="2C83696C" w14:textId="0D1233F8" w:rsidR="0034059C" w:rsidRPr="0034059C" w:rsidRDefault="00EA20CF" w:rsidP="0034059C">
            <w:pPr>
              <w:pStyle w:val="Tabletext"/>
              <w:contextualSpacing/>
            </w:pPr>
            <w:r w:rsidRPr="0034059C">
              <w:lastRenderedPageBreak/>
              <w:t>(§ 65583.2(</w:t>
            </w:r>
            <w:proofErr w:type="spellStart"/>
            <w:r w:rsidRPr="0034059C">
              <w:t>i</w:t>
            </w:r>
            <w:proofErr w:type="spellEnd"/>
            <w:r w:rsidRPr="0034059C">
              <w:t>))</w:t>
            </w:r>
          </w:p>
        </w:tc>
        <w:tc>
          <w:tcPr>
            <w:tcW w:w="1579" w:type="dxa"/>
          </w:tcPr>
          <w:p w14:paraId="0E6067B8" w14:textId="77777777" w:rsidR="0034059C" w:rsidRPr="0034059C" w:rsidRDefault="00EA20CF" w:rsidP="0034059C">
            <w:pPr>
              <w:spacing w:after="0"/>
              <w:contextualSpacing/>
            </w:pPr>
            <w:r w:rsidRPr="0034059C">
              <w:lastRenderedPageBreak/>
              <w:t>Low: 1/12 of 30% of 60% of median</w:t>
            </w:r>
          </w:p>
          <w:p w14:paraId="2377C148" w14:textId="77777777" w:rsidR="0034059C" w:rsidRPr="0034059C" w:rsidRDefault="00EA20CF" w:rsidP="0034059C">
            <w:pPr>
              <w:spacing w:after="0"/>
              <w:contextualSpacing/>
            </w:pPr>
            <w:r w:rsidRPr="0034059C">
              <w:t>Moderate: 1/12 of 30% of 100% of median</w:t>
            </w:r>
          </w:p>
          <w:p w14:paraId="443EACEA" w14:textId="77777777" w:rsidR="0034059C" w:rsidRPr="0034059C" w:rsidRDefault="00EA20CF" w:rsidP="0034059C">
            <w:pPr>
              <w:spacing w:after="0"/>
              <w:contextualSpacing/>
            </w:pPr>
            <w:r w:rsidRPr="0034059C">
              <w:t>Middle: not specified</w:t>
            </w:r>
          </w:p>
          <w:p w14:paraId="48702EF9" w14:textId="337C6AF8" w:rsidR="0034059C" w:rsidRPr="0034059C" w:rsidRDefault="00EA20CF" w:rsidP="0034059C">
            <w:pPr>
              <w:pStyle w:val="Tabletext"/>
              <w:contextualSpacing/>
            </w:pPr>
            <w:r w:rsidRPr="0034059C">
              <w:lastRenderedPageBreak/>
              <w:t>(§65589.5(h)(3); 25 CCR § 6920)</w:t>
            </w:r>
          </w:p>
        </w:tc>
        <w:tc>
          <w:tcPr>
            <w:tcW w:w="1795" w:type="dxa"/>
          </w:tcPr>
          <w:p w14:paraId="49B5EEC3" w14:textId="47207D64" w:rsidR="0034059C" w:rsidRPr="0034059C" w:rsidRDefault="00EA20CF" w:rsidP="0034059C">
            <w:pPr>
              <w:pStyle w:val="Tabletext"/>
              <w:contextualSpacing/>
            </w:pPr>
            <w:r w:rsidRPr="0034059C">
              <w:lastRenderedPageBreak/>
              <w:t>Often use either HCD or HUD price calculations</w:t>
            </w:r>
          </w:p>
        </w:tc>
      </w:tr>
      <w:tr w:rsidR="00431291" w14:paraId="563CAA7B" w14:textId="77777777" w:rsidTr="00755A2E">
        <w:trPr>
          <w:cantSplit w:val="0"/>
          <w:trHeight w:val="43"/>
        </w:trPr>
        <w:tc>
          <w:tcPr>
            <w:tcW w:w="0" w:type="auto"/>
            <w:shd w:val="clear" w:color="auto" w:fill="F5F8F8"/>
          </w:tcPr>
          <w:p w14:paraId="764BD20E" w14:textId="4477423D" w:rsidR="0034059C" w:rsidRPr="0034059C" w:rsidRDefault="00EA20CF" w:rsidP="0034059C">
            <w:pPr>
              <w:pStyle w:val="Tabletext"/>
              <w:contextualSpacing/>
            </w:pPr>
            <w:r w:rsidRPr="0034059C">
              <w:rPr>
                <w:b/>
                <w:bCs/>
              </w:rPr>
              <w:t>Term of Rental Restrictions</w:t>
            </w:r>
          </w:p>
        </w:tc>
        <w:tc>
          <w:tcPr>
            <w:tcW w:w="0" w:type="auto"/>
            <w:shd w:val="clear" w:color="auto" w:fill="F5F8F8"/>
          </w:tcPr>
          <w:p w14:paraId="2E3500FE" w14:textId="77777777" w:rsidR="0034059C" w:rsidRPr="0034059C" w:rsidRDefault="00EA20CF" w:rsidP="0034059C">
            <w:pPr>
              <w:spacing w:after="0"/>
              <w:contextualSpacing/>
            </w:pPr>
            <w:r w:rsidRPr="0034059C">
              <w:t>55 years</w:t>
            </w:r>
          </w:p>
          <w:p w14:paraId="55C66144" w14:textId="4273DA27" w:rsidR="0034059C" w:rsidRPr="0034059C" w:rsidRDefault="00EA20CF" w:rsidP="0034059C">
            <w:pPr>
              <w:pStyle w:val="Tabletext"/>
              <w:contextualSpacing/>
            </w:pPr>
            <w:r w:rsidRPr="0034059C">
              <w:t>(§ 65915(c)(1)(A))</w:t>
            </w:r>
          </w:p>
        </w:tc>
        <w:tc>
          <w:tcPr>
            <w:tcW w:w="2046" w:type="dxa"/>
            <w:shd w:val="clear" w:color="auto" w:fill="F5F8F8"/>
          </w:tcPr>
          <w:p w14:paraId="7184E7C0" w14:textId="77777777" w:rsidR="0034059C" w:rsidRPr="0034059C" w:rsidRDefault="00EA20CF" w:rsidP="0034059C">
            <w:pPr>
              <w:spacing w:after="0"/>
              <w:contextualSpacing/>
            </w:pPr>
            <w:r w:rsidRPr="0034059C">
              <w:t>55 years</w:t>
            </w:r>
          </w:p>
          <w:p w14:paraId="368E430C" w14:textId="12BBABEF" w:rsidR="0034059C" w:rsidRPr="0034059C" w:rsidRDefault="00EA20CF" w:rsidP="0034059C">
            <w:pPr>
              <w:pStyle w:val="Tabletext"/>
              <w:contextualSpacing/>
            </w:pPr>
            <w:r w:rsidRPr="0034059C">
              <w:t>(§65913.4(a)(3)(A))</w:t>
            </w:r>
          </w:p>
        </w:tc>
        <w:tc>
          <w:tcPr>
            <w:tcW w:w="1733" w:type="dxa"/>
            <w:shd w:val="clear" w:color="auto" w:fill="F5F8F8"/>
          </w:tcPr>
          <w:p w14:paraId="0AAEF8EE" w14:textId="44BFBAFA" w:rsidR="0034059C" w:rsidRPr="0034059C" w:rsidRDefault="00EA20CF" w:rsidP="0034059C">
            <w:pPr>
              <w:pStyle w:val="Tabletext"/>
              <w:contextualSpacing/>
            </w:pPr>
            <w:r w:rsidRPr="0034059C">
              <w:t>Not specified</w:t>
            </w:r>
          </w:p>
        </w:tc>
        <w:tc>
          <w:tcPr>
            <w:tcW w:w="1579" w:type="dxa"/>
            <w:shd w:val="clear" w:color="auto" w:fill="F5F8F8"/>
          </w:tcPr>
          <w:p w14:paraId="75908691" w14:textId="0A74E9C8" w:rsidR="0034059C" w:rsidRPr="0034059C" w:rsidRDefault="00EA20CF" w:rsidP="0034059C">
            <w:pPr>
              <w:pStyle w:val="Tabletext"/>
              <w:contextualSpacing/>
            </w:pPr>
            <w:r w:rsidRPr="0034059C">
              <w:t>Not specified</w:t>
            </w:r>
          </w:p>
        </w:tc>
        <w:tc>
          <w:tcPr>
            <w:tcW w:w="1795" w:type="dxa"/>
            <w:shd w:val="clear" w:color="auto" w:fill="F5F8F8"/>
          </w:tcPr>
          <w:p w14:paraId="1CBD7792" w14:textId="423952C8" w:rsidR="0034059C" w:rsidRPr="0034059C" w:rsidRDefault="00EA20CF" w:rsidP="0034059C">
            <w:pPr>
              <w:pStyle w:val="Tabletext"/>
              <w:contextualSpacing/>
            </w:pPr>
            <w:proofErr w:type="gramStart"/>
            <w:r w:rsidRPr="0034059C">
              <w:t>Typically</w:t>
            </w:r>
            <w:proofErr w:type="gramEnd"/>
            <w:r w:rsidRPr="0034059C">
              <w:t xml:space="preserve"> 55 years or perpetuity</w:t>
            </w:r>
          </w:p>
        </w:tc>
      </w:tr>
      <w:tr w:rsidR="00431291" w14:paraId="5A79EEE1" w14:textId="77777777" w:rsidTr="00755A2E">
        <w:trPr>
          <w:cantSplit w:val="0"/>
          <w:trHeight w:val="43"/>
        </w:trPr>
        <w:tc>
          <w:tcPr>
            <w:tcW w:w="0" w:type="auto"/>
          </w:tcPr>
          <w:p w14:paraId="7FD70802" w14:textId="2C29942E" w:rsidR="0034059C" w:rsidRPr="0034059C" w:rsidRDefault="00EA20CF" w:rsidP="0034059C">
            <w:pPr>
              <w:pStyle w:val="Tabletext"/>
              <w:contextualSpacing/>
            </w:pPr>
            <w:r w:rsidRPr="0034059C">
              <w:rPr>
                <w:b/>
                <w:bCs/>
              </w:rPr>
              <w:t>Term of Ownership Restrictions</w:t>
            </w:r>
          </w:p>
        </w:tc>
        <w:tc>
          <w:tcPr>
            <w:tcW w:w="0" w:type="auto"/>
          </w:tcPr>
          <w:p w14:paraId="5226742A" w14:textId="77777777" w:rsidR="0034059C" w:rsidRPr="0034059C" w:rsidRDefault="00EA20CF" w:rsidP="0034059C">
            <w:pPr>
              <w:spacing w:after="0"/>
              <w:contextualSpacing/>
            </w:pPr>
            <w:r w:rsidRPr="0034059C">
              <w:t>Equity-sharing at first sale unless local ordinance requires longer term</w:t>
            </w:r>
          </w:p>
          <w:p w14:paraId="775B286A" w14:textId="284345BA" w:rsidR="0034059C" w:rsidRPr="0034059C" w:rsidRDefault="00EA20CF" w:rsidP="0034059C">
            <w:pPr>
              <w:pStyle w:val="Tabletext"/>
              <w:contextualSpacing/>
            </w:pPr>
            <w:r w:rsidRPr="0034059C">
              <w:t>(§ 65915(c)(2)(C))</w:t>
            </w:r>
          </w:p>
        </w:tc>
        <w:tc>
          <w:tcPr>
            <w:tcW w:w="2046" w:type="dxa"/>
          </w:tcPr>
          <w:p w14:paraId="37D6BB93" w14:textId="77777777" w:rsidR="0034059C" w:rsidRPr="0034059C" w:rsidRDefault="00EA20CF" w:rsidP="0034059C">
            <w:pPr>
              <w:spacing w:after="0"/>
              <w:contextualSpacing/>
            </w:pPr>
            <w:r w:rsidRPr="0034059C">
              <w:t>45 years</w:t>
            </w:r>
          </w:p>
          <w:p w14:paraId="7F2A55BA" w14:textId="43E6C96C" w:rsidR="0034059C" w:rsidRPr="0034059C" w:rsidRDefault="00EA20CF" w:rsidP="0034059C">
            <w:pPr>
              <w:pStyle w:val="Tabletext"/>
              <w:contextualSpacing/>
            </w:pPr>
            <w:r w:rsidRPr="0034059C">
              <w:t>(§65913.4(a)(3)(A))</w:t>
            </w:r>
          </w:p>
        </w:tc>
        <w:tc>
          <w:tcPr>
            <w:tcW w:w="1733" w:type="dxa"/>
          </w:tcPr>
          <w:p w14:paraId="1627BE14" w14:textId="07CA17F8" w:rsidR="0034059C" w:rsidRPr="0034059C" w:rsidRDefault="00EA20CF" w:rsidP="0034059C">
            <w:pPr>
              <w:pStyle w:val="Tabletext"/>
              <w:contextualSpacing/>
            </w:pPr>
            <w:r w:rsidRPr="0034059C">
              <w:t>Not specified</w:t>
            </w:r>
          </w:p>
        </w:tc>
        <w:tc>
          <w:tcPr>
            <w:tcW w:w="1579" w:type="dxa"/>
          </w:tcPr>
          <w:p w14:paraId="0DB3C256" w14:textId="6F062F80" w:rsidR="0034059C" w:rsidRPr="0034059C" w:rsidRDefault="00EA20CF" w:rsidP="0034059C">
            <w:pPr>
              <w:pStyle w:val="Tabletext"/>
              <w:contextualSpacing/>
            </w:pPr>
            <w:r w:rsidRPr="0034059C">
              <w:t>Not specified</w:t>
            </w:r>
          </w:p>
        </w:tc>
        <w:tc>
          <w:tcPr>
            <w:tcW w:w="1795" w:type="dxa"/>
          </w:tcPr>
          <w:p w14:paraId="706522A6" w14:textId="5B593A5C" w:rsidR="0034059C" w:rsidRPr="0034059C" w:rsidRDefault="00EA20CF" w:rsidP="0034059C">
            <w:pPr>
              <w:pStyle w:val="Tabletext"/>
              <w:contextualSpacing/>
            </w:pPr>
            <w:proofErr w:type="gramStart"/>
            <w:r w:rsidRPr="0034059C">
              <w:t>Typically</w:t>
            </w:r>
            <w:proofErr w:type="gramEnd"/>
            <w:r w:rsidRPr="0034059C">
              <w:t xml:space="preserve"> 45 years or perpetuity</w:t>
            </w:r>
          </w:p>
        </w:tc>
      </w:tr>
    </w:tbl>
    <w:p w14:paraId="74A5ABBF" w14:textId="1028E194" w:rsidR="0034059C" w:rsidRDefault="00EA20CF" w:rsidP="00BA0C11">
      <w:pPr>
        <w:pStyle w:val="Heading2"/>
      </w:pPr>
      <w:r>
        <w:t>Inclusionary Housing Policy Considerations Checklist</w:t>
      </w:r>
    </w:p>
    <w:p w14:paraId="49A64252" w14:textId="77777777" w:rsidR="00CE0E16" w:rsidRDefault="00EA20CF" w:rsidP="00CE0E16">
      <w:proofErr w:type="gramStart"/>
      <w:r>
        <w:t>In order to</w:t>
      </w:r>
      <w:proofErr w:type="gramEnd"/>
      <w:r>
        <w:t xml:space="preserve"> create an effective inclusionary housing program, a city or county will need to take several policy objectives into consideration.  The following table identifies certain issues and questions to assist local agencies in crafting or updating an inclusionary policy.  A particular jurisdiction may have additional policy objectives not identified in this table.</w:t>
      </w:r>
    </w:p>
    <w:p w14:paraId="1D4048C8" w14:textId="5ED5C2FD" w:rsidR="00AA7CC3" w:rsidRDefault="00EA20CF" w:rsidP="00CE0E16">
      <w:pPr>
        <w:pStyle w:val="Heading3"/>
      </w:pPr>
      <w:r w:rsidRPr="00B40F2A">
        <w:t xml:space="preserve">Table 2. </w:t>
      </w:r>
      <w:r w:rsidR="00B40F2A">
        <w:t>Inclusionary Housing Policy Considerations Checklist</w:t>
      </w:r>
    </w:p>
    <w:tbl>
      <w:tblPr>
        <w:tblStyle w:val="TableGrid"/>
        <w:tblW w:w="10795" w:type="dxa"/>
        <w:tblLook w:val="04A0" w:firstRow="1" w:lastRow="0" w:firstColumn="1" w:lastColumn="0" w:noHBand="0" w:noVBand="1"/>
      </w:tblPr>
      <w:tblGrid>
        <w:gridCol w:w="2245"/>
        <w:gridCol w:w="8550"/>
      </w:tblGrid>
      <w:tr w:rsidR="00431291" w14:paraId="626F2EF4" w14:textId="57CE884D" w:rsidTr="00431291">
        <w:trPr>
          <w:cnfStyle w:val="100000000000" w:firstRow="1" w:lastRow="0" w:firstColumn="0" w:lastColumn="0" w:oddVBand="0" w:evenVBand="0" w:oddHBand="0" w:evenHBand="0" w:firstRowFirstColumn="0" w:firstRowLastColumn="0" w:lastRowFirstColumn="0" w:lastRowLastColumn="0"/>
          <w:trHeight w:val="150"/>
        </w:trPr>
        <w:tc>
          <w:tcPr>
            <w:tcW w:w="2245" w:type="dxa"/>
          </w:tcPr>
          <w:p w14:paraId="6E3E7BA4" w14:textId="6816CF50" w:rsidR="003A1E52" w:rsidRPr="00FC0A2C" w:rsidRDefault="00EA20CF" w:rsidP="003A1E52">
            <w:pPr>
              <w:pStyle w:val="Tableheading"/>
            </w:pPr>
            <w:r w:rsidRPr="007873DB">
              <w:rPr>
                <w:rFonts w:cstheme="minorHAnsi"/>
                <w:sz w:val="22"/>
                <w:szCs w:val="20"/>
              </w:rPr>
              <w:t>Issue</w:t>
            </w:r>
          </w:p>
        </w:tc>
        <w:tc>
          <w:tcPr>
            <w:tcW w:w="8550" w:type="dxa"/>
          </w:tcPr>
          <w:p w14:paraId="294FD4CE" w14:textId="442C4F12" w:rsidR="003A1E52" w:rsidRPr="003A1E52" w:rsidRDefault="00EA20CF" w:rsidP="003A1E52">
            <w:pPr>
              <w:spacing w:after="0" w:line="240" w:lineRule="auto"/>
              <w:rPr>
                <w:b/>
                <w:bCs/>
              </w:rPr>
            </w:pPr>
            <w:r w:rsidRPr="003A1E52">
              <w:rPr>
                <w:rFonts w:cstheme="minorHAnsi"/>
                <w:b/>
                <w:bCs/>
                <w:szCs w:val="20"/>
              </w:rPr>
              <w:t>Factors to Consider</w:t>
            </w:r>
          </w:p>
        </w:tc>
      </w:tr>
      <w:tr w:rsidR="00431291" w14:paraId="5A57DED7" w14:textId="77777777" w:rsidTr="00431291">
        <w:trPr>
          <w:cnfStyle w:val="000000100000" w:firstRow="0" w:lastRow="0" w:firstColumn="0" w:lastColumn="0" w:oddVBand="0" w:evenVBand="0" w:oddHBand="1" w:evenHBand="0" w:firstRowFirstColumn="0" w:firstRowLastColumn="0" w:lastRowFirstColumn="0" w:lastRowLastColumn="0"/>
          <w:trHeight w:val="43"/>
        </w:trPr>
        <w:tc>
          <w:tcPr>
            <w:tcW w:w="2245" w:type="dxa"/>
          </w:tcPr>
          <w:p w14:paraId="4831857E" w14:textId="6B279D83" w:rsidR="003A1E52" w:rsidRPr="00AA7CC3" w:rsidRDefault="00EA20CF" w:rsidP="00AA7CC3">
            <w:pPr>
              <w:pStyle w:val="ListParagraph"/>
              <w:numPr>
                <w:ilvl w:val="0"/>
                <w:numId w:val="22"/>
              </w:numPr>
              <w:spacing w:after="0"/>
              <w:rPr>
                <w:b/>
              </w:rPr>
            </w:pPr>
            <w:r w:rsidRPr="00AA7CC3">
              <w:rPr>
                <w:b/>
              </w:rPr>
              <w:t xml:space="preserve">Inclusionary Percentage and Affordability Level </w:t>
            </w:r>
          </w:p>
          <w:p w14:paraId="26090159" w14:textId="5DB36098" w:rsidR="003A1E52" w:rsidRPr="00727D59" w:rsidRDefault="003A1E52" w:rsidP="003A1E52">
            <w:pPr>
              <w:pStyle w:val="Tabletext"/>
              <w:tabs>
                <w:tab w:val="num" w:pos="360"/>
              </w:tabs>
              <w:ind w:left="341"/>
              <w:rPr>
                <w:rFonts w:cstheme="minorHAnsi"/>
              </w:rPr>
            </w:pPr>
          </w:p>
        </w:tc>
        <w:tc>
          <w:tcPr>
            <w:tcW w:w="8550" w:type="dxa"/>
          </w:tcPr>
          <w:p w14:paraId="25CD25B5" w14:textId="018962D7" w:rsidR="003A1E52" w:rsidRPr="00727D59" w:rsidRDefault="00EA20CF" w:rsidP="00AA7CC3">
            <w:pPr>
              <w:pStyle w:val="ListParagraph"/>
              <w:numPr>
                <w:ilvl w:val="0"/>
                <w:numId w:val="26"/>
              </w:numPr>
              <w:spacing w:after="0"/>
              <w:ind w:left="342"/>
            </w:pPr>
            <w:r w:rsidRPr="00727D59">
              <w:t xml:space="preserve">What percentage of a housing development project does the city want to be affordable?  </w:t>
            </w:r>
          </w:p>
          <w:p w14:paraId="224A7A31" w14:textId="6D2CA772" w:rsidR="003A1E52" w:rsidRPr="00727D59" w:rsidRDefault="00EA20CF" w:rsidP="00AA7CC3">
            <w:pPr>
              <w:pStyle w:val="ListParagraph"/>
              <w:numPr>
                <w:ilvl w:val="0"/>
                <w:numId w:val="26"/>
              </w:numPr>
              <w:spacing w:after="0"/>
              <w:ind w:left="342"/>
            </w:pPr>
            <w:r w:rsidRPr="00727D59">
              <w:t xml:space="preserve">What income levels does the city want to use? </w:t>
            </w:r>
          </w:p>
          <w:p w14:paraId="3BF93BCB" w14:textId="77777777" w:rsidR="00AA7CC3" w:rsidRDefault="00EA20CF" w:rsidP="00AA7CC3">
            <w:pPr>
              <w:pStyle w:val="ListParagraph"/>
              <w:numPr>
                <w:ilvl w:val="0"/>
                <w:numId w:val="26"/>
              </w:numPr>
              <w:spacing w:after="0"/>
              <w:ind w:left="342"/>
            </w:pPr>
            <w:r w:rsidRPr="00727D59">
              <w:t xml:space="preserve">Does the city want to establish fixed percentages between the income levels? Typically for-sale units </w:t>
            </w:r>
            <w:proofErr w:type="gramStart"/>
            <w:r w:rsidRPr="00727D59">
              <w:t>are</w:t>
            </w:r>
            <w:proofErr w:type="gramEnd"/>
            <w:r w:rsidRPr="00727D59">
              <w:t xml:space="preserve"> moderate income and for-rent units are lower income. (A fixed percentage or a standard is commonly used to mitigate against the city's decision being perceived as arbitrary.)</w:t>
            </w:r>
          </w:p>
          <w:p w14:paraId="138F1BD2" w14:textId="3259D97C" w:rsidR="003A1E52" w:rsidRPr="00727D59" w:rsidRDefault="00EA20CF" w:rsidP="00AA7CC3">
            <w:pPr>
              <w:pStyle w:val="ListParagraph"/>
              <w:numPr>
                <w:ilvl w:val="0"/>
                <w:numId w:val="26"/>
              </w:numPr>
              <w:spacing w:after="0"/>
              <w:ind w:left="342"/>
            </w:pPr>
            <w:r w:rsidRPr="00727D59">
              <w:t>For rental housing:  Gov Code §65850.01 effectively provides a 'safe harbor' of 15% low income. Above that, HCD can require an economic study if the city is not meeting above-moderate production goals (Gov Code. §65850.01).</w:t>
            </w:r>
          </w:p>
        </w:tc>
      </w:tr>
      <w:tr w:rsidR="00431291" w14:paraId="3A66DE7A" w14:textId="77777777" w:rsidTr="00431291">
        <w:trPr>
          <w:trHeight w:val="43"/>
        </w:trPr>
        <w:tc>
          <w:tcPr>
            <w:tcW w:w="2245" w:type="dxa"/>
          </w:tcPr>
          <w:p w14:paraId="780CC97A" w14:textId="4A243472" w:rsidR="003A1E52" w:rsidRPr="00AA7CC3" w:rsidRDefault="00EA20CF" w:rsidP="00AA7CC3">
            <w:pPr>
              <w:pStyle w:val="ListParagraph"/>
              <w:numPr>
                <w:ilvl w:val="0"/>
                <w:numId w:val="22"/>
              </w:numPr>
              <w:tabs>
                <w:tab w:val="num" w:pos="360"/>
              </w:tabs>
              <w:spacing w:after="0"/>
              <w:rPr>
                <w:b/>
              </w:rPr>
            </w:pPr>
            <w:r w:rsidRPr="00AA7CC3">
              <w:rPr>
                <w:b/>
              </w:rPr>
              <w:br w:type="page"/>
              <w:t>Term of Affordability Restrictions</w:t>
            </w:r>
          </w:p>
        </w:tc>
        <w:tc>
          <w:tcPr>
            <w:tcW w:w="8550" w:type="dxa"/>
          </w:tcPr>
          <w:p w14:paraId="3F896E4C" w14:textId="281F4BB6" w:rsidR="003A1E52" w:rsidRPr="00727D59" w:rsidRDefault="00EA20CF" w:rsidP="003A1E52">
            <w:pPr>
              <w:pStyle w:val="Tabletext"/>
              <w:contextualSpacing/>
              <w:rPr>
                <w:rFonts w:cstheme="minorHAnsi"/>
              </w:rPr>
            </w:pPr>
            <w:r w:rsidRPr="00727D59">
              <w:t xml:space="preserve">What should the term of affordability restrictions be?  55 years is a common </w:t>
            </w:r>
            <w:proofErr w:type="gramStart"/>
            <w:r w:rsidRPr="00727D59">
              <w:t>time period</w:t>
            </w:r>
            <w:proofErr w:type="gramEnd"/>
            <w:r w:rsidRPr="00727D59">
              <w:t xml:space="preserve"> (this is what is required for rental projects in density bonus and SB 35, and inclusionary units can also be used to meet these state program requirements). Some jurisdictions require affordability in perpetuity, which is permitted under the rule against perpetuity as a "</w:t>
            </w:r>
            <w:proofErr w:type="spellStart"/>
            <w:r w:rsidRPr="00727D59">
              <w:t>nondonative</w:t>
            </w:r>
            <w:proofErr w:type="spellEnd"/>
            <w:r w:rsidRPr="00727D59">
              <w:t xml:space="preserve"> transfer" (Prob. Code § 21225(a)).</w:t>
            </w:r>
          </w:p>
        </w:tc>
      </w:tr>
      <w:tr w:rsidR="00431291" w14:paraId="08C79A4A" w14:textId="77777777" w:rsidTr="00431291">
        <w:trPr>
          <w:cnfStyle w:val="000000100000" w:firstRow="0" w:lastRow="0" w:firstColumn="0" w:lastColumn="0" w:oddVBand="0" w:evenVBand="0" w:oddHBand="1" w:evenHBand="0" w:firstRowFirstColumn="0" w:firstRowLastColumn="0" w:lastRowFirstColumn="0" w:lastRowLastColumn="0"/>
          <w:trHeight w:val="43"/>
        </w:trPr>
        <w:tc>
          <w:tcPr>
            <w:tcW w:w="2245" w:type="dxa"/>
          </w:tcPr>
          <w:p w14:paraId="1771BEB9" w14:textId="31B1DAB3" w:rsidR="003A1E52" w:rsidRPr="00AA7CC3" w:rsidRDefault="00EA20CF" w:rsidP="00AA7CC3">
            <w:pPr>
              <w:pStyle w:val="ListParagraph"/>
              <w:numPr>
                <w:ilvl w:val="0"/>
                <w:numId w:val="22"/>
              </w:numPr>
              <w:tabs>
                <w:tab w:val="num" w:pos="360"/>
              </w:tabs>
              <w:spacing w:after="0"/>
              <w:rPr>
                <w:b/>
              </w:rPr>
            </w:pPr>
            <w:r w:rsidRPr="00AA7CC3">
              <w:rPr>
                <w:b/>
              </w:rPr>
              <w:t>Size of Projects Subject to Inclusionary Ordinance</w:t>
            </w:r>
          </w:p>
        </w:tc>
        <w:tc>
          <w:tcPr>
            <w:tcW w:w="8550" w:type="dxa"/>
          </w:tcPr>
          <w:p w14:paraId="7CF0D2F1" w14:textId="77777777" w:rsidR="003A1E52" w:rsidRPr="00727D59" w:rsidRDefault="00EA20CF" w:rsidP="003A1E52">
            <w:pPr>
              <w:spacing w:after="0"/>
            </w:pPr>
            <w:r w:rsidRPr="00727D59">
              <w:t xml:space="preserve">How many units in a project to trigger inclusionary requirements?  </w:t>
            </w:r>
          </w:p>
          <w:p w14:paraId="3DD955D8" w14:textId="77777777" w:rsidR="003A1E52" w:rsidRPr="00727D59" w:rsidRDefault="003A1E52" w:rsidP="003A1E52">
            <w:pPr>
              <w:spacing w:after="0"/>
            </w:pPr>
          </w:p>
          <w:p w14:paraId="1BDFDBD8" w14:textId="2B1F8564" w:rsidR="003A1E52" w:rsidRPr="00727D59" w:rsidRDefault="003A1E52" w:rsidP="003A1E52">
            <w:pPr>
              <w:pStyle w:val="Tabletext"/>
              <w:contextualSpacing/>
              <w:rPr>
                <w:rFonts w:cstheme="minorHAnsi"/>
              </w:rPr>
            </w:pPr>
          </w:p>
        </w:tc>
      </w:tr>
      <w:tr w:rsidR="00431291" w14:paraId="0BF608E6" w14:textId="77777777" w:rsidTr="00431291">
        <w:trPr>
          <w:trHeight w:val="43"/>
        </w:trPr>
        <w:tc>
          <w:tcPr>
            <w:tcW w:w="2245" w:type="dxa"/>
          </w:tcPr>
          <w:p w14:paraId="6C76B2B1" w14:textId="353B3267" w:rsidR="003A1E52" w:rsidRPr="00AA7CC3" w:rsidRDefault="00EA20CF" w:rsidP="00AA7CC3">
            <w:pPr>
              <w:pStyle w:val="ListParagraph"/>
              <w:numPr>
                <w:ilvl w:val="0"/>
                <w:numId w:val="22"/>
              </w:numPr>
              <w:tabs>
                <w:tab w:val="num" w:pos="360"/>
              </w:tabs>
              <w:spacing w:after="0"/>
              <w:rPr>
                <w:b/>
              </w:rPr>
            </w:pPr>
            <w:r w:rsidRPr="00AA7CC3">
              <w:rPr>
                <w:b/>
              </w:rPr>
              <w:lastRenderedPageBreak/>
              <w:t>Alternatives</w:t>
            </w:r>
          </w:p>
        </w:tc>
        <w:tc>
          <w:tcPr>
            <w:tcW w:w="8550" w:type="dxa"/>
          </w:tcPr>
          <w:p w14:paraId="6F638F66" w14:textId="77777777" w:rsidR="00AA7CC3" w:rsidRDefault="00EA20CF" w:rsidP="00AA7CC3">
            <w:pPr>
              <w:pStyle w:val="ListParagraph"/>
              <w:numPr>
                <w:ilvl w:val="0"/>
                <w:numId w:val="24"/>
              </w:numPr>
              <w:spacing w:after="0"/>
              <w:ind w:left="342"/>
            </w:pPr>
            <w:r w:rsidRPr="00727D59">
              <w:t>Government Code §65850 can conservatively be interpreted to require that the city provide at least 2 alternatives for rental projects. Examples of common alternatives are in lieu fees (see No. 7 below), land dedication, etc.</w:t>
            </w:r>
          </w:p>
          <w:p w14:paraId="1E093F1D" w14:textId="45A53EB5" w:rsidR="003A1E52" w:rsidRPr="00727D59" w:rsidRDefault="00EA20CF" w:rsidP="00AA7CC3">
            <w:pPr>
              <w:pStyle w:val="ListParagraph"/>
              <w:numPr>
                <w:ilvl w:val="0"/>
                <w:numId w:val="24"/>
              </w:numPr>
              <w:spacing w:after="0"/>
              <w:ind w:left="342"/>
            </w:pPr>
            <w:r w:rsidRPr="00727D59">
              <w:t>Providing alternative methods of complying is not required for for-sale units.</w:t>
            </w:r>
          </w:p>
        </w:tc>
      </w:tr>
      <w:tr w:rsidR="00431291" w14:paraId="039BE7CD" w14:textId="77777777" w:rsidTr="00431291">
        <w:trPr>
          <w:cnfStyle w:val="000000100000" w:firstRow="0" w:lastRow="0" w:firstColumn="0" w:lastColumn="0" w:oddVBand="0" w:evenVBand="0" w:oddHBand="1" w:evenHBand="0" w:firstRowFirstColumn="0" w:firstRowLastColumn="0" w:lastRowFirstColumn="0" w:lastRowLastColumn="0"/>
          <w:trHeight w:val="43"/>
        </w:trPr>
        <w:tc>
          <w:tcPr>
            <w:tcW w:w="2245" w:type="dxa"/>
          </w:tcPr>
          <w:p w14:paraId="78C01460" w14:textId="2830B625" w:rsidR="003A1E52" w:rsidRPr="00AA7CC3" w:rsidRDefault="00EA20CF" w:rsidP="00AA7CC3">
            <w:pPr>
              <w:pStyle w:val="ListParagraph"/>
              <w:numPr>
                <w:ilvl w:val="0"/>
                <w:numId w:val="22"/>
              </w:numPr>
              <w:tabs>
                <w:tab w:val="num" w:pos="360"/>
              </w:tabs>
              <w:spacing w:after="0"/>
              <w:rPr>
                <w:b/>
              </w:rPr>
            </w:pPr>
            <w:r w:rsidRPr="00AA7CC3">
              <w:rPr>
                <w:b/>
              </w:rPr>
              <w:t>Calculation of Affordable Housing Cost and Rent</w:t>
            </w:r>
          </w:p>
        </w:tc>
        <w:tc>
          <w:tcPr>
            <w:tcW w:w="8550" w:type="dxa"/>
          </w:tcPr>
          <w:p w14:paraId="0E9BD831" w14:textId="51E33698" w:rsidR="003A1E52" w:rsidRPr="00727D59" w:rsidRDefault="00EA20CF" w:rsidP="003A1E52">
            <w:pPr>
              <w:spacing w:after="0"/>
            </w:pPr>
            <w:r w:rsidRPr="00727D59">
              <w:t xml:space="preserve">The inclusionary program should specify what will be considered affordable housing cost for rental and ownership units. State law and regulations have set standards that can be used to determine affordable housing cost and rent, which are commonly used (see Health &amp; Safety §§ 50053 (affordable rent); 50052.5 (affordable housing cost). </w:t>
            </w:r>
          </w:p>
        </w:tc>
      </w:tr>
      <w:tr w:rsidR="00431291" w14:paraId="51D3E461" w14:textId="77777777" w:rsidTr="00431291">
        <w:trPr>
          <w:trHeight w:val="43"/>
        </w:trPr>
        <w:tc>
          <w:tcPr>
            <w:tcW w:w="2245" w:type="dxa"/>
          </w:tcPr>
          <w:p w14:paraId="0F18602B" w14:textId="7A69D270" w:rsidR="003A1E52" w:rsidRPr="00AA7CC3" w:rsidRDefault="00EA20CF" w:rsidP="00AA7CC3">
            <w:pPr>
              <w:pStyle w:val="ListParagraph"/>
              <w:numPr>
                <w:ilvl w:val="0"/>
                <w:numId w:val="22"/>
              </w:numPr>
              <w:tabs>
                <w:tab w:val="num" w:pos="360"/>
              </w:tabs>
              <w:spacing w:after="0"/>
              <w:rPr>
                <w:b/>
              </w:rPr>
            </w:pPr>
            <w:r>
              <w:rPr>
                <w:b/>
              </w:rPr>
              <w:t>T</w:t>
            </w:r>
            <w:r w:rsidRPr="00AA7CC3">
              <w:rPr>
                <w:b/>
              </w:rPr>
              <w:t>reatment of Inclusionary Units at Resale</w:t>
            </w:r>
          </w:p>
        </w:tc>
        <w:tc>
          <w:tcPr>
            <w:tcW w:w="8550" w:type="dxa"/>
          </w:tcPr>
          <w:p w14:paraId="42441938" w14:textId="14B23924" w:rsidR="003A1E52" w:rsidRPr="00727D59" w:rsidRDefault="00EA20CF" w:rsidP="003A1E52">
            <w:pPr>
              <w:spacing w:after="0"/>
            </w:pPr>
            <w:r w:rsidRPr="00727D59">
              <w:t>The inclusionary program should specify what happens to an ownership unit at resale if the resale is prior to the expiration of the term of affordability.  Some things to consider are how the sales proceeds are divided between the city and seller and whether a new affordable term begins upon sale to the new owner.</w:t>
            </w:r>
          </w:p>
        </w:tc>
      </w:tr>
      <w:tr w:rsidR="00431291" w14:paraId="3DE15C2C" w14:textId="77777777" w:rsidTr="00431291">
        <w:trPr>
          <w:cnfStyle w:val="000000100000" w:firstRow="0" w:lastRow="0" w:firstColumn="0" w:lastColumn="0" w:oddVBand="0" w:evenVBand="0" w:oddHBand="1" w:evenHBand="0" w:firstRowFirstColumn="0" w:firstRowLastColumn="0" w:lastRowFirstColumn="0" w:lastRowLastColumn="0"/>
          <w:trHeight w:val="43"/>
        </w:trPr>
        <w:tc>
          <w:tcPr>
            <w:tcW w:w="2245" w:type="dxa"/>
          </w:tcPr>
          <w:p w14:paraId="48ED4FCE" w14:textId="48BB0627" w:rsidR="003A1E52" w:rsidRPr="00AA7CC3" w:rsidRDefault="00EA20CF" w:rsidP="00AA7CC3">
            <w:pPr>
              <w:pStyle w:val="ListParagraph"/>
              <w:numPr>
                <w:ilvl w:val="0"/>
                <w:numId w:val="22"/>
              </w:numPr>
              <w:tabs>
                <w:tab w:val="num" w:pos="360"/>
              </w:tabs>
              <w:spacing w:after="0"/>
              <w:rPr>
                <w:b/>
              </w:rPr>
            </w:pPr>
            <w:r w:rsidRPr="00AA7CC3">
              <w:rPr>
                <w:b/>
              </w:rPr>
              <w:t>In Lieu Fee? Commercial Linkage Fee?</w:t>
            </w:r>
          </w:p>
        </w:tc>
        <w:tc>
          <w:tcPr>
            <w:tcW w:w="8550" w:type="dxa"/>
          </w:tcPr>
          <w:p w14:paraId="531B6142" w14:textId="10F2F39B" w:rsidR="003A1E52" w:rsidRPr="00727D59" w:rsidRDefault="00EA20CF" w:rsidP="003A1E52">
            <w:pPr>
              <w:pStyle w:val="Tabletext"/>
            </w:pPr>
            <w:r w:rsidRPr="00727D59">
              <w:t xml:space="preserve">If an in-lieu fee is permitted or </w:t>
            </w:r>
            <w:proofErr w:type="gramStart"/>
            <w:r w:rsidRPr="00727D59">
              <w:t>require</w:t>
            </w:r>
            <w:proofErr w:type="gramEnd"/>
            <w:r w:rsidRPr="00727D59">
              <w:t xml:space="preserve">, a fee study to support the </w:t>
            </w:r>
            <w:proofErr w:type="gramStart"/>
            <w:r w:rsidRPr="00727D59">
              <w:t>in lieu</w:t>
            </w:r>
            <w:proofErr w:type="gramEnd"/>
            <w:r w:rsidRPr="00727D59">
              <w:t xml:space="preserve"> fee or commercial linkage fee will be needed and will assist in setting the fee amount. </w:t>
            </w:r>
          </w:p>
        </w:tc>
      </w:tr>
      <w:tr w:rsidR="00431291" w14:paraId="5F528C3E" w14:textId="77777777" w:rsidTr="00431291">
        <w:trPr>
          <w:trHeight w:val="43"/>
        </w:trPr>
        <w:tc>
          <w:tcPr>
            <w:tcW w:w="2245" w:type="dxa"/>
          </w:tcPr>
          <w:p w14:paraId="0999C6C0" w14:textId="49E7DC8F" w:rsidR="003A1E52" w:rsidRPr="00AA7CC3" w:rsidRDefault="00EA20CF" w:rsidP="00AA7CC3">
            <w:pPr>
              <w:pStyle w:val="ListParagraph"/>
              <w:numPr>
                <w:ilvl w:val="0"/>
                <w:numId w:val="22"/>
              </w:numPr>
              <w:tabs>
                <w:tab w:val="num" w:pos="360"/>
              </w:tabs>
              <w:spacing w:after="0"/>
              <w:rPr>
                <w:b/>
              </w:rPr>
            </w:pPr>
            <w:r w:rsidRPr="00AA7CC3">
              <w:rPr>
                <w:b/>
              </w:rPr>
              <w:t>Program Administration</w:t>
            </w:r>
          </w:p>
        </w:tc>
        <w:tc>
          <w:tcPr>
            <w:tcW w:w="8550" w:type="dxa"/>
          </w:tcPr>
          <w:p w14:paraId="6B6A6127" w14:textId="365EC8E2" w:rsidR="003A1E52" w:rsidRPr="00727D59" w:rsidRDefault="00EA20CF" w:rsidP="003A1E52">
            <w:pPr>
              <w:spacing w:after="0"/>
            </w:pPr>
            <w:r w:rsidRPr="00727D59">
              <w:t>Does the City administer the affordable units (marketing, income-qualifying buyers, etc.) or the developer?  Is the city interested in establishing a monitoring fee for rentals?</w:t>
            </w:r>
          </w:p>
        </w:tc>
      </w:tr>
    </w:tbl>
    <w:p w14:paraId="58E6FCE2" w14:textId="6B219303" w:rsidR="00727D59" w:rsidRPr="00727D59" w:rsidRDefault="00EA20CF" w:rsidP="00727D59">
      <w:pPr>
        <w:pStyle w:val="Heading2"/>
      </w:pPr>
      <w:r>
        <w:t>Affordable Housing Master Developer Agreement</w:t>
      </w:r>
      <w:r w:rsidR="00B40F2A">
        <w:t xml:space="preserve"> Checklist</w:t>
      </w:r>
    </w:p>
    <w:p w14:paraId="43AFC6BD" w14:textId="3EC9C3F2" w:rsidR="00727D59" w:rsidRDefault="00EA20CF" w:rsidP="00727D59">
      <w:r>
        <w:t xml:space="preserve">Unless a housing development project is 100% affordable, it will contain market rate units and only a small portion of affordable units will be developed for the income level specified in the inclusionary housing ordinance.  A master developer agreement is intended to ensure that the developer of the housing development project </w:t>
      </w:r>
      <w:proofErr w:type="gramStart"/>
      <w:r>
        <w:t>actually constructs</w:t>
      </w:r>
      <w:proofErr w:type="gramEnd"/>
      <w:r>
        <w:t xml:space="preserve"> the affordable units.  This agreement will often include requirements that a certain number of affordable units must obtain their certificate of occupancy at the same time as market rate units; public agencies should require applicants to propose a schedule for construction of the affordable units.  </w:t>
      </w:r>
    </w:p>
    <w:p w14:paraId="21CD9509" w14:textId="62480282" w:rsidR="0085491E" w:rsidRDefault="00EA20CF" w:rsidP="00BB417C">
      <w:r>
        <w:t>The master agreement should be recorded on the entire property before a building permit is issued or a final map recorded, whichever occurs earlier, and is released once the affordable units have been constructed.  There are, however, instances where this agreement is not needed, such as a single development phase rental project where a regulatory agreement will be recorded prior to issuance of a building permit or final map recorded.</w:t>
      </w:r>
    </w:p>
    <w:p w14:paraId="7F952457" w14:textId="4AF9123D" w:rsidR="00AA7CC3" w:rsidRDefault="00EA20CF" w:rsidP="00AA7CC3">
      <w:pPr>
        <w:pStyle w:val="Heading3"/>
      </w:pPr>
      <w:r w:rsidRPr="00B40F2A">
        <w:t xml:space="preserve">Table 3. </w:t>
      </w:r>
      <w:r w:rsidR="00B40F2A">
        <w:t>Affordable Housing Master Developer Agreement Checklist</w:t>
      </w:r>
    </w:p>
    <w:tbl>
      <w:tblPr>
        <w:tblStyle w:val="TableGrid"/>
        <w:tblW w:w="10795" w:type="dxa"/>
        <w:tblLook w:val="06A0" w:firstRow="1" w:lastRow="0" w:firstColumn="1" w:lastColumn="0" w:noHBand="1" w:noVBand="1"/>
      </w:tblPr>
      <w:tblGrid>
        <w:gridCol w:w="3325"/>
        <w:gridCol w:w="7470"/>
      </w:tblGrid>
      <w:tr w:rsidR="00431291" w14:paraId="5FFACDAF" w14:textId="77777777" w:rsidTr="00431291">
        <w:trPr>
          <w:cnfStyle w:val="100000000000" w:firstRow="1" w:lastRow="0" w:firstColumn="0" w:lastColumn="0" w:oddVBand="0" w:evenVBand="0" w:oddHBand="0" w:evenHBand="0" w:firstRowFirstColumn="0" w:firstRowLastColumn="0" w:lastRowFirstColumn="0" w:lastRowLastColumn="0"/>
          <w:trHeight w:val="300"/>
        </w:trPr>
        <w:tc>
          <w:tcPr>
            <w:tcW w:w="3325" w:type="dxa"/>
          </w:tcPr>
          <w:p w14:paraId="4FEBAA15" w14:textId="5EE22456" w:rsidR="007873DB" w:rsidRPr="00FC0A2C" w:rsidRDefault="00EA20CF" w:rsidP="00AA7CC3">
            <w:pPr>
              <w:pStyle w:val="Tableheading"/>
            </w:pPr>
            <w:r w:rsidRPr="007C5921">
              <w:rPr>
                <w:sz w:val="22"/>
              </w:rPr>
              <w:t>Item to Include in Agreement</w:t>
            </w:r>
          </w:p>
        </w:tc>
        <w:tc>
          <w:tcPr>
            <w:tcW w:w="7470" w:type="dxa"/>
          </w:tcPr>
          <w:p w14:paraId="3BE51F9E" w14:textId="2498D61A" w:rsidR="007873DB" w:rsidRPr="00FC0A2C" w:rsidRDefault="00EA20CF" w:rsidP="007873DB">
            <w:pPr>
              <w:pStyle w:val="Tableheading"/>
            </w:pPr>
            <w:r w:rsidRPr="007C5921">
              <w:rPr>
                <w:sz w:val="22"/>
              </w:rPr>
              <w:t>Purpose</w:t>
            </w:r>
          </w:p>
        </w:tc>
      </w:tr>
      <w:tr w:rsidR="00431291" w14:paraId="790BCFC8" w14:textId="77777777" w:rsidTr="00431291">
        <w:trPr>
          <w:trHeight w:val="48"/>
        </w:trPr>
        <w:tc>
          <w:tcPr>
            <w:tcW w:w="3325" w:type="dxa"/>
          </w:tcPr>
          <w:p w14:paraId="19DAF998" w14:textId="1DCF71F8" w:rsidR="007873DB" w:rsidRPr="007C5921" w:rsidRDefault="00EA20CF" w:rsidP="007873DB">
            <w:pPr>
              <w:pStyle w:val="Tabletext"/>
              <w:rPr>
                <w:rFonts w:cstheme="minorHAnsi"/>
                <w:b/>
                <w:bCs/>
              </w:rPr>
            </w:pPr>
            <w:r w:rsidRPr="007C5921">
              <w:t>Recitals regarding approval basis for affordability requirement</w:t>
            </w:r>
          </w:p>
        </w:tc>
        <w:tc>
          <w:tcPr>
            <w:tcW w:w="7470" w:type="dxa"/>
          </w:tcPr>
          <w:p w14:paraId="00A5F099" w14:textId="3A53EACC" w:rsidR="007873DB" w:rsidRPr="007C5921" w:rsidRDefault="00EA20CF" w:rsidP="007873DB">
            <w:pPr>
              <w:pStyle w:val="Tabletext"/>
              <w:rPr>
                <w:rFonts w:cstheme="minorHAnsi"/>
                <w:b/>
                <w:bCs/>
              </w:rPr>
            </w:pPr>
            <w:r w:rsidRPr="007C5921">
              <w:t>So future readers of the agreement understand the city's authority for the requirements; if the agreement is intended to cover inclusionary units as well as density bonus, streamlined ministerial review process (SB35), or other affordability restrictions, these should all be identified in the recitals of the agreement.</w:t>
            </w:r>
          </w:p>
        </w:tc>
      </w:tr>
      <w:tr w:rsidR="00431291" w14:paraId="02ED0317" w14:textId="77777777" w:rsidTr="00431291">
        <w:trPr>
          <w:trHeight w:val="43"/>
        </w:trPr>
        <w:tc>
          <w:tcPr>
            <w:tcW w:w="3325" w:type="dxa"/>
            <w:shd w:val="clear" w:color="auto" w:fill="F5F8F8"/>
          </w:tcPr>
          <w:p w14:paraId="59E4012C" w14:textId="40635453" w:rsidR="007873DB" w:rsidRPr="007C5921" w:rsidRDefault="00EA20CF" w:rsidP="007873DB">
            <w:pPr>
              <w:spacing w:after="0"/>
              <w:rPr>
                <w:rFonts w:cstheme="minorHAnsi"/>
              </w:rPr>
            </w:pPr>
            <w:r w:rsidRPr="007C5921">
              <w:t>Legal description (usually in the form of an attachment)</w:t>
            </w:r>
          </w:p>
        </w:tc>
        <w:tc>
          <w:tcPr>
            <w:tcW w:w="7470" w:type="dxa"/>
            <w:shd w:val="clear" w:color="auto" w:fill="F5F8F8"/>
          </w:tcPr>
          <w:p w14:paraId="58850A67" w14:textId="3DA6C12E" w:rsidR="007873DB" w:rsidRPr="007C5921" w:rsidRDefault="00EA20CF" w:rsidP="007873DB">
            <w:pPr>
              <w:spacing w:after="0"/>
            </w:pPr>
            <w:r w:rsidRPr="007C5921">
              <w:t>Identifies the property being restricted and is required if the regulatory agreement is being recorded against the property; restriction should apply to entire property.</w:t>
            </w:r>
          </w:p>
        </w:tc>
      </w:tr>
      <w:tr w:rsidR="00431291" w14:paraId="14CB1B60" w14:textId="77777777" w:rsidTr="00431291">
        <w:trPr>
          <w:trHeight w:val="43"/>
        </w:trPr>
        <w:tc>
          <w:tcPr>
            <w:tcW w:w="3325" w:type="dxa"/>
          </w:tcPr>
          <w:p w14:paraId="599C2B86" w14:textId="615A1400" w:rsidR="007873DB" w:rsidRPr="007C5921" w:rsidRDefault="00EA20CF" w:rsidP="007873DB">
            <w:pPr>
              <w:tabs>
                <w:tab w:val="num" w:pos="360"/>
              </w:tabs>
              <w:spacing w:after="0"/>
              <w:rPr>
                <w:b/>
              </w:rPr>
            </w:pPr>
            <w:r w:rsidRPr="007C5921">
              <w:lastRenderedPageBreak/>
              <w:t>Level of affordability (</w:t>
            </w:r>
            <w:proofErr w:type="gramStart"/>
            <w:r w:rsidRPr="007C5921">
              <w:t>e.g.</w:t>
            </w:r>
            <w:proofErr w:type="gramEnd"/>
            <w:r w:rsidRPr="007C5921">
              <w:t xml:space="preserve"> very low income; low income; etc.)</w:t>
            </w:r>
          </w:p>
        </w:tc>
        <w:tc>
          <w:tcPr>
            <w:tcW w:w="7470" w:type="dxa"/>
          </w:tcPr>
          <w:p w14:paraId="573E86ED" w14:textId="57BE1EE3" w:rsidR="007873DB" w:rsidRPr="007C5921" w:rsidRDefault="00EA20CF" w:rsidP="007873DB">
            <w:pPr>
              <w:pStyle w:val="Tabletext"/>
              <w:contextualSpacing/>
              <w:rPr>
                <w:rFonts w:cstheme="minorHAnsi"/>
              </w:rPr>
            </w:pPr>
            <w:r w:rsidRPr="007C5921">
              <w:t>Identifies the income levels needed for a tenant to qualify to reside in the identified affordable units. This should also specify the duration of the affordability restriction.</w:t>
            </w:r>
          </w:p>
        </w:tc>
      </w:tr>
      <w:tr w:rsidR="00431291" w14:paraId="098418EC" w14:textId="77777777" w:rsidTr="00431291">
        <w:trPr>
          <w:trHeight w:val="43"/>
        </w:trPr>
        <w:tc>
          <w:tcPr>
            <w:tcW w:w="3325" w:type="dxa"/>
            <w:shd w:val="clear" w:color="auto" w:fill="F5F8F8"/>
          </w:tcPr>
          <w:p w14:paraId="4EE5ED38" w14:textId="33B3D0F8" w:rsidR="007873DB" w:rsidRPr="007C5921" w:rsidRDefault="00EA20CF" w:rsidP="007873DB">
            <w:pPr>
              <w:tabs>
                <w:tab w:val="num" w:pos="360"/>
              </w:tabs>
              <w:spacing w:after="0"/>
              <w:rPr>
                <w:b/>
              </w:rPr>
            </w:pPr>
            <w:r w:rsidRPr="007C5921">
              <w:t>Location of affordable units</w:t>
            </w:r>
          </w:p>
        </w:tc>
        <w:tc>
          <w:tcPr>
            <w:tcW w:w="7470" w:type="dxa"/>
            <w:shd w:val="clear" w:color="auto" w:fill="F5F8F8"/>
          </w:tcPr>
          <w:p w14:paraId="1753EBA7" w14:textId="14648028" w:rsidR="007873DB" w:rsidRPr="007C5921" w:rsidRDefault="00EA20CF" w:rsidP="007873DB">
            <w:pPr>
              <w:pStyle w:val="Tabletext"/>
              <w:contextualSpacing/>
              <w:rPr>
                <w:rFonts w:cstheme="minorHAnsi"/>
              </w:rPr>
            </w:pPr>
            <w:r w:rsidRPr="007C5921">
              <w:t>Particularly important in a mixed-income project; provides the parties with information on which units are initially affordable and which are market rate.</w:t>
            </w:r>
          </w:p>
        </w:tc>
      </w:tr>
      <w:tr w:rsidR="00431291" w14:paraId="268832CD" w14:textId="77777777" w:rsidTr="00431291">
        <w:trPr>
          <w:trHeight w:val="43"/>
        </w:trPr>
        <w:tc>
          <w:tcPr>
            <w:tcW w:w="3325" w:type="dxa"/>
          </w:tcPr>
          <w:p w14:paraId="2BBCD281" w14:textId="6E952BA3" w:rsidR="007873DB" w:rsidRPr="007C5921" w:rsidRDefault="00EA20CF" w:rsidP="007873DB">
            <w:pPr>
              <w:tabs>
                <w:tab w:val="num" w:pos="360"/>
              </w:tabs>
              <w:spacing w:after="0"/>
              <w:rPr>
                <w:b/>
              </w:rPr>
            </w:pPr>
            <w:r w:rsidRPr="007C5921">
              <w:t>Number of bedrooms, square footage, and design and appearance of the affordable units</w:t>
            </w:r>
          </w:p>
        </w:tc>
        <w:tc>
          <w:tcPr>
            <w:tcW w:w="7470" w:type="dxa"/>
          </w:tcPr>
          <w:p w14:paraId="2500B0B7" w14:textId="6BB7F364" w:rsidR="007873DB" w:rsidRPr="007C5921" w:rsidRDefault="00EA20CF" w:rsidP="007873DB">
            <w:pPr>
              <w:spacing w:after="0"/>
            </w:pPr>
            <w:r w:rsidRPr="007C5921">
              <w:t>Identifies the size of the affordable units; note if there is a requirement for comparable size to market rate and if that is achieved (and if not, why not); note if the affordable units are required to have the same design and appearance as the market rate, that should be addressed.</w:t>
            </w:r>
          </w:p>
        </w:tc>
      </w:tr>
      <w:tr w:rsidR="00431291" w14:paraId="03D9A1AD" w14:textId="77777777" w:rsidTr="00431291">
        <w:trPr>
          <w:trHeight w:val="43"/>
        </w:trPr>
        <w:tc>
          <w:tcPr>
            <w:tcW w:w="3325" w:type="dxa"/>
            <w:shd w:val="clear" w:color="auto" w:fill="F5F8F8"/>
          </w:tcPr>
          <w:p w14:paraId="52119F8A" w14:textId="0B0121D1" w:rsidR="007873DB" w:rsidRPr="007C5921" w:rsidRDefault="00EA20CF" w:rsidP="007873DB">
            <w:pPr>
              <w:tabs>
                <w:tab w:val="num" w:pos="360"/>
              </w:tabs>
              <w:spacing w:after="0"/>
              <w:rPr>
                <w:b/>
              </w:rPr>
            </w:pPr>
            <w:r w:rsidRPr="007C5921">
              <w:t>Phasing of project construction</w:t>
            </w:r>
          </w:p>
        </w:tc>
        <w:tc>
          <w:tcPr>
            <w:tcW w:w="7470" w:type="dxa"/>
            <w:shd w:val="clear" w:color="auto" w:fill="F5F8F8"/>
          </w:tcPr>
          <w:p w14:paraId="09224C66" w14:textId="457B045A" w:rsidR="007873DB" w:rsidRPr="007C5921" w:rsidRDefault="00EA20CF" w:rsidP="007873DB">
            <w:pPr>
              <w:spacing w:after="0"/>
            </w:pPr>
            <w:r w:rsidRPr="007C5921">
              <w:t>Depending on the size of the project, it may be developed in phases.  If that is the case, the master agreement should specify how many affordable units are to be constructed in each phase.  If it is a one phase project, the agreement generally specifies that the affordable units will be built concurrently with the market rate units.  If the affordable units are to be constructed off-site, the agreement should specify expectations on when those units will be constructed and occupied.</w:t>
            </w:r>
          </w:p>
        </w:tc>
      </w:tr>
      <w:tr w:rsidR="00431291" w14:paraId="130DAEFF" w14:textId="77777777" w:rsidTr="00431291">
        <w:trPr>
          <w:trHeight w:val="43"/>
        </w:trPr>
        <w:tc>
          <w:tcPr>
            <w:tcW w:w="3325" w:type="dxa"/>
          </w:tcPr>
          <w:p w14:paraId="4F1C1B4D" w14:textId="1B62B7BB" w:rsidR="007873DB" w:rsidRPr="007C5921" w:rsidRDefault="00EA20CF" w:rsidP="007873DB">
            <w:pPr>
              <w:tabs>
                <w:tab w:val="num" w:pos="360"/>
              </w:tabs>
              <w:spacing w:after="0"/>
              <w:rPr>
                <w:b/>
              </w:rPr>
            </w:pPr>
            <w:r w:rsidRPr="007C5921">
              <w:t>Procedures for setting initial affordable sales prices or rents</w:t>
            </w:r>
          </w:p>
        </w:tc>
        <w:tc>
          <w:tcPr>
            <w:tcW w:w="7470" w:type="dxa"/>
          </w:tcPr>
          <w:p w14:paraId="04502E52" w14:textId="352F3BE7" w:rsidR="007873DB" w:rsidRPr="007C5921" w:rsidRDefault="00EA20CF" w:rsidP="007873DB">
            <w:pPr>
              <w:spacing w:after="0"/>
            </w:pPr>
            <w:r w:rsidRPr="007C5921">
              <w:t xml:space="preserve">This is particularly important with ownership units, as a regulatory agreement describing affordable </w:t>
            </w:r>
            <w:proofErr w:type="gramStart"/>
            <w:r w:rsidRPr="007C5921">
              <w:t>cost</w:t>
            </w:r>
            <w:proofErr w:type="gramEnd"/>
            <w:r w:rsidRPr="007C5921">
              <w:t xml:space="preserve"> will not be recorded; </w:t>
            </w:r>
            <w:proofErr w:type="gramStart"/>
            <w:r w:rsidRPr="007C5921">
              <w:t>instead</w:t>
            </w:r>
            <w:proofErr w:type="gramEnd"/>
            <w:r w:rsidRPr="007C5921">
              <w:t xml:space="preserve"> a resale restriction agreement will be recorded upon initial sale.  </w:t>
            </w:r>
          </w:p>
        </w:tc>
      </w:tr>
      <w:tr w:rsidR="00431291" w14:paraId="1E8D005F" w14:textId="77777777" w:rsidTr="00431291">
        <w:trPr>
          <w:trHeight w:val="43"/>
        </w:trPr>
        <w:tc>
          <w:tcPr>
            <w:tcW w:w="3325" w:type="dxa"/>
            <w:shd w:val="clear" w:color="auto" w:fill="F5F8F8"/>
          </w:tcPr>
          <w:p w14:paraId="0EFF30C0" w14:textId="7019E4E2" w:rsidR="007873DB" w:rsidRPr="007C5921" w:rsidRDefault="00EA20CF" w:rsidP="007873DB">
            <w:pPr>
              <w:tabs>
                <w:tab w:val="num" w:pos="360"/>
              </w:tabs>
              <w:spacing w:after="0"/>
              <w:rPr>
                <w:b/>
              </w:rPr>
            </w:pPr>
            <w:r w:rsidRPr="007C5921">
              <w:t>Marketing plan</w:t>
            </w:r>
          </w:p>
        </w:tc>
        <w:tc>
          <w:tcPr>
            <w:tcW w:w="7470" w:type="dxa"/>
            <w:shd w:val="clear" w:color="auto" w:fill="F5F8F8"/>
          </w:tcPr>
          <w:p w14:paraId="6EFDED7E" w14:textId="2C6E9562" w:rsidR="007873DB" w:rsidRPr="007C5921" w:rsidRDefault="00EA20CF" w:rsidP="007873DB">
            <w:pPr>
              <w:pStyle w:val="Tabletext"/>
            </w:pPr>
            <w:r w:rsidRPr="007C5921">
              <w:t>Generally, a marketing plan will be required describing how the units will be marketed to tenants or buyers.  If not addressed elsewhere in the agreement, the marketing plan should also discuss how tenant and buyer qualifications will be verified. The city will generally approve the plan, and this section of the agreement should describe the approval process.</w:t>
            </w:r>
          </w:p>
        </w:tc>
      </w:tr>
      <w:tr w:rsidR="00431291" w14:paraId="29B8B75C" w14:textId="77777777" w:rsidTr="00431291">
        <w:trPr>
          <w:trHeight w:val="43"/>
        </w:trPr>
        <w:tc>
          <w:tcPr>
            <w:tcW w:w="3325" w:type="dxa"/>
          </w:tcPr>
          <w:p w14:paraId="441AAFE2" w14:textId="29659E01" w:rsidR="007873DB" w:rsidRPr="007C5921" w:rsidRDefault="00EA20CF" w:rsidP="007873DB">
            <w:pPr>
              <w:tabs>
                <w:tab w:val="num" w:pos="360"/>
              </w:tabs>
              <w:spacing w:after="0"/>
              <w:rPr>
                <w:b/>
              </w:rPr>
            </w:pPr>
            <w:r w:rsidRPr="007C5921">
              <w:t>In lieu fees or other contributions</w:t>
            </w:r>
          </w:p>
        </w:tc>
        <w:tc>
          <w:tcPr>
            <w:tcW w:w="7470" w:type="dxa"/>
          </w:tcPr>
          <w:p w14:paraId="4EDA59ED" w14:textId="3A6B5831" w:rsidR="007873DB" w:rsidRPr="007C5921" w:rsidRDefault="00EA20CF" w:rsidP="007873DB">
            <w:pPr>
              <w:pStyle w:val="Tabletext"/>
            </w:pPr>
            <w:r w:rsidRPr="007C5921">
              <w:t xml:space="preserve">If the project developer opts to fulfil the inclusionary housing requirements by paying an </w:t>
            </w:r>
            <w:proofErr w:type="gramStart"/>
            <w:r w:rsidRPr="007C5921">
              <w:t>in lieu</w:t>
            </w:r>
            <w:proofErr w:type="gramEnd"/>
            <w:r w:rsidRPr="007C5921">
              <w:t xml:space="preserve"> fee, donating land, or making a contribution to off-site construction of affordable units, the provisions should be described in the master agreement. </w:t>
            </w:r>
          </w:p>
        </w:tc>
      </w:tr>
      <w:tr w:rsidR="00431291" w14:paraId="70FAB640" w14:textId="77777777" w:rsidTr="00431291">
        <w:trPr>
          <w:trHeight w:val="43"/>
        </w:trPr>
        <w:tc>
          <w:tcPr>
            <w:tcW w:w="3325" w:type="dxa"/>
            <w:shd w:val="clear" w:color="auto" w:fill="F5F8F8"/>
          </w:tcPr>
          <w:p w14:paraId="2E5F0B3B" w14:textId="432322BF" w:rsidR="007873DB" w:rsidRPr="007C5921" w:rsidRDefault="00EA20CF" w:rsidP="007873DB">
            <w:pPr>
              <w:tabs>
                <w:tab w:val="num" w:pos="360"/>
              </w:tabs>
              <w:spacing w:after="0"/>
              <w:rPr>
                <w:b/>
              </w:rPr>
            </w:pPr>
            <w:bookmarkStart w:id="1" w:name="_Hlk121842098"/>
            <w:r w:rsidRPr="007C5921">
              <w:t>Replacement units and tenant relocation</w:t>
            </w:r>
          </w:p>
        </w:tc>
        <w:tc>
          <w:tcPr>
            <w:tcW w:w="7470" w:type="dxa"/>
            <w:shd w:val="clear" w:color="auto" w:fill="F5F8F8"/>
          </w:tcPr>
          <w:p w14:paraId="0F3EA2DD" w14:textId="60894375" w:rsidR="007873DB" w:rsidRPr="007C5921" w:rsidRDefault="00EA20CF" w:rsidP="007873DB">
            <w:pPr>
              <w:pStyle w:val="Tabletext"/>
            </w:pPr>
            <w:r w:rsidRPr="007C5921">
              <w:t xml:space="preserve">If the development project will be demolishing existing units, the agreement should address the unit replacement requirements and tenant relocation obligations, if any.  </w:t>
            </w:r>
            <w:r w:rsidR="00155E5D">
              <w:t>S</w:t>
            </w:r>
            <w:r w:rsidRPr="007C5921">
              <w:t xml:space="preserve">ee </w:t>
            </w:r>
            <w:r w:rsidR="00155E5D">
              <w:t xml:space="preserve">the </w:t>
            </w:r>
            <w:hyperlink r:id="rId9" w:history="1">
              <w:r w:rsidR="00155E5D" w:rsidRPr="00155E5D">
                <w:rPr>
                  <w:rStyle w:val="Hyperlink"/>
                </w:rPr>
                <w:t>Guide to California State Replacement Housing Requirements</w:t>
              </w:r>
            </w:hyperlink>
            <w:r w:rsidRPr="007C5921">
              <w:t xml:space="preserve"> for more in</w:t>
            </w:r>
            <w:r w:rsidR="00652620">
              <w:t xml:space="preserve"> </w:t>
            </w:r>
            <w:r w:rsidRPr="007C5921">
              <w:t>depth information on replacement housing and tenant relocation requirements.</w:t>
            </w:r>
          </w:p>
        </w:tc>
      </w:tr>
      <w:bookmarkEnd w:id="1"/>
      <w:tr w:rsidR="00431291" w14:paraId="64BD8A89" w14:textId="77777777" w:rsidTr="00431291">
        <w:trPr>
          <w:trHeight w:val="43"/>
        </w:trPr>
        <w:tc>
          <w:tcPr>
            <w:tcW w:w="3325" w:type="dxa"/>
          </w:tcPr>
          <w:p w14:paraId="5D2E9768" w14:textId="263C44B3" w:rsidR="007873DB" w:rsidRPr="007C5921" w:rsidRDefault="00EA20CF" w:rsidP="007873DB">
            <w:pPr>
              <w:tabs>
                <w:tab w:val="num" w:pos="360"/>
              </w:tabs>
              <w:spacing w:after="0"/>
              <w:rPr>
                <w:b/>
              </w:rPr>
            </w:pPr>
            <w:r w:rsidRPr="007C5921">
              <w:t>Amendments</w:t>
            </w:r>
          </w:p>
        </w:tc>
        <w:tc>
          <w:tcPr>
            <w:tcW w:w="7470" w:type="dxa"/>
          </w:tcPr>
          <w:p w14:paraId="5F7348D2" w14:textId="71245925" w:rsidR="007873DB" w:rsidRPr="007C5921" w:rsidRDefault="00EA20CF" w:rsidP="007873DB">
            <w:pPr>
              <w:pStyle w:val="Tabletext"/>
            </w:pPr>
            <w:r w:rsidRPr="007C5921">
              <w:t>Describes steps to amend the agreement, if needed.</w:t>
            </w:r>
          </w:p>
        </w:tc>
      </w:tr>
      <w:tr w:rsidR="00431291" w14:paraId="7730AD91" w14:textId="77777777" w:rsidTr="00431291">
        <w:trPr>
          <w:trHeight w:val="43"/>
        </w:trPr>
        <w:tc>
          <w:tcPr>
            <w:tcW w:w="3325" w:type="dxa"/>
            <w:shd w:val="clear" w:color="auto" w:fill="F5F8F8"/>
          </w:tcPr>
          <w:p w14:paraId="22541142" w14:textId="1A7CE3A5" w:rsidR="007873DB" w:rsidRPr="007C5921" w:rsidRDefault="00EA20CF" w:rsidP="007873DB">
            <w:pPr>
              <w:tabs>
                <w:tab w:val="num" w:pos="360"/>
              </w:tabs>
              <w:spacing w:after="0"/>
              <w:rPr>
                <w:b/>
              </w:rPr>
            </w:pPr>
            <w:r w:rsidRPr="007C5921">
              <w:t>Remedies in the event of default</w:t>
            </w:r>
          </w:p>
        </w:tc>
        <w:tc>
          <w:tcPr>
            <w:tcW w:w="7470" w:type="dxa"/>
            <w:shd w:val="clear" w:color="auto" w:fill="F5F8F8"/>
          </w:tcPr>
          <w:p w14:paraId="02CC6AFA" w14:textId="4435E684" w:rsidR="007873DB" w:rsidRPr="007C5921" w:rsidRDefault="00EA20CF" w:rsidP="007873DB">
            <w:pPr>
              <w:spacing w:after="0"/>
            </w:pPr>
            <w:r w:rsidRPr="007C5921">
              <w:t>Identifies the available remedies if a party defaults.</w:t>
            </w:r>
          </w:p>
        </w:tc>
      </w:tr>
      <w:tr w:rsidR="00431291" w14:paraId="6DE85171" w14:textId="77777777" w:rsidTr="00431291">
        <w:trPr>
          <w:trHeight w:val="43"/>
        </w:trPr>
        <w:tc>
          <w:tcPr>
            <w:tcW w:w="3325" w:type="dxa"/>
          </w:tcPr>
          <w:p w14:paraId="6A380F5D" w14:textId="04894B06" w:rsidR="007873DB" w:rsidRPr="007C5921" w:rsidRDefault="00EA20CF" w:rsidP="007873DB">
            <w:pPr>
              <w:tabs>
                <w:tab w:val="num" w:pos="360"/>
              </w:tabs>
              <w:spacing w:after="0"/>
            </w:pPr>
            <w:r w:rsidRPr="007C5921">
              <w:t>Termination of agreement</w:t>
            </w:r>
          </w:p>
        </w:tc>
        <w:tc>
          <w:tcPr>
            <w:tcW w:w="7470" w:type="dxa"/>
          </w:tcPr>
          <w:p w14:paraId="03B26564" w14:textId="220FD91B" w:rsidR="007873DB" w:rsidRPr="007C5921" w:rsidRDefault="00EA20CF" w:rsidP="007873DB">
            <w:pPr>
              <w:spacing w:after="0"/>
            </w:pPr>
            <w:r w:rsidRPr="007C5921">
              <w:t>Specifies the mechanism for terminating the master agreement once homebuyer restrictions are recorded, or rent regulatory agreement is recorded.</w:t>
            </w:r>
          </w:p>
        </w:tc>
      </w:tr>
    </w:tbl>
    <w:p w14:paraId="204DBDB2" w14:textId="32DAA777" w:rsidR="007C5921" w:rsidRDefault="00EA20CF" w:rsidP="007C5921">
      <w:pPr>
        <w:pStyle w:val="Heading2"/>
      </w:pPr>
      <w:r>
        <w:t>Affordable Housing Regulatory Agreement for Rental Projects Checklist</w:t>
      </w:r>
    </w:p>
    <w:p w14:paraId="61731966" w14:textId="0351C4EB" w:rsidR="007C5921" w:rsidRDefault="00EA20CF" w:rsidP="007C5921">
      <w:r>
        <w:t xml:space="preserve">When a development project is meeting its inclusionary ordinance obligations by providing affordable rental housing units, the city or county is required to record a use restriction on title to the property to enforce the agreement.  This is </w:t>
      </w:r>
      <w:r>
        <w:lastRenderedPageBreak/>
        <w:t>generally done in the form of a regulatory agreement, which lays out the developer's obligations and requirements associated with the affordable housing units.  Below is a table with suggested provisions to include in a rental regulatory agreement, as well as the reasoning behind the suggestion.  Since inclusionary housing programs vary by city or county, what is included in the agreement should be tailored to the specific inclusionary housing program.</w:t>
      </w:r>
    </w:p>
    <w:p w14:paraId="72FC1122" w14:textId="4E07573C" w:rsidR="00AA7CC3" w:rsidRDefault="00EA20CF" w:rsidP="00AA7CC3">
      <w:pPr>
        <w:pStyle w:val="Heading3"/>
      </w:pPr>
      <w:r w:rsidRPr="00B40F2A">
        <w:t xml:space="preserve">Table 4. </w:t>
      </w:r>
      <w:r w:rsidR="00B40F2A">
        <w:t>Affordable Housing Regulatory Agreement for Rental Projects Checklist</w:t>
      </w:r>
    </w:p>
    <w:tbl>
      <w:tblPr>
        <w:tblStyle w:val="TableGrid"/>
        <w:tblW w:w="10795" w:type="dxa"/>
        <w:tblLook w:val="04A0" w:firstRow="1" w:lastRow="0" w:firstColumn="1" w:lastColumn="0" w:noHBand="0" w:noVBand="1"/>
      </w:tblPr>
      <w:tblGrid>
        <w:gridCol w:w="3325"/>
        <w:gridCol w:w="7470"/>
      </w:tblGrid>
      <w:tr w:rsidR="00431291" w14:paraId="48CC663F" w14:textId="77777777" w:rsidTr="00431291">
        <w:trPr>
          <w:cnfStyle w:val="100000000000" w:firstRow="1" w:lastRow="0" w:firstColumn="0" w:lastColumn="0" w:oddVBand="0" w:evenVBand="0" w:oddHBand="0" w:evenHBand="0" w:firstRowFirstColumn="0" w:firstRowLastColumn="0" w:lastRowFirstColumn="0" w:lastRowLastColumn="0"/>
          <w:trHeight w:val="300"/>
        </w:trPr>
        <w:tc>
          <w:tcPr>
            <w:tcW w:w="3325" w:type="dxa"/>
          </w:tcPr>
          <w:p w14:paraId="631210E2" w14:textId="504F7848" w:rsidR="007873DB" w:rsidRPr="00FC0A2C" w:rsidRDefault="00EA20CF" w:rsidP="00AA7CC3">
            <w:pPr>
              <w:pStyle w:val="Tableheading"/>
            </w:pPr>
            <w:r w:rsidRPr="007C5921">
              <w:rPr>
                <w:sz w:val="22"/>
              </w:rPr>
              <w:t>Item to Include in Agreement</w:t>
            </w:r>
          </w:p>
        </w:tc>
        <w:tc>
          <w:tcPr>
            <w:tcW w:w="7470" w:type="dxa"/>
          </w:tcPr>
          <w:p w14:paraId="0CF9089F" w14:textId="13C646A3" w:rsidR="007873DB" w:rsidRPr="00FC0A2C" w:rsidRDefault="00EA20CF" w:rsidP="007873DB">
            <w:pPr>
              <w:pStyle w:val="Tableheading"/>
            </w:pPr>
            <w:r w:rsidRPr="007C5921">
              <w:rPr>
                <w:sz w:val="22"/>
              </w:rPr>
              <w:t>Purpose</w:t>
            </w:r>
          </w:p>
        </w:tc>
      </w:tr>
      <w:tr w:rsidR="00431291" w14:paraId="3A7D6ABA" w14:textId="77777777" w:rsidTr="00431291">
        <w:trPr>
          <w:cnfStyle w:val="000000100000" w:firstRow="0" w:lastRow="0" w:firstColumn="0" w:lastColumn="0" w:oddVBand="0" w:evenVBand="0" w:oddHBand="1" w:evenHBand="0" w:firstRowFirstColumn="0" w:firstRowLastColumn="0" w:lastRowFirstColumn="0" w:lastRowLastColumn="0"/>
          <w:trHeight w:val="43"/>
        </w:trPr>
        <w:tc>
          <w:tcPr>
            <w:tcW w:w="3325" w:type="dxa"/>
          </w:tcPr>
          <w:p w14:paraId="5C413365" w14:textId="1275D06D" w:rsidR="007873DB" w:rsidRPr="007C5921" w:rsidRDefault="00EA20CF" w:rsidP="007873DB">
            <w:pPr>
              <w:tabs>
                <w:tab w:val="num" w:pos="360"/>
              </w:tabs>
              <w:spacing w:after="0"/>
              <w:rPr>
                <w:b/>
              </w:rPr>
            </w:pPr>
            <w:r w:rsidRPr="007C5921">
              <w:t>Recitals regarding approval basis for affordability requirement</w:t>
            </w:r>
          </w:p>
        </w:tc>
        <w:tc>
          <w:tcPr>
            <w:tcW w:w="7470" w:type="dxa"/>
          </w:tcPr>
          <w:p w14:paraId="4C5D8328" w14:textId="4CC9AE81" w:rsidR="007873DB" w:rsidRPr="007C5921" w:rsidRDefault="00EA20CF" w:rsidP="007873DB">
            <w:pPr>
              <w:pStyle w:val="Tabletext"/>
              <w:contextualSpacing/>
              <w:rPr>
                <w:rFonts w:cstheme="minorHAnsi"/>
              </w:rPr>
            </w:pPr>
            <w:r w:rsidRPr="007C5921">
              <w:t>So future readers of the agreement understand the city's authority for the requirements; if the agreement is intended to cover inclusionary units as well as density bonus, streamlined ministerial review process (SB35), or other affordability restrictions, these should all be identified in the recitals of the agreement.</w:t>
            </w:r>
          </w:p>
        </w:tc>
      </w:tr>
      <w:tr w:rsidR="00431291" w14:paraId="6C7433F5" w14:textId="77777777" w:rsidTr="00431291">
        <w:trPr>
          <w:trHeight w:val="43"/>
        </w:trPr>
        <w:tc>
          <w:tcPr>
            <w:tcW w:w="3325" w:type="dxa"/>
          </w:tcPr>
          <w:p w14:paraId="78742933" w14:textId="3CF81086" w:rsidR="007873DB" w:rsidRPr="007C5921" w:rsidRDefault="00EA20CF" w:rsidP="007873DB">
            <w:pPr>
              <w:tabs>
                <w:tab w:val="num" w:pos="360"/>
              </w:tabs>
              <w:spacing w:after="0"/>
              <w:rPr>
                <w:b/>
              </w:rPr>
            </w:pPr>
            <w:r w:rsidRPr="007C5921">
              <w:t>Legal description (usually in the form of an attachment)</w:t>
            </w:r>
          </w:p>
        </w:tc>
        <w:tc>
          <w:tcPr>
            <w:tcW w:w="7470" w:type="dxa"/>
          </w:tcPr>
          <w:p w14:paraId="1B5D7C3F" w14:textId="139EAB0A" w:rsidR="007873DB" w:rsidRPr="007C5921" w:rsidRDefault="00EA20CF" w:rsidP="007873DB">
            <w:pPr>
              <w:pStyle w:val="Tabletext"/>
              <w:contextualSpacing/>
              <w:rPr>
                <w:rFonts w:cstheme="minorHAnsi"/>
              </w:rPr>
            </w:pPr>
            <w:r w:rsidRPr="007C5921">
              <w:t>Identifies the property being restricted and is required if the regulatory agreement is being recorded against the property; restriction should apply to entire property.</w:t>
            </w:r>
          </w:p>
        </w:tc>
      </w:tr>
      <w:tr w:rsidR="00431291" w14:paraId="11369EE5" w14:textId="77777777" w:rsidTr="00431291">
        <w:trPr>
          <w:cnfStyle w:val="000000100000" w:firstRow="0" w:lastRow="0" w:firstColumn="0" w:lastColumn="0" w:oddVBand="0" w:evenVBand="0" w:oddHBand="1" w:evenHBand="0" w:firstRowFirstColumn="0" w:firstRowLastColumn="0" w:lastRowFirstColumn="0" w:lastRowLastColumn="0"/>
          <w:trHeight w:val="43"/>
        </w:trPr>
        <w:tc>
          <w:tcPr>
            <w:tcW w:w="3325" w:type="dxa"/>
          </w:tcPr>
          <w:p w14:paraId="40FA2B40" w14:textId="2ED7C8BB" w:rsidR="007873DB" w:rsidRPr="007C5921" w:rsidRDefault="00EA20CF" w:rsidP="007873DB">
            <w:pPr>
              <w:tabs>
                <w:tab w:val="num" w:pos="360"/>
              </w:tabs>
              <w:spacing w:after="0"/>
              <w:rPr>
                <w:b/>
              </w:rPr>
            </w:pPr>
            <w:r w:rsidRPr="007C5921">
              <w:t>Level of affordability (</w:t>
            </w:r>
            <w:proofErr w:type="gramStart"/>
            <w:r w:rsidRPr="007C5921">
              <w:t>e.g.</w:t>
            </w:r>
            <w:proofErr w:type="gramEnd"/>
            <w:r w:rsidRPr="007C5921">
              <w:t xml:space="preserve"> very low income; low income; etc.)</w:t>
            </w:r>
          </w:p>
        </w:tc>
        <w:tc>
          <w:tcPr>
            <w:tcW w:w="7470" w:type="dxa"/>
          </w:tcPr>
          <w:p w14:paraId="585A09CB" w14:textId="273C677B" w:rsidR="007873DB" w:rsidRPr="007C5921" w:rsidRDefault="00EA20CF" w:rsidP="007873DB">
            <w:pPr>
              <w:spacing w:after="0"/>
            </w:pPr>
            <w:r w:rsidRPr="007C5921">
              <w:t>Identifies the income levels needed for a tenant to qualify to reside in the restricted units.</w:t>
            </w:r>
          </w:p>
        </w:tc>
      </w:tr>
      <w:tr w:rsidR="00431291" w14:paraId="2F71FBCC" w14:textId="77777777" w:rsidTr="00431291">
        <w:trPr>
          <w:trHeight w:val="43"/>
        </w:trPr>
        <w:tc>
          <w:tcPr>
            <w:tcW w:w="3325" w:type="dxa"/>
          </w:tcPr>
          <w:p w14:paraId="22CDDCAE" w14:textId="535AA057" w:rsidR="007873DB" w:rsidRPr="007C5921" w:rsidRDefault="00EA20CF" w:rsidP="007873DB">
            <w:pPr>
              <w:tabs>
                <w:tab w:val="num" w:pos="360"/>
              </w:tabs>
              <w:spacing w:after="0"/>
            </w:pPr>
            <w:r w:rsidRPr="007C5921">
              <w:t>Location of affordable units</w:t>
            </w:r>
          </w:p>
        </w:tc>
        <w:tc>
          <w:tcPr>
            <w:tcW w:w="7470" w:type="dxa"/>
          </w:tcPr>
          <w:p w14:paraId="4E97C51E" w14:textId="56C60E75" w:rsidR="007873DB" w:rsidRPr="007C5921" w:rsidRDefault="00EA20CF" w:rsidP="007873DB">
            <w:pPr>
              <w:spacing w:after="0"/>
            </w:pPr>
            <w:r w:rsidRPr="007C5921">
              <w:t>Particularly important in a mixed-income project; provides the parties with information on which units are restricted and which are market rate; if affordable units are allowed to "float" throughout the project as tenants become over income, the process to approve new affordable units should be included.</w:t>
            </w:r>
          </w:p>
        </w:tc>
      </w:tr>
      <w:tr w:rsidR="00431291" w14:paraId="5FA0F528" w14:textId="77777777" w:rsidTr="00431291">
        <w:trPr>
          <w:cnfStyle w:val="000000100000" w:firstRow="0" w:lastRow="0" w:firstColumn="0" w:lastColumn="0" w:oddVBand="0" w:evenVBand="0" w:oddHBand="1" w:evenHBand="0" w:firstRowFirstColumn="0" w:firstRowLastColumn="0" w:lastRowFirstColumn="0" w:lastRowLastColumn="0"/>
          <w:trHeight w:val="43"/>
        </w:trPr>
        <w:tc>
          <w:tcPr>
            <w:tcW w:w="3325" w:type="dxa"/>
          </w:tcPr>
          <w:p w14:paraId="42D58A2A" w14:textId="07258B14" w:rsidR="007873DB" w:rsidRPr="007C5921" w:rsidRDefault="00EA20CF" w:rsidP="007873DB">
            <w:pPr>
              <w:tabs>
                <w:tab w:val="num" w:pos="360"/>
              </w:tabs>
              <w:spacing w:after="0"/>
            </w:pPr>
            <w:r w:rsidRPr="007C5921">
              <w:t>Number of bedrooms and square footage of the affordable units</w:t>
            </w:r>
          </w:p>
        </w:tc>
        <w:tc>
          <w:tcPr>
            <w:tcW w:w="7470" w:type="dxa"/>
          </w:tcPr>
          <w:p w14:paraId="15224AEC" w14:textId="4655394F" w:rsidR="007873DB" w:rsidRPr="007C5921" w:rsidRDefault="00EA20CF" w:rsidP="007873DB">
            <w:pPr>
              <w:spacing w:after="0"/>
            </w:pPr>
            <w:r w:rsidRPr="007C5921">
              <w:t>Identifies the size of the affordable units; note if there is a requirement for comparable size to market rate and if that is achieved (and if not, why not).</w:t>
            </w:r>
          </w:p>
        </w:tc>
      </w:tr>
      <w:tr w:rsidR="00431291" w14:paraId="459650ED" w14:textId="77777777" w:rsidTr="00431291">
        <w:trPr>
          <w:trHeight w:val="43"/>
        </w:trPr>
        <w:tc>
          <w:tcPr>
            <w:tcW w:w="3325" w:type="dxa"/>
          </w:tcPr>
          <w:p w14:paraId="3CE9ECED" w14:textId="4E846AA2" w:rsidR="007873DB" w:rsidRPr="007C5921" w:rsidRDefault="00EA20CF" w:rsidP="007873DB">
            <w:pPr>
              <w:tabs>
                <w:tab w:val="num" w:pos="360"/>
              </w:tabs>
              <w:spacing w:after="0"/>
            </w:pPr>
            <w:r w:rsidRPr="007C5921">
              <w:t>Term</w:t>
            </w:r>
          </w:p>
        </w:tc>
        <w:tc>
          <w:tcPr>
            <w:tcW w:w="7470" w:type="dxa"/>
          </w:tcPr>
          <w:p w14:paraId="7533216D" w14:textId="48FBA803" w:rsidR="007873DB" w:rsidRPr="007C5921" w:rsidRDefault="00EA20CF" w:rsidP="007873DB">
            <w:pPr>
              <w:spacing w:after="0"/>
            </w:pPr>
            <w:r w:rsidRPr="007C5921">
              <w:t>Identifies the duration of the affordability restriction.  If affordable units are counted for multiple programs (</w:t>
            </w:r>
            <w:proofErr w:type="gramStart"/>
            <w:r w:rsidRPr="007C5921">
              <w:t>e.g.</w:t>
            </w:r>
            <w:proofErr w:type="gramEnd"/>
            <w:r w:rsidRPr="007C5921">
              <w:t xml:space="preserve"> inclusionary; density bonus; streamlined ministerial approval), note whether there are differences in the term of affordability and reconcile (e.g. require the longest duration of all affordable units).</w:t>
            </w:r>
          </w:p>
        </w:tc>
      </w:tr>
      <w:tr w:rsidR="00431291" w14:paraId="07DD0052" w14:textId="77777777" w:rsidTr="00431291">
        <w:trPr>
          <w:cnfStyle w:val="000000100000" w:firstRow="0" w:lastRow="0" w:firstColumn="0" w:lastColumn="0" w:oddVBand="0" w:evenVBand="0" w:oddHBand="1" w:evenHBand="0" w:firstRowFirstColumn="0" w:firstRowLastColumn="0" w:lastRowFirstColumn="0" w:lastRowLastColumn="0"/>
          <w:trHeight w:val="43"/>
        </w:trPr>
        <w:tc>
          <w:tcPr>
            <w:tcW w:w="3325" w:type="dxa"/>
          </w:tcPr>
          <w:p w14:paraId="32AB7787" w14:textId="796948CA" w:rsidR="007873DB" w:rsidRPr="007C5921" w:rsidRDefault="00EA20CF" w:rsidP="007873DB">
            <w:pPr>
              <w:tabs>
                <w:tab w:val="num" w:pos="360"/>
              </w:tabs>
              <w:spacing w:after="0"/>
            </w:pPr>
            <w:r w:rsidRPr="007C5921">
              <w:t>Calculation of affordable rents</w:t>
            </w:r>
          </w:p>
        </w:tc>
        <w:tc>
          <w:tcPr>
            <w:tcW w:w="7470" w:type="dxa"/>
          </w:tcPr>
          <w:p w14:paraId="7715514D" w14:textId="571A5515" w:rsidR="007873DB" w:rsidRPr="007C5921" w:rsidRDefault="00EA20CF" w:rsidP="007873DB">
            <w:pPr>
              <w:spacing w:after="0"/>
            </w:pPr>
            <w:r w:rsidRPr="007C5921">
              <w:t xml:space="preserve">Provides the formula or methodology to be used to determine </w:t>
            </w:r>
            <w:proofErr w:type="gramStart"/>
            <w:r w:rsidRPr="007C5921">
              <w:t>the affordable</w:t>
            </w:r>
            <w:proofErr w:type="gramEnd"/>
            <w:r w:rsidRPr="007C5921">
              <w:t xml:space="preserve"> rent.  If affordable units are counted for multiple programs (</w:t>
            </w:r>
            <w:proofErr w:type="gramStart"/>
            <w:r w:rsidRPr="007C5921">
              <w:t>e.g.</w:t>
            </w:r>
            <w:proofErr w:type="gramEnd"/>
            <w:r w:rsidRPr="007C5921">
              <w:t xml:space="preserve"> inclusionary; density bonus; streamlined ministerial) note whether there are any differences in methodology for setting rent.</w:t>
            </w:r>
          </w:p>
        </w:tc>
      </w:tr>
      <w:tr w:rsidR="00431291" w14:paraId="5F676F90" w14:textId="77777777" w:rsidTr="00431291">
        <w:trPr>
          <w:trHeight w:val="43"/>
        </w:trPr>
        <w:tc>
          <w:tcPr>
            <w:tcW w:w="3325" w:type="dxa"/>
          </w:tcPr>
          <w:p w14:paraId="7554DA1B" w14:textId="283EEF75" w:rsidR="007873DB" w:rsidRPr="007C5921" w:rsidRDefault="00EA20CF" w:rsidP="007873DB">
            <w:pPr>
              <w:tabs>
                <w:tab w:val="num" w:pos="360"/>
              </w:tabs>
              <w:spacing w:after="0"/>
            </w:pPr>
            <w:r w:rsidRPr="007C5921">
              <w:t>Mechanism for annual increases</w:t>
            </w:r>
          </w:p>
        </w:tc>
        <w:tc>
          <w:tcPr>
            <w:tcW w:w="7470" w:type="dxa"/>
          </w:tcPr>
          <w:p w14:paraId="534028BB" w14:textId="11751367" w:rsidR="007873DB" w:rsidRPr="007C5921" w:rsidRDefault="00EA20CF" w:rsidP="007873DB">
            <w:pPr>
              <w:spacing w:after="0"/>
            </w:pPr>
            <w:r w:rsidRPr="007C5921">
              <w:t>Describes how much rent can be increased annually and whether city approval is required prior to implementing the increases.</w:t>
            </w:r>
          </w:p>
        </w:tc>
      </w:tr>
      <w:tr w:rsidR="00431291" w14:paraId="2377878F" w14:textId="77777777" w:rsidTr="00431291">
        <w:trPr>
          <w:cnfStyle w:val="000000100000" w:firstRow="0" w:lastRow="0" w:firstColumn="0" w:lastColumn="0" w:oddVBand="0" w:evenVBand="0" w:oddHBand="1" w:evenHBand="0" w:firstRowFirstColumn="0" w:firstRowLastColumn="0" w:lastRowFirstColumn="0" w:lastRowLastColumn="0"/>
          <w:trHeight w:val="43"/>
        </w:trPr>
        <w:tc>
          <w:tcPr>
            <w:tcW w:w="3325" w:type="dxa"/>
          </w:tcPr>
          <w:p w14:paraId="1E2FDB27" w14:textId="53761D39" w:rsidR="007873DB" w:rsidRPr="007C5921" w:rsidRDefault="00EA20CF" w:rsidP="007873DB">
            <w:pPr>
              <w:tabs>
                <w:tab w:val="num" w:pos="360"/>
              </w:tabs>
              <w:spacing w:after="0"/>
            </w:pPr>
            <w:r w:rsidRPr="007C5921">
              <w:t>Determination of tenant eligibility</w:t>
            </w:r>
          </w:p>
        </w:tc>
        <w:tc>
          <w:tcPr>
            <w:tcW w:w="7470" w:type="dxa"/>
          </w:tcPr>
          <w:p w14:paraId="2CF739F7" w14:textId="754C067F" w:rsidR="007873DB" w:rsidRPr="007C5921" w:rsidRDefault="00EA20CF" w:rsidP="007873DB">
            <w:pPr>
              <w:spacing w:after="0"/>
            </w:pPr>
            <w:r w:rsidRPr="007C5921">
              <w:t>In addition to qualifying incomes specified earlier, should also identify any other requirements (</w:t>
            </w:r>
            <w:proofErr w:type="gramStart"/>
            <w:r w:rsidRPr="007C5921">
              <w:t>e.g.</w:t>
            </w:r>
            <w:proofErr w:type="gramEnd"/>
            <w:r w:rsidRPr="007C5921">
              <w:t xml:space="preserve"> if there are an live/work or other preferences; household size based on number of bedrooms).</w:t>
            </w:r>
          </w:p>
        </w:tc>
      </w:tr>
      <w:tr w:rsidR="00431291" w14:paraId="33891AA5" w14:textId="77777777" w:rsidTr="00431291">
        <w:trPr>
          <w:trHeight w:val="43"/>
        </w:trPr>
        <w:tc>
          <w:tcPr>
            <w:tcW w:w="3325" w:type="dxa"/>
          </w:tcPr>
          <w:p w14:paraId="3B982FB9" w14:textId="00A21A78" w:rsidR="007873DB" w:rsidRPr="007C5921" w:rsidRDefault="00EA20CF" w:rsidP="007873DB">
            <w:pPr>
              <w:tabs>
                <w:tab w:val="num" w:pos="360"/>
              </w:tabs>
              <w:spacing w:after="0"/>
            </w:pPr>
            <w:r w:rsidRPr="007C5921">
              <w:t>Annual certification of incomes</w:t>
            </w:r>
          </w:p>
        </w:tc>
        <w:tc>
          <w:tcPr>
            <w:tcW w:w="7470" w:type="dxa"/>
          </w:tcPr>
          <w:p w14:paraId="586B9D94" w14:textId="65DE2976" w:rsidR="007873DB" w:rsidRPr="007C5921" w:rsidRDefault="00EA20CF" w:rsidP="007873DB">
            <w:pPr>
              <w:spacing w:after="0"/>
            </w:pPr>
            <w:r w:rsidRPr="007C5921">
              <w:t>To ensure continued tenant eligibility.</w:t>
            </w:r>
          </w:p>
        </w:tc>
      </w:tr>
      <w:tr w:rsidR="00431291" w14:paraId="1A86A1CD" w14:textId="77777777" w:rsidTr="00431291">
        <w:trPr>
          <w:cnfStyle w:val="000000100000" w:firstRow="0" w:lastRow="0" w:firstColumn="0" w:lastColumn="0" w:oddVBand="0" w:evenVBand="0" w:oddHBand="1" w:evenHBand="0" w:firstRowFirstColumn="0" w:firstRowLastColumn="0" w:lastRowFirstColumn="0" w:lastRowLastColumn="0"/>
          <w:trHeight w:val="43"/>
        </w:trPr>
        <w:tc>
          <w:tcPr>
            <w:tcW w:w="3325" w:type="dxa"/>
          </w:tcPr>
          <w:p w14:paraId="2DD00AA7" w14:textId="16E972BB" w:rsidR="007873DB" w:rsidRPr="007C5921" w:rsidRDefault="00EA20CF" w:rsidP="007873DB">
            <w:pPr>
              <w:tabs>
                <w:tab w:val="num" w:pos="360"/>
              </w:tabs>
              <w:spacing w:after="0"/>
            </w:pPr>
            <w:r w:rsidRPr="007C5921">
              <w:t>Policies for over-income tenants</w:t>
            </w:r>
          </w:p>
        </w:tc>
        <w:tc>
          <w:tcPr>
            <w:tcW w:w="7470" w:type="dxa"/>
          </w:tcPr>
          <w:p w14:paraId="213572ED" w14:textId="14E32D3A" w:rsidR="007873DB" w:rsidRPr="007C5921" w:rsidRDefault="00EA20CF" w:rsidP="007873DB">
            <w:pPr>
              <w:spacing w:after="0"/>
            </w:pPr>
            <w:r w:rsidRPr="007C5921">
              <w:t>Addresses how the city would like to handle situations where a tenant's income increases after tenancy has begun; if project is receiving state or federal funds, there may be certain requirements on how over-income tenants should accommodated.</w:t>
            </w:r>
          </w:p>
        </w:tc>
      </w:tr>
      <w:tr w:rsidR="00431291" w14:paraId="48C446D0" w14:textId="77777777" w:rsidTr="00431291">
        <w:trPr>
          <w:trHeight w:val="43"/>
        </w:trPr>
        <w:tc>
          <w:tcPr>
            <w:tcW w:w="3325" w:type="dxa"/>
          </w:tcPr>
          <w:p w14:paraId="23172C15" w14:textId="6A4AD3DF" w:rsidR="007873DB" w:rsidRPr="007C5921" w:rsidRDefault="00EA20CF" w:rsidP="007873DB">
            <w:pPr>
              <w:tabs>
                <w:tab w:val="num" w:pos="360"/>
              </w:tabs>
              <w:spacing w:after="0"/>
            </w:pPr>
            <w:r w:rsidRPr="007C5921">
              <w:lastRenderedPageBreak/>
              <w:t>Required lease terms</w:t>
            </w:r>
          </w:p>
        </w:tc>
        <w:tc>
          <w:tcPr>
            <w:tcW w:w="7470" w:type="dxa"/>
          </w:tcPr>
          <w:p w14:paraId="4B02E2D1" w14:textId="53AF0EFE" w:rsidR="007873DB" w:rsidRPr="007C5921" w:rsidRDefault="00EA20CF" w:rsidP="007873DB">
            <w:pPr>
              <w:spacing w:after="0"/>
            </w:pPr>
            <w:r w:rsidRPr="007C5921">
              <w:t>If city has any requirements for tenant leases (</w:t>
            </w:r>
            <w:proofErr w:type="gramStart"/>
            <w:r w:rsidRPr="007C5921">
              <w:t>e.g.</w:t>
            </w:r>
            <w:proofErr w:type="gramEnd"/>
            <w:r w:rsidRPr="007C5921">
              <w:t xml:space="preserve"> non-discrimination), these should be identified in the regulatory agreement.</w:t>
            </w:r>
          </w:p>
        </w:tc>
      </w:tr>
      <w:tr w:rsidR="00431291" w14:paraId="773C1B44" w14:textId="77777777" w:rsidTr="00431291">
        <w:trPr>
          <w:cnfStyle w:val="000000100000" w:firstRow="0" w:lastRow="0" w:firstColumn="0" w:lastColumn="0" w:oddVBand="0" w:evenVBand="0" w:oddHBand="1" w:evenHBand="0" w:firstRowFirstColumn="0" w:firstRowLastColumn="0" w:lastRowFirstColumn="0" w:lastRowLastColumn="0"/>
          <w:trHeight w:val="43"/>
        </w:trPr>
        <w:tc>
          <w:tcPr>
            <w:tcW w:w="3325" w:type="dxa"/>
          </w:tcPr>
          <w:p w14:paraId="2CDD8011" w14:textId="7DDEFF36" w:rsidR="007873DB" w:rsidRPr="007C5921" w:rsidRDefault="00EA20CF" w:rsidP="007873DB">
            <w:pPr>
              <w:tabs>
                <w:tab w:val="num" w:pos="360"/>
              </w:tabs>
              <w:spacing w:after="0"/>
            </w:pPr>
            <w:r w:rsidRPr="007C5921">
              <w:t>Procedures for marketing affordable units</w:t>
            </w:r>
          </w:p>
        </w:tc>
        <w:tc>
          <w:tcPr>
            <w:tcW w:w="7470" w:type="dxa"/>
          </w:tcPr>
          <w:p w14:paraId="4886D23C" w14:textId="6EF1ABC2" w:rsidR="007873DB" w:rsidRPr="007C5921" w:rsidRDefault="00EA20CF" w:rsidP="007873DB">
            <w:pPr>
              <w:spacing w:after="0"/>
            </w:pPr>
            <w:r w:rsidRPr="007C5921">
              <w:t xml:space="preserve">Generally, a marketing plan is required and approved by the city; specific requirements to include in the marketing plan may be included. </w:t>
            </w:r>
          </w:p>
        </w:tc>
      </w:tr>
      <w:tr w:rsidR="00431291" w14:paraId="69A67A6B" w14:textId="77777777" w:rsidTr="00431291">
        <w:trPr>
          <w:trHeight w:val="43"/>
        </w:trPr>
        <w:tc>
          <w:tcPr>
            <w:tcW w:w="3325" w:type="dxa"/>
          </w:tcPr>
          <w:p w14:paraId="57EEE6E1" w14:textId="4857161B" w:rsidR="007873DB" w:rsidRPr="007C5921" w:rsidRDefault="00EA20CF" w:rsidP="007873DB">
            <w:pPr>
              <w:tabs>
                <w:tab w:val="num" w:pos="360"/>
              </w:tabs>
              <w:spacing w:after="0"/>
            </w:pPr>
            <w:r w:rsidRPr="007C5921">
              <w:t>Property management and maintenance</w:t>
            </w:r>
          </w:p>
        </w:tc>
        <w:tc>
          <w:tcPr>
            <w:tcW w:w="7470" w:type="dxa"/>
          </w:tcPr>
          <w:p w14:paraId="031C243A" w14:textId="4FF7E18D" w:rsidR="007873DB" w:rsidRPr="007C5921" w:rsidRDefault="00EA20CF" w:rsidP="007873DB">
            <w:pPr>
              <w:spacing w:after="0"/>
            </w:pPr>
            <w:r w:rsidRPr="007C5921">
              <w:t>Provides the city's expectation on management and maintenance of the property; for example, that landscaping needs to be kept up, graffiti removed, affordable units updated to the same standards as market rate and at the same rate, property management company identified and approved by the city, etc.</w:t>
            </w:r>
          </w:p>
        </w:tc>
      </w:tr>
      <w:tr w:rsidR="00431291" w14:paraId="35E543B4" w14:textId="77777777" w:rsidTr="00431291">
        <w:trPr>
          <w:cnfStyle w:val="000000100000" w:firstRow="0" w:lastRow="0" w:firstColumn="0" w:lastColumn="0" w:oddVBand="0" w:evenVBand="0" w:oddHBand="1" w:evenHBand="0" w:firstRowFirstColumn="0" w:firstRowLastColumn="0" w:lastRowFirstColumn="0" w:lastRowLastColumn="0"/>
          <w:trHeight w:val="43"/>
        </w:trPr>
        <w:tc>
          <w:tcPr>
            <w:tcW w:w="3325" w:type="dxa"/>
          </w:tcPr>
          <w:p w14:paraId="32B3414D" w14:textId="7394AC98" w:rsidR="007873DB" w:rsidRPr="007C5921" w:rsidRDefault="00EA20CF" w:rsidP="007873DB">
            <w:pPr>
              <w:tabs>
                <w:tab w:val="num" w:pos="360"/>
              </w:tabs>
              <w:spacing w:after="0"/>
            </w:pPr>
            <w:r w:rsidRPr="007C5921">
              <w:t>Record keeping</w:t>
            </w:r>
          </w:p>
        </w:tc>
        <w:tc>
          <w:tcPr>
            <w:tcW w:w="7470" w:type="dxa"/>
          </w:tcPr>
          <w:p w14:paraId="21DCFD11" w14:textId="29AE4346" w:rsidR="007873DB" w:rsidRPr="007C5921" w:rsidRDefault="00EA20CF" w:rsidP="007873DB">
            <w:pPr>
              <w:spacing w:after="0"/>
            </w:pPr>
            <w:r w:rsidRPr="007C5921">
              <w:t>Provides expectations for record keeping, document retention, city access to records, and submission of annual compliance reports.</w:t>
            </w:r>
          </w:p>
        </w:tc>
      </w:tr>
      <w:tr w:rsidR="00431291" w14:paraId="2270018C" w14:textId="77777777" w:rsidTr="00431291">
        <w:trPr>
          <w:trHeight w:val="43"/>
        </w:trPr>
        <w:tc>
          <w:tcPr>
            <w:tcW w:w="3325" w:type="dxa"/>
          </w:tcPr>
          <w:p w14:paraId="54F2B632" w14:textId="3DF82077" w:rsidR="007873DB" w:rsidRPr="007C5921" w:rsidRDefault="00EA20CF" w:rsidP="007873DB">
            <w:pPr>
              <w:tabs>
                <w:tab w:val="num" w:pos="360"/>
              </w:tabs>
              <w:spacing w:after="0"/>
            </w:pPr>
            <w:r w:rsidRPr="007C5921">
              <w:t>Tenant notification when term of affordability expires</w:t>
            </w:r>
          </w:p>
        </w:tc>
        <w:tc>
          <w:tcPr>
            <w:tcW w:w="7470" w:type="dxa"/>
          </w:tcPr>
          <w:p w14:paraId="7E446F55" w14:textId="73024F71" w:rsidR="007873DB" w:rsidRPr="007C5921" w:rsidRDefault="00EA20CF" w:rsidP="007873DB">
            <w:pPr>
              <w:spacing w:after="0"/>
            </w:pPr>
            <w:r w:rsidRPr="007C5921">
              <w:t>Notice should be provided to tenants before increasing their rents after termination of affordability restrictions.</w:t>
            </w:r>
          </w:p>
        </w:tc>
      </w:tr>
      <w:tr w:rsidR="00431291" w14:paraId="4617FF7B" w14:textId="77777777" w:rsidTr="00431291">
        <w:trPr>
          <w:cnfStyle w:val="000000100000" w:firstRow="0" w:lastRow="0" w:firstColumn="0" w:lastColumn="0" w:oddVBand="0" w:evenVBand="0" w:oddHBand="1" w:evenHBand="0" w:firstRowFirstColumn="0" w:firstRowLastColumn="0" w:lastRowFirstColumn="0" w:lastRowLastColumn="0"/>
          <w:trHeight w:val="43"/>
        </w:trPr>
        <w:tc>
          <w:tcPr>
            <w:tcW w:w="3325" w:type="dxa"/>
          </w:tcPr>
          <w:p w14:paraId="775547D5" w14:textId="21B0D904" w:rsidR="007873DB" w:rsidRPr="007C5921" w:rsidRDefault="00EA20CF" w:rsidP="007873DB">
            <w:pPr>
              <w:tabs>
                <w:tab w:val="num" w:pos="360"/>
              </w:tabs>
              <w:spacing w:after="0"/>
            </w:pPr>
            <w:r w:rsidRPr="007C5921">
              <w:t>Amendments</w:t>
            </w:r>
          </w:p>
        </w:tc>
        <w:tc>
          <w:tcPr>
            <w:tcW w:w="7470" w:type="dxa"/>
          </w:tcPr>
          <w:p w14:paraId="1DB1B922" w14:textId="1882454C" w:rsidR="007873DB" w:rsidRPr="007C5921" w:rsidRDefault="00EA20CF" w:rsidP="007873DB">
            <w:pPr>
              <w:spacing w:after="0"/>
            </w:pPr>
            <w:r w:rsidRPr="007C5921">
              <w:t>Describes steps to amend the agreement, if needed.</w:t>
            </w:r>
          </w:p>
        </w:tc>
      </w:tr>
      <w:tr w:rsidR="00431291" w14:paraId="190F822F" w14:textId="77777777" w:rsidTr="00431291">
        <w:trPr>
          <w:trHeight w:val="43"/>
        </w:trPr>
        <w:tc>
          <w:tcPr>
            <w:tcW w:w="3325" w:type="dxa"/>
          </w:tcPr>
          <w:p w14:paraId="2F17B4F5" w14:textId="03020165" w:rsidR="007873DB" w:rsidRPr="007C5921" w:rsidRDefault="00EA20CF" w:rsidP="007873DB">
            <w:pPr>
              <w:tabs>
                <w:tab w:val="num" w:pos="360"/>
              </w:tabs>
              <w:spacing w:after="0"/>
            </w:pPr>
            <w:r w:rsidRPr="007C5921">
              <w:t>Remedies in the event of default</w:t>
            </w:r>
          </w:p>
        </w:tc>
        <w:tc>
          <w:tcPr>
            <w:tcW w:w="7470" w:type="dxa"/>
          </w:tcPr>
          <w:p w14:paraId="3B85DA2B" w14:textId="7EFC3BA1" w:rsidR="007873DB" w:rsidRPr="007C5921" w:rsidRDefault="00EA20CF" w:rsidP="007873DB">
            <w:pPr>
              <w:spacing w:after="0"/>
            </w:pPr>
            <w:r w:rsidRPr="007C5921">
              <w:t>Identifies the available remedies if a party defaults.</w:t>
            </w:r>
          </w:p>
        </w:tc>
      </w:tr>
      <w:tr w:rsidR="00431291" w14:paraId="3E4C9E7E" w14:textId="77777777" w:rsidTr="00431291">
        <w:trPr>
          <w:cnfStyle w:val="000000100000" w:firstRow="0" w:lastRow="0" w:firstColumn="0" w:lastColumn="0" w:oddVBand="0" w:evenVBand="0" w:oddHBand="1" w:evenHBand="0" w:firstRowFirstColumn="0" w:firstRowLastColumn="0" w:lastRowFirstColumn="0" w:lastRowLastColumn="0"/>
          <w:trHeight w:val="43"/>
        </w:trPr>
        <w:tc>
          <w:tcPr>
            <w:tcW w:w="3325" w:type="dxa"/>
          </w:tcPr>
          <w:p w14:paraId="01A6B2A7" w14:textId="1C691AB9" w:rsidR="007873DB" w:rsidRPr="007C5921" w:rsidRDefault="00EA20CF" w:rsidP="007873DB">
            <w:pPr>
              <w:tabs>
                <w:tab w:val="num" w:pos="360"/>
              </w:tabs>
              <w:spacing w:after="0"/>
            </w:pPr>
            <w:r w:rsidRPr="007C5921">
              <w:t>If building is a condominium, provisions for conversation to ownership and tenant relocation/benefits</w:t>
            </w:r>
          </w:p>
        </w:tc>
        <w:tc>
          <w:tcPr>
            <w:tcW w:w="7470" w:type="dxa"/>
          </w:tcPr>
          <w:p w14:paraId="73206EEE" w14:textId="0732E19C" w:rsidR="007873DB" w:rsidRPr="007C5921" w:rsidRDefault="00EA20CF" w:rsidP="007873DB">
            <w:pPr>
              <w:spacing w:after="0"/>
            </w:pPr>
            <w:r w:rsidRPr="007C5921">
              <w:t>Specifies expectations of how tenants will be treated if the property is converted to ownership and units sold.</w:t>
            </w:r>
          </w:p>
        </w:tc>
      </w:tr>
    </w:tbl>
    <w:p w14:paraId="4F35B3C4" w14:textId="6846A10E" w:rsidR="00A37474" w:rsidRDefault="00EA20CF" w:rsidP="00A37474">
      <w:pPr>
        <w:pStyle w:val="Heading2"/>
      </w:pPr>
      <w:r>
        <w:t>Affordable Housing Homebuyer Documents Checklist</w:t>
      </w:r>
    </w:p>
    <w:p w14:paraId="24C38E49" w14:textId="789D92B0" w:rsidR="00A37474" w:rsidRDefault="00EA20CF" w:rsidP="00A37474">
      <w:r>
        <w:t>Inclusionary housing ordinances and programs generally apply to both rental and ownership housing projects.  If the developer of a housing development project intends to sell the housing units, rather than renting them, a series of documents should be prepared for the eventual owner of the affordable units.  These documents include:</w:t>
      </w:r>
    </w:p>
    <w:p w14:paraId="27E254B4" w14:textId="2B2A4D2D" w:rsidR="00A37474" w:rsidRDefault="00EA20CF" w:rsidP="00A37474">
      <w:pPr>
        <w:pStyle w:val="ListParagraph"/>
        <w:numPr>
          <w:ilvl w:val="0"/>
          <w:numId w:val="19"/>
        </w:numPr>
        <w:spacing w:after="0" w:line="240" w:lineRule="auto"/>
      </w:pPr>
      <w:r>
        <w:t>Resale Restriction and Option to Purchase Agreement (recorded).  This is described in the table below.</w:t>
      </w:r>
    </w:p>
    <w:p w14:paraId="7252F53F" w14:textId="235EEB18" w:rsidR="00A37474" w:rsidRDefault="00EA20CF" w:rsidP="00A37474">
      <w:pPr>
        <w:pStyle w:val="ListParagraph"/>
        <w:numPr>
          <w:ilvl w:val="0"/>
          <w:numId w:val="19"/>
        </w:numPr>
        <w:spacing w:after="0" w:line="240" w:lineRule="auto"/>
      </w:pPr>
      <w:r>
        <w:t xml:space="preserve">Promissory Note (not recorded).  This is to secure any financial assistance provided by the city or county to the homebuyer, and also an equity </w:t>
      </w:r>
      <w:proofErr w:type="gramStart"/>
      <w:r>
        <w:t>share</w:t>
      </w:r>
      <w:proofErr w:type="gramEnd"/>
      <w:r>
        <w:t xml:space="preserve"> in proceeds of the dwelling unit if it is sold above the affordable price identified in the resale restriction agreement.</w:t>
      </w:r>
    </w:p>
    <w:p w14:paraId="12E6FAC7" w14:textId="12AE81C8" w:rsidR="00A37474" w:rsidRDefault="00EA20CF" w:rsidP="00A37474">
      <w:pPr>
        <w:pStyle w:val="ListParagraph"/>
        <w:numPr>
          <w:ilvl w:val="0"/>
          <w:numId w:val="19"/>
        </w:numPr>
        <w:spacing w:after="0" w:line="240" w:lineRule="auto"/>
      </w:pPr>
      <w:r>
        <w:t>Deed of Trust (recorded).  This document secures the promissory note and is recorded on title.  It can be in the form of a performance deed of trust if no financial assistance is provided.</w:t>
      </w:r>
    </w:p>
    <w:p w14:paraId="451891A1" w14:textId="77777777" w:rsidR="00A079CF" w:rsidRDefault="00EA20CF" w:rsidP="00A079CF">
      <w:pPr>
        <w:pStyle w:val="ListParagraph"/>
        <w:numPr>
          <w:ilvl w:val="0"/>
          <w:numId w:val="19"/>
        </w:numPr>
        <w:spacing w:after="0" w:line="240" w:lineRule="auto"/>
      </w:pPr>
      <w:r>
        <w:t xml:space="preserve">Request for Notice of Default or Sale (recorded).  This document requires notice </w:t>
      </w:r>
      <w:proofErr w:type="gramStart"/>
      <w:r>
        <w:t>be</w:t>
      </w:r>
      <w:proofErr w:type="gramEnd"/>
      <w:r>
        <w:t xml:space="preserve"> given whenever the holder of a deed of trust declares a default or the property is sold due to a default.  The city or county will be notified more quickly of the default than they would be under the deed of trust.</w:t>
      </w:r>
    </w:p>
    <w:p w14:paraId="4DC3030A" w14:textId="1DB508A0" w:rsidR="00A37474" w:rsidRDefault="00EA20CF" w:rsidP="00A079CF">
      <w:pPr>
        <w:pStyle w:val="ListParagraph"/>
        <w:numPr>
          <w:ilvl w:val="0"/>
          <w:numId w:val="19"/>
        </w:numPr>
        <w:spacing w:line="240" w:lineRule="auto"/>
      </w:pPr>
      <w:r>
        <w:t xml:space="preserve">Disclosure to Buyers (not recorded).  The disclosure explains to the future homebuyer the terms of the resale restriction, promissory note, and deed of trust in plain language.  </w:t>
      </w:r>
    </w:p>
    <w:p w14:paraId="5EA50C26" w14:textId="66E270EB" w:rsidR="00A37474" w:rsidRDefault="00EA20CF" w:rsidP="00A079CF">
      <w:r>
        <w:t xml:space="preserve">A paper prepared for the Institute for Local Government, available </w:t>
      </w:r>
      <w:hyperlink r:id="rId10" w:history="1">
        <w:r w:rsidRPr="00CA0B4F">
          <w:rPr>
            <w:rStyle w:val="Hyperlink"/>
          </w:rPr>
          <w:t>here</w:t>
        </w:r>
      </w:hyperlink>
      <w:r>
        <w:t>, explains the purpose behind each of these documents.</w:t>
      </w:r>
    </w:p>
    <w:p w14:paraId="411216A2" w14:textId="5D515620" w:rsidR="00AA7CC3" w:rsidRPr="00BB417C" w:rsidRDefault="00EA20CF" w:rsidP="00AA7CC3">
      <w:pPr>
        <w:pStyle w:val="Heading3"/>
      </w:pPr>
      <w:r w:rsidRPr="00B40F2A">
        <w:lastRenderedPageBreak/>
        <w:t xml:space="preserve">Table 5. </w:t>
      </w:r>
      <w:r w:rsidR="00B40F2A">
        <w:t>Affordable Housing Homebuyer Documents Checklist</w:t>
      </w:r>
    </w:p>
    <w:tbl>
      <w:tblPr>
        <w:tblStyle w:val="TableGrid"/>
        <w:tblW w:w="10795" w:type="dxa"/>
        <w:tblLook w:val="04A0" w:firstRow="1" w:lastRow="0" w:firstColumn="1" w:lastColumn="0" w:noHBand="0" w:noVBand="1"/>
      </w:tblPr>
      <w:tblGrid>
        <w:gridCol w:w="3325"/>
        <w:gridCol w:w="7470"/>
      </w:tblGrid>
      <w:tr w:rsidR="00431291" w14:paraId="17863FFC" w14:textId="77777777" w:rsidTr="00431291">
        <w:trPr>
          <w:cnfStyle w:val="100000000000" w:firstRow="1" w:lastRow="0" w:firstColumn="0" w:lastColumn="0" w:oddVBand="0" w:evenVBand="0" w:oddHBand="0" w:evenHBand="0" w:firstRowFirstColumn="0" w:firstRowLastColumn="0" w:lastRowFirstColumn="0" w:lastRowLastColumn="0"/>
          <w:trHeight w:val="300"/>
        </w:trPr>
        <w:tc>
          <w:tcPr>
            <w:tcW w:w="3325" w:type="dxa"/>
          </w:tcPr>
          <w:p w14:paraId="4CD25E2C" w14:textId="7A208E87" w:rsidR="00920B40" w:rsidRPr="00FC0A2C" w:rsidRDefault="00EA20CF" w:rsidP="00AA7CC3">
            <w:pPr>
              <w:pStyle w:val="Tableheading"/>
            </w:pPr>
            <w:r w:rsidRPr="007C5921">
              <w:rPr>
                <w:sz w:val="22"/>
              </w:rPr>
              <w:t>Item to Include in Agreement</w:t>
            </w:r>
          </w:p>
        </w:tc>
        <w:tc>
          <w:tcPr>
            <w:tcW w:w="7470" w:type="dxa"/>
          </w:tcPr>
          <w:p w14:paraId="15812C1E" w14:textId="79A1B2D5" w:rsidR="00920B40" w:rsidRPr="00FC0A2C" w:rsidRDefault="00EA20CF" w:rsidP="00920B40">
            <w:pPr>
              <w:pStyle w:val="Tableheading"/>
            </w:pPr>
            <w:r w:rsidRPr="007C5921">
              <w:rPr>
                <w:sz w:val="22"/>
              </w:rPr>
              <w:t>Purpose</w:t>
            </w:r>
          </w:p>
        </w:tc>
      </w:tr>
      <w:tr w:rsidR="00431291" w14:paraId="1187F3EC" w14:textId="77777777" w:rsidTr="00431291">
        <w:trPr>
          <w:cnfStyle w:val="000000100000" w:firstRow="0" w:lastRow="0" w:firstColumn="0" w:lastColumn="0" w:oddVBand="0" w:evenVBand="0" w:oddHBand="1" w:evenHBand="0" w:firstRowFirstColumn="0" w:firstRowLastColumn="0" w:lastRowFirstColumn="0" w:lastRowLastColumn="0"/>
          <w:trHeight w:val="43"/>
        </w:trPr>
        <w:tc>
          <w:tcPr>
            <w:tcW w:w="3325" w:type="dxa"/>
          </w:tcPr>
          <w:p w14:paraId="632E7EC9" w14:textId="3EF699C9" w:rsidR="005E3EF6" w:rsidRPr="005E3EF6" w:rsidRDefault="00EA20CF" w:rsidP="005E3EF6">
            <w:pPr>
              <w:tabs>
                <w:tab w:val="num" w:pos="360"/>
              </w:tabs>
              <w:spacing w:after="0"/>
              <w:rPr>
                <w:b/>
              </w:rPr>
            </w:pPr>
            <w:r w:rsidRPr="005E3EF6">
              <w:t>Recitals regarding approval basis for affordability requirement</w:t>
            </w:r>
          </w:p>
        </w:tc>
        <w:tc>
          <w:tcPr>
            <w:tcW w:w="7470" w:type="dxa"/>
          </w:tcPr>
          <w:p w14:paraId="09C2CEE6" w14:textId="7CF9C773" w:rsidR="005E3EF6" w:rsidRPr="005E3EF6" w:rsidRDefault="00EA20CF" w:rsidP="005E3EF6">
            <w:pPr>
              <w:pStyle w:val="Tabletext"/>
              <w:contextualSpacing/>
              <w:rPr>
                <w:rFonts w:cstheme="minorHAnsi"/>
              </w:rPr>
            </w:pPr>
            <w:r w:rsidRPr="005E3EF6">
              <w:t>So future readers of the agreement understand the city's authority for the requirements; if the agreement is intended to cover inclusionary units as well as density bonus, streamlined ministerial review process (SB35), or other affordability restrictions, these should all be identified in the recitals of the agreement.</w:t>
            </w:r>
          </w:p>
        </w:tc>
      </w:tr>
      <w:tr w:rsidR="00431291" w14:paraId="6710AD45" w14:textId="77777777" w:rsidTr="00431291">
        <w:trPr>
          <w:trHeight w:val="43"/>
        </w:trPr>
        <w:tc>
          <w:tcPr>
            <w:tcW w:w="3325" w:type="dxa"/>
          </w:tcPr>
          <w:p w14:paraId="27A55836" w14:textId="70B0971B" w:rsidR="005E3EF6" w:rsidRPr="005E3EF6" w:rsidRDefault="00EA20CF" w:rsidP="005E3EF6">
            <w:pPr>
              <w:tabs>
                <w:tab w:val="num" w:pos="360"/>
              </w:tabs>
              <w:spacing w:after="0"/>
              <w:rPr>
                <w:b/>
              </w:rPr>
            </w:pPr>
            <w:r w:rsidRPr="005E3EF6">
              <w:t>Legal description (usually in the form of an attachment)</w:t>
            </w:r>
          </w:p>
        </w:tc>
        <w:tc>
          <w:tcPr>
            <w:tcW w:w="7470" w:type="dxa"/>
          </w:tcPr>
          <w:p w14:paraId="0D35E14B" w14:textId="79FA5D7D" w:rsidR="005E3EF6" w:rsidRPr="005E3EF6" w:rsidRDefault="00EA20CF" w:rsidP="005E3EF6">
            <w:pPr>
              <w:pStyle w:val="Tabletext"/>
              <w:contextualSpacing/>
              <w:rPr>
                <w:rFonts w:cstheme="minorHAnsi"/>
              </w:rPr>
            </w:pPr>
            <w:r w:rsidRPr="005E3EF6">
              <w:t>Identifies the property being restricted and is required if the regulatory agreement is being recorded against the property; restriction should apply to entire property.</w:t>
            </w:r>
          </w:p>
        </w:tc>
      </w:tr>
      <w:tr w:rsidR="00431291" w14:paraId="28EA4700" w14:textId="77777777" w:rsidTr="00431291">
        <w:trPr>
          <w:cnfStyle w:val="000000100000" w:firstRow="0" w:lastRow="0" w:firstColumn="0" w:lastColumn="0" w:oddVBand="0" w:evenVBand="0" w:oddHBand="1" w:evenHBand="0" w:firstRowFirstColumn="0" w:firstRowLastColumn="0" w:lastRowFirstColumn="0" w:lastRowLastColumn="0"/>
          <w:trHeight w:val="43"/>
        </w:trPr>
        <w:tc>
          <w:tcPr>
            <w:tcW w:w="3325" w:type="dxa"/>
          </w:tcPr>
          <w:p w14:paraId="05D424A9" w14:textId="288A054D" w:rsidR="005E3EF6" w:rsidRPr="005E3EF6" w:rsidRDefault="00EA20CF" w:rsidP="005E3EF6">
            <w:pPr>
              <w:tabs>
                <w:tab w:val="num" w:pos="360"/>
              </w:tabs>
              <w:spacing w:after="0"/>
              <w:rPr>
                <w:b/>
              </w:rPr>
            </w:pPr>
            <w:r w:rsidRPr="005E3EF6">
              <w:t>Level of affordability (</w:t>
            </w:r>
            <w:proofErr w:type="gramStart"/>
            <w:r w:rsidRPr="005E3EF6">
              <w:t>e.g.</w:t>
            </w:r>
            <w:proofErr w:type="gramEnd"/>
            <w:r w:rsidRPr="005E3EF6">
              <w:t xml:space="preserve"> low income; moderate income etc.)</w:t>
            </w:r>
          </w:p>
        </w:tc>
        <w:tc>
          <w:tcPr>
            <w:tcW w:w="7470" w:type="dxa"/>
          </w:tcPr>
          <w:p w14:paraId="368F0CC9" w14:textId="04CC1821" w:rsidR="005E3EF6" w:rsidRPr="005E3EF6" w:rsidRDefault="00EA20CF" w:rsidP="005E3EF6">
            <w:pPr>
              <w:spacing w:after="0"/>
            </w:pPr>
            <w:r w:rsidRPr="005E3EF6">
              <w:t>Identifies the income levels needed for a purchaser to qualify to purchase in the restricted unit.</w:t>
            </w:r>
          </w:p>
        </w:tc>
      </w:tr>
      <w:tr w:rsidR="00431291" w14:paraId="143ACE63" w14:textId="77777777" w:rsidTr="00431291">
        <w:trPr>
          <w:trHeight w:val="43"/>
        </w:trPr>
        <w:tc>
          <w:tcPr>
            <w:tcW w:w="3325" w:type="dxa"/>
          </w:tcPr>
          <w:p w14:paraId="3EB28585" w14:textId="68FF4FC5" w:rsidR="005E3EF6" w:rsidRPr="005E3EF6" w:rsidRDefault="00EA20CF" w:rsidP="005E3EF6">
            <w:pPr>
              <w:tabs>
                <w:tab w:val="num" w:pos="360"/>
              </w:tabs>
              <w:spacing w:after="0"/>
            </w:pPr>
            <w:r w:rsidRPr="005E3EF6">
              <w:t xml:space="preserve">Term </w:t>
            </w:r>
          </w:p>
        </w:tc>
        <w:tc>
          <w:tcPr>
            <w:tcW w:w="7470" w:type="dxa"/>
          </w:tcPr>
          <w:p w14:paraId="27735721" w14:textId="77777777" w:rsidR="005E3EF6" w:rsidRPr="005E3EF6" w:rsidRDefault="00EA20CF" w:rsidP="005E3EF6">
            <w:r w:rsidRPr="005E3EF6">
              <w:t>When resale price is restricted:  Identifies the duration of the affordability restriction.  If affordable units are counted for multiple programs (</w:t>
            </w:r>
            <w:proofErr w:type="gramStart"/>
            <w:r w:rsidRPr="005E3EF6">
              <w:t>e.g.</w:t>
            </w:r>
            <w:proofErr w:type="gramEnd"/>
            <w:r w:rsidRPr="005E3EF6">
              <w:t xml:space="preserve"> inclusionary; density bonus; streamlined ministerial approval), note whether there are differences in the term of affordability and reconcile (e.g. require the longest duration of all affordable units).</w:t>
            </w:r>
          </w:p>
          <w:p w14:paraId="61B913D5" w14:textId="0EE25539" w:rsidR="005E3EF6" w:rsidRPr="005E3EF6" w:rsidRDefault="00EA20CF" w:rsidP="005E3EF6">
            <w:pPr>
              <w:spacing w:after="0"/>
            </w:pPr>
            <w:r w:rsidRPr="005E3EF6">
              <w:t xml:space="preserve">When resale price is not restricted:  Term of the required repayment of initial subsidy.  </w:t>
            </w:r>
          </w:p>
        </w:tc>
      </w:tr>
      <w:tr w:rsidR="00431291" w14:paraId="03F53529" w14:textId="77777777" w:rsidTr="00431291">
        <w:trPr>
          <w:cnfStyle w:val="000000100000" w:firstRow="0" w:lastRow="0" w:firstColumn="0" w:lastColumn="0" w:oddVBand="0" w:evenVBand="0" w:oddHBand="1" w:evenHBand="0" w:firstRowFirstColumn="0" w:firstRowLastColumn="0" w:lastRowFirstColumn="0" w:lastRowLastColumn="0"/>
          <w:trHeight w:val="43"/>
        </w:trPr>
        <w:tc>
          <w:tcPr>
            <w:tcW w:w="3325" w:type="dxa"/>
          </w:tcPr>
          <w:p w14:paraId="2F0C770B" w14:textId="4D0A9905" w:rsidR="005E3EF6" w:rsidRPr="005E3EF6" w:rsidRDefault="00EA20CF" w:rsidP="005E3EF6">
            <w:pPr>
              <w:tabs>
                <w:tab w:val="num" w:pos="360"/>
              </w:tabs>
              <w:spacing w:after="0"/>
            </w:pPr>
            <w:r w:rsidRPr="005E3EF6">
              <w:t>Means for calculating resale price (if resale price is restricted)</w:t>
            </w:r>
          </w:p>
        </w:tc>
        <w:tc>
          <w:tcPr>
            <w:tcW w:w="7470" w:type="dxa"/>
          </w:tcPr>
          <w:p w14:paraId="0C3FBAFD" w14:textId="6D63DA0F" w:rsidR="005E3EF6" w:rsidRPr="005E3EF6" w:rsidRDefault="00EA20CF" w:rsidP="005E3EF6">
            <w:pPr>
              <w:spacing w:after="0"/>
            </w:pPr>
            <w:r w:rsidRPr="005E3EF6">
              <w:t>Provides the methodology for determining the affordable sales price if the property is resold in the future.</w:t>
            </w:r>
          </w:p>
        </w:tc>
      </w:tr>
      <w:tr w:rsidR="00431291" w14:paraId="2789A04C" w14:textId="77777777" w:rsidTr="00431291">
        <w:trPr>
          <w:trHeight w:val="43"/>
        </w:trPr>
        <w:tc>
          <w:tcPr>
            <w:tcW w:w="3325" w:type="dxa"/>
          </w:tcPr>
          <w:p w14:paraId="710510AD" w14:textId="7392EEB9" w:rsidR="005E3EF6" w:rsidRPr="005E3EF6" w:rsidRDefault="00EA20CF" w:rsidP="005E3EF6">
            <w:pPr>
              <w:tabs>
                <w:tab w:val="num" w:pos="360"/>
              </w:tabs>
              <w:spacing w:after="0"/>
            </w:pPr>
            <w:r w:rsidRPr="005E3EF6">
              <w:t xml:space="preserve">Provisions for sharing equity or appreciation (if resale price is not restricted) </w:t>
            </w:r>
          </w:p>
        </w:tc>
        <w:tc>
          <w:tcPr>
            <w:tcW w:w="7470" w:type="dxa"/>
          </w:tcPr>
          <w:p w14:paraId="6A5DB22F" w14:textId="4DE3C74D" w:rsidR="005E3EF6" w:rsidRPr="005E3EF6" w:rsidRDefault="00EA20CF" w:rsidP="005E3EF6">
            <w:pPr>
              <w:spacing w:after="0"/>
            </w:pPr>
            <w:r w:rsidRPr="005E3EF6">
              <w:t>Provides the methodology for sharing equity or appreciation in the property between the owner and the city.</w:t>
            </w:r>
          </w:p>
        </w:tc>
      </w:tr>
      <w:tr w:rsidR="00431291" w14:paraId="538A8536" w14:textId="77777777" w:rsidTr="00431291">
        <w:trPr>
          <w:cnfStyle w:val="000000100000" w:firstRow="0" w:lastRow="0" w:firstColumn="0" w:lastColumn="0" w:oddVBand="0" w:evenVBand="0" w:oddHBand="1" w:evenHBand="0" w:firstRowFirstColumn="0" w:firstRowLastColumn="0" w:lastRowFirstColumn="0" w:lastRowLastColumn="0"/>
          <w:trHeight w:val="43"/>
        </w:trPr>
        <w:tc>
          <w:tcPr>
            <w:tcW w:w="3325" w:type="dxa"/>
          </w:tcPr>
          <w:p w14:paraId="65D75AAD" w14:textId="6005AA7F" w:rsidR="005E3EF6" w:rsidRPr="005E3EF6" w:rsidRDefault="00EA20CF" w:rsidP="005E3EF6">
            <w:pPr>
              <w:tabs>
                <w:tab w:val="num" w:pos="360"/>
              </w:tabs>
              <w:spacing w:after="0"/>
            </w:pPr>
            <w:r w:rsidRPr="005E3EF6">
              <w:t>Buyer protections if home price declines</w:t>
            </w:r>
          </w:p>
        </w:tc>
        <w:tc>
          <w:tcPr>
            <w:tcW w:w="7470" w:type="dxa"/>
          </w:tcPr>
          <w:p w14:paraId="11BE7B3D" w14:textId="1AFED589" w:rsidR="005E3EF6" w:rsidRPr="005E3EF6" w:rsidRDefault="00EA20CF" w:rsidP="005E3EF6">
            <w:pPr>
              <w:spacing w:after="0"/>
            </w:pPr>
            <w:r w:rsidRPr="005E3EF6">
              <w:t>This is often included because the homebuyer's potential for appreciation is limited.  Often, the homeowner is allowed to recover at least the original purchase price, real estate commission, and cost of (approved) capital improvements.</w:t>
            </w:r>
          </w:p>
        </w:tc>
      </w:tr>
      <w:tr w:rsidR="00431291" w14:paraId="0EC040EF" w14:textId="77777777" w:rsidTr="00431291">
        <w:trPr>
          <w:trHeight w:val="43"/>
        </w:trPr>
        <w:tc>
          <w:tcPr>
            <w:tcW w:w="3325" w:type="dxa"/>
          </w:tcPr>
          <w:p w14:paraId="04254F59" w14:textId="295FDF19" w:rsidR="005E3EF6" w:rsidRPr="005E3EF6" w:rsidRDefault="00EA20CF" w:rsidP="005E3EF6">
            <w:pPr>
              <w:tabs>
                <w:tab w:val="num" w:pos="360"/>
              </w:tabs>
              <w:spacing w:after="0"/>
            </w:pPr>
            <w:r w:rsidRPr="005E3EF6">
              <w:t>Treatment of capital improvements and deferred maintenance at resale</w:t>
            </w:r>
          </w:p>
        </w:tc>
        <w:tc>
          <w:tcPr>
            <w:tcW w:w="7470" w:type="dxa"/>
          </w:tcPr>
          <w:p w14:paraId="2661BDEF" w14:textId="092F7B40" w:rsidR="005E3EF6" w:rsidRPr="005E3EF6" w:rsidRDefault="00EA20CF" w:rsidP="005E3EF6">
            <w:pPr>
              <w:spacing w:after="0"/>
            </w:pPr>
            <w:r w:rsidRPr="005E3EF6">
              <w:t xml:space="preserve">Address whether the homeowner will recoup capital improvements costs and whether prior approval by the city is required for certain capital improvements.  Should also discuss how to address deferred maintenance of the property at time of resale.  </w:t>
            </w:r>
          </w:p>
        </w:tc>
      </w:tr>
      <w:tr w:rsidR="00431291" w14:paraId="15E35B3C" w14:textId="77777777" w:rsidTr="00431291">
        <w:trPr>
          <w:cnfStyle w:val="000000100000" w:firstRow="0" w:lastRow="0" w:firstColumn="0" w:lastColumn="0" w:oddVBand="0" w:evenVBand="0" w:oddHBand="1" w:evenHBand="0" w:firstRowFirstColumn="0" w:firstRowLastColumn="0" w:lastRowFirstColumn="0" w:lastRowLastColumn="0"/>
          <w:trHeight w:val="43"/>
        </w:trPr>
        <w:tc>
          <w:tcPr>
            <w:tcW w:w="3325" w:type="dxa"/>
          </w:tcPr>
          <w:p w14:paraId="0087D2C4" w14:textId="4A00C9FE" w:rsidR="005E3EF6" w:rsidRPr="005E3EF6" w:rsidRDefault="00EA20CF" w:rsidP="005E3EF6">
            <w:pPr>
              <w:tabs>
                <w:tab w:val="num" w:pos="360"/>
              </w:tabs>
              <w:spacing w:after="0"/>
            </w:pPr>
            <w:r w:rsidRPr="005E3EF6">
              <w:t>Owner occupancy and annual certification</w:t>
            </w:r>
          </w:p>
        </w:tc>
        <w:tc>
          <w:tcPr>
            <w:tcW w:w="7470" w:type="dxa"/>
          </w:tcPr>
          <w:p w14:paraId="75AD56AF" w14:textId="31EA3639" w:rsidR="005E3EF6" w:rsidRPr="005E3EF6" w:rsidRDefault="00EA20CF" w:rsidP="005E3EF6">
            <w:pPr>
              <w:spacing w:after="0"/>
            </w:pPr>
            <w:r w:rsidRPr="005E3EF6">
              <w:t xml:space="preserve">The agreement will generally include a provision requiring the homeowner to reside at the property for a specified amount of time during each year.  It may also prohibit renting of the home without prior approval of the city.  The annual certification is the mechanism for the homeowner to demonstrate compliance with these requirements.  </w:t>
            </w:r>
          </w:p>
        </w:tc>
      </w:tr>
      <w:tr w:rsidR="00431291" w14:paraId="73FF6064" w14:textId="77777777" w:rsidTr="00431291">
        <w:trPr>
          <w:trHeight w:val="43"/>
        </w:trPr>
        <w:tc>
          <w:tcPr>
            <w:tcW w:w="3325" w:type="dxa"/>
          </w:tcPr>
          <w:p w14:paraId="4E2FBBC7" w14:textId="04957A1F" w:rsidR="005E3EF6" w:rsidRPr="005E3EF6" w:rsidRDefault="00EA20CF" w:rsidP="005E3EF6">
            <w:pPr>
              <w:tabs>
                <w:tab w:val="num" w:pos="360"/>
              </w:tabs>
              <w:spacing w:after="0"/>
            </w:pPr>
            <w:r w:rsidRPr="005E3EF6">
              <w:t xml:space="preserve">Property Maintenance </w:t>
            </w:r>
          </w:p>
        </w:tc>
        <w:tc>
          <w:tcPr>
            <w:tcW w:w="7470" w:type="dxa"/>
          </w:tcPr>
          <w:p w14:paraId="184396DD" w14:textId="7C17C74B" w:rsidR="005E3EF6" w:rsidRPr="005E3EF6" w:rsidRDefault="00EA20CF" w:rsidP="005E3EF6">
            <w:pPr>
              <w:spacing w:after="0"/>
            </w:pPr>
            <w:r w:rsidRPr="005E3EF6">
              <w:t>The city may want to identify its expectations regarding maintenance.</w:t>
            </w:r>
          </w:p>
        </w:tc>
      </w:tr>
      <w:tr w:rsidR="00431291" w14:paraId="4E60AF6C" w14:textId="77777777" w:rsidTr="00431291">
        <w:trPr>
          <w:cnfStyle w:val="000000100000" w:firstRow="0" w:lastRow="0" w:firstColumn="0" w:lastColumn="0" w:oddVBand="0" w:evenVBand="0" w:oddHBand="1" w:evenHBand="0" w:firstRowFirstColumn="0" w:firstRowLastColumn="0" w:lastRowFirstColumn="0" w:lastRowLastColumn="0"/>
          <w:trHeight w:val="43"/>
        </w:trPr>
        <w:tc>
          <w:tcPr>
            <w:tcW w:w="3325" w:type="dxa"/>
          </w:tcPr>
          <w:p w14:paraId="2721E0CE" w14:textId="01963545" w:rsidR="005E3EF6" w:rsidRPr="005E3EF6" w:rsidRDefault="00EA20CF" w:rsidP="005E3EF6">
            <w:pPr>
              <w:tabs>
                <w:tab w:val="num" w:pos="360"/>
              </w:tabs>
              <w:spacing w:after="0"/>
            </w:pPr>
            <w:r w:rsidRPr="005E3EF6">
              <w:t>Provisions for repayment of any secondary financing benefiting a public agency</w:t>
            </w:r>
          </w:p>
        </w:tc>
        <w:tc>
          <w:tcPr>
            <w:tcW w:w="7470" w:type="dxa"/>
          </w:tcPr>
          <w:p w14:paraId="59B9F7B5" w14:textId="0CCAC826" w:rsidR="005E3EF6" w:rsidRPr="005E3EF6" w:rsidRDefault="00EA20CF" w:rsidP="005E3EF6">
            <w:pPr>
              <w:spacing w:after="0"/>
            </w:pPr>
            <w:r w:rsidRPr="005E3EF6">
              <w:t>The agreement should describe how and when city financing, such as a down payment assistance loan, will be repaid.</w:t>
            </w:r>
          </w:p>
        </w:tc>
      </w:tr>
      <w:tr w:rsidR="00431291" w14:paraId="00DDE495" w14:textId="77777777" w:rsidTr="00431291">
        <w:trPr>
          <w:trHeight w:val="43"/>
        </w:trPr>
        <w:tc>
          <w:tcPr>
            <w:tcW w:w="3325" w:type="dxa"/>
          </w:tcPr>
          <w:p w14:paraId="6E36A5D0" w14:textId="2344A49C" w:rsidR="005E3EF6" w:rsidRPr="005E3EF6" w:rsidRDefault="00EA20CF" w:rsidP="005E3EF6">
            <w:pPr>
              <w:tabs>
                <w:tab w:val="num" w:pos="360"/>
              </w:tabs>
              <w:spacing w:after="0"/>
            </w:pPr>
            <w:r w:rsidRPr="005E3EF6">
              <w:lastRenderedPageBreak/>
              <w:t>Procedures for property transfer and option to purchase</w:t>
            </w:r>
          </w:p>
        </w:tc>
        <w:tc>
          <w:tcPr>
            <w:tcW w:w="7470" w:type="dxa"/>
          </w:tcPr>
          <w:p w14:paraId="418405C3" w14:textId="0CA88546" w:rsidR="005E3EF6" w:rsidRPr="005E3EF6" w:rsidRDefault="00EA20CF" w:rsidP="005E3EF6">
            <w:pPr>
              <w:spacing w:after="0"/>
            </w:pPr>
            <w:r w:rsidRPr="005E3EF6">
              <w:t>The agreement will lay out what transfers are permitted, and which are not.  Usually, the public agency will have an option to purchase the property if the homeowner attempts to engage in a non-permitted transfer of the property.</w:t>
            </w:r>
          </w:p>
        </w:tc>
      </w:tr>
      <w:tr w:rsidR="00431291" w14:paraId="2C606BE6" w14:textId="77777777" w:rsidTr="00431291">
        <w:trPr>
          <w:cnfStyle w:val="000000100000" w:firstRow="0" w:lastRow="0" w:firstColumn="0" w:lastColumn="0" w:oddVBand="0" w:evenVBand="0" w:oddHBand="1" w:evenHBand="0" w:firstRowFirstColumn="0" w:firstRowLastColumn="0" w:lastRowFirstColumn="0" w:lastRowLastColumn="0"/>
          <w:trHeight w:val="43"/>
        </w:trPr>
        <w:tc>
          <w:tcPr>
            <w:tcW w:w="3325" w:type="dxa"/>
          </w:tcPr>
          <w:p w14:paraId="5B96DA54" w14:textId="78463E12" w:rsidR="005E3EF6" w:rsidRPr="005E3EF6" w:rsidRDefault="00EA20CF" w:rsidP="005E3EF6">
            <w:pPr>
              <w:tabs>
                <w:tab w:val="num" w:pos="360"/>
              </w:tabs>
              <w:spacing w:after="0"/>
            </w:pPr>
            <w:r w:rsidRPr="005E3EF6">
              <w:t>Treatment of involuntary transfer</w:t>
            </w:r>
          </w:p>
        </w:tc>
        <w:tc>
          <w:tcPr>
            <w:tcW w:w="7470" w:type="dxa"/>
          </w:tcPr>
          <w:p w14:paraId="4542BD2E" w14:textId="528313C5" w:rsidR="005E3EF6" w:rsidRPr="005E3EF6" w:rsidRDefault="00EA20CF" w:rsidP="005E3EF6">
            <w:pPr>
              <w:spacing w:after="0"/>
            </w:pPr>
            <w:r w:rsidRPr="005E3EF6">
              <w:t>This provision addresses what is to occur if there is an involuntary transfer, such as upon divorce or to an heir upon death.</w:t>
            </w:r>
          </w:p>
        </w:tc>
      </w:tr>
      <w:tr w:rsidR="00431291" w14:paraId="3976951D" w14:textId="77777777" w:rsidTr="00431291">
        <w:trPr>
          <w:trHeight w:val="43"/>
        </w:trPr>
        <w:tc>
          <w:tcPr>
            <w:tcW w:w="3325" w:type="dxa"/>
          </w:tcPr>
          <w:p w14:paraId="0A181666" w14:textId="7CDF88B8" w:rsidR="005E3EF6" w:rsidRPr="005E3EF6" w:rsidRDefault="00EA20CF" w:rsidP="005E3EF6">
            <w:pPr>
              <w:tabs>
                <w:tab w:val="num" w:pos="360"/>
              </w:tabs>
              <w:spacing w:after="0"/>
            </w:pPr>
            <w:r w:rsidRPr="005E3EF6">
              <w:t>Provisions for refinancing and home equity loans</w:t>
            </w:r>
          </w:p>
        </w:tc>
        <w:tc>
          <w:tcPr>
            <w:tcW w:w="7470" w:type="dxa"/>
          </w:tcPr>
          <w:p w14:paraId="591FF13D" w14:textId="4944C8E8" w:rsidR="005E3EF6" w:rsidRPr="005E3EF6" w:rsidRDefault="00EA20CF" w:rsidP="005E3EF6">
            <w:pPr>
              <w:spacing w:after="0"/>
            </w:pPr>
            <w:r w:rsidRPr="005E3EF6">
              <w:t>A city may allow the refinancing of the mortgage, for example to obtain a lower interest rate or to pay off another loan but restrict the ability to obtain cash from the refinance.  The public agency may require prior approval and require the homeowner to pay a fee or administrative costs involved in the public agency's review and approval of a proposed loan refinance.</w:t>
            </w:r>
          </w:p>
        </w:tc>
      </w:tr>
      <w:tr w:rsidR="00431291" w14:paraId="60543DF9" w14:textId="77777777" w:rsidTr="00431291">
        <w:trPr>
          <w:cnfStyle w:val="000000100000" w:firstRow="0" w:lastRow="0" w:firstColumn="0" w:lastColumn="0" w:oddVBand="0" w:evenVBand="0" w:oddHBand="1" w:evenHBand="0" w:firstRowFirstColumn="0" w:firstRowLastColumn="0" w:lastRowFirstColumn="0" w:lastRowLastColumn="0"/>
          <w:trHeight w:val="43"/>
        </w:trPr>
        <w:tc>
          <w:tcPr>
            <w:tcW w:w="3325" w:type="dxa"/>
          </w:tcPr>
          <w:p w14:paraId="15435F37" w14:textId="2C0E923A" w:rsidR="005E3EF6" w:rsidRPr="005E3EF6" w:rsidRDefault="00EA20CF" w:rsidP="005E3EF6">
            <w:pPr>
              <w:tabs>
                <w:tab w:val="num" w:pos="360"/>
              </w:tabs>
              <w:spacing w:after="0"/>
            </w:pPr>
            <w:r w:rsidRPr="005E3EF6">
              <w:t>Insurance requirements</w:t>
            </w:r>
          </w:p>
        </w:tc>
        <w:tc>
          <w:tcPr>
            <w:tcW w:w="7470" w:type="dxa"/>
          </w:tcPr>
          <w:p w14:paraId="54A8871D" w14:textId="6B354643" w:rsidR="005E3EF6" w:rsidRPr="005E3EF6" w:rsidRDefault="00EA20CF" w:rsidP="005E3EF6">
            <w:pPr>
              <w:spacing w:after="0"/>
            </w:pPr>
            <w:r w:rsidRPr="005E3EF6">
              <w:t>This section provides insurance requirements and how insurance proceeds are to be used.  A city often will require that it named as an additional insured.</w:t>
            </w:r>
          </w:p>
        </w:tc>
      </w:tr>
      <w:tr w:rsidR="00431291" w14:paraId="3847F019" w14:textId="77777777" w:rsidTr="00431291">
        <w:trPr>
          <w:trHeight w:val="43"/>
        </w:trPr>
        <w:tc>
          <w:tcPr>
            <w:tcW w:w="3325" w:type="dxa"/>
          </w:tcPr>
          <w:p w14:paraId="1ADA5C84" w14:textId="1916C2E7" w:rsidR="005E3EF6" w:rsidRPr="005E3EF6" w:rsidRDefault="00EA20CF" w:rsidP="005E3EF6">
            <w:pPr>
              <w:tabs>
                <w:tab w:val="num" w:pos="360"/>
              </w:tabs>
              <w:spacing w:after="0"/>
            </w:pPr>
            <w:r w:rsidRPr="005E3EF6">
              <w:t>Buyer's consent to the option to purchase</w:t>
            </w:r>
          </w:p>
        </w:tc>
        <w:tc>
          <w:tcPr>
            <w:tcW w:w="7470" w:type="dxa"/>
          </w:tcPr>
          <w:p w14:paraId="461BEC60" w14:textId="3FA430C7" w:rsidR="005E3EF6" w:rsidRPr="005E3EF6" w:rsidRDefault="00EA20CF" w:rsidP="005E3EF6">
            <w:pPr>
              <w:spacing w:after="0"/>
            </w:pPr>
            <w:r w:rsidRPr="005E3EF6">
              <w:t>Because the city is providing an option for it to purchase the property under limited circumstances, there should be an express agreement from the buyer.  This section should also specify under what circumstances the city may exercise the option and whether it may assign the option to another individual or entity.</w:t>
            </w:r>
          </w:p>
        </w:tc>
      </w:tr>
      <w:tr w:rsidR="00431291" w14:paraId="417107DB" w14:textId="77777777" w:rsidTr="00431291">
        <w:trPr>
          <w:cnfStyle w:val="000000100000" w:firstRow="0" w:lastRow="0" w:firstColumn="0" w:lastColumn="0" w:oddVBand="0" w:evenVBand="0" w:oddHBand="1" w:evenHBand="0" w:firstRowFirstColumn="0" w:firstRowLastColumn="0" w:lastRowFirstColumn="0" w:lastRowLastColumn="0"/>
          <w:trHeight w:val="43"/>
        </w:trPr>
        <w:tc>
          <w:tcPr>
            <w:tcW w:w="3325" w:type="dxa"/>
          </w:tcPr>
          <w:p w14:paraId="3AD2C507" w14:textId="4D8860A1" w:rsidR="005E3EF6" w:rsidRPr="005E3EF6" w:rsidRDefault="00EA20CF" w:rsidP="005E3EF6">
            <w:pPr>
              <w:tabs>
                <w:tab w:val="num" w:pos="360"/>
              </w:tabs>
              <w:spacing w:after="0"/>
            </w:pPr>
            <w:r w:rsidRPr="005E3EF6">
              <w:t>Amendments</w:t>
            </w:r>
          </w:p>
        </w:tc>
        <w:tc>
          <w:tcPr>
            <w:tcW w:w="7470" w:type="dxa"/>
          </w:tcPr>
          <w:p w14:paraId="42DD5E22" w14:textId="226CA7A4" w:rsidR="005E3EF6" w:rsidRPr="005E3EF6" w:rsidRDefault="00EA20CF" w:rsidP="005E3EF6">
            <w:pPr>
              <w:spacing w:after="0"/>
            </w:pPr>
            <w:r w:rsidRPr="005E3EF6">
              <w:t>Describes steps to amend the agreement, if needed.</w:t>
            </w:r>
          </w:p>
        </w:tc>
      </w:tr>
      <w:tr w:rsidR="00431291" w14:paraId="65AFB05A" w14:textId="77777777" w:rsidTr="00431291">
        <w:trPr>
          <w:trHeight w:val="43"/>
        </w:trPr>
        <w:tc>
          <w:tcPr>
            <w:tcW w:w="3325" w:type="dxa"/>
          </w:tcPr>
          <w:p w14:paraId="28473DAB" w14:textId="58A98A27" w:rsidR="005E3EF6" w:rsidRPr="005E3EF6" w:rsidRDefault="00EA20CF" w:rsidP="005E3EF6">
            <w:pPr>
              <w:tabs>
                <w:tab w:val="num" w:pos="360"/>
              </w:tabs>
              <w:spacing w:after="0"/>
            </w:pPr>
            <w:r w:rsidRPr="005E3EF6">
              <w:t>Default</w:t>
            </w:r>
          </w:p>
        </w:tc>
        <w:tc>
          <w:tcPr>
            <w:tcW w:w="7470" w:type="dxa"/>
          </w:tcPr>
          <w:p w14:paraId="50158C2E" w14:textId="764B967F" w:rsidR="005E3EF6" w:rsidRPr="005E3EF6" w:rsidRDefault="00EA20CF" w:rsidP="005E3EF6">
            <w:pPr>
              <w:spacing w:after="0"/>
            </w:pPr>
            <w:r w:rsidRPr="005E3EF6">
              <w:t>Identifies that constitutes a default under the agreement.  In addition to violating the terms of the agreement, this typically includes a lender's declaration of default, the homeowner's failure to occupy the home as its principal residents, failure to pay property taxes, and a sale or transfer in violation of the restrictions.</w:t>
            </w:r>
          </w:p>
        </w:tc>
      </w:tr>
      <w:tr w:rsidR="00431291" w14:paraId="0277AEE4" w14:textId="77777777" w:rsidTr="00431291">
        <w:trPr>
          <w:cnfStyle w:val="000000100000" w:firstRow="0" w:lastRow="0" w:firstColumn="0" w:lastColumn="0" w:oddVBand="0" w:evenVBand="0" w:oddHBand="1" w:evenHBand="0" w:firstRowFirstColumn="0" w:firstRowLastColumn="0" w:lastRowFirstColumn="0" w:lastRowLastColumn="0"/>
          <w:trHeight w:val="43"/>
        </w:trPr>
        <w:tc>
          <w:tcPr>
            <w:tcW w:w="3325" w:type="dxa"/>
          </w:tcPr>
          <w:p w14:paraId="67348227" w14:textId="4CD98A89" w:rsidR="005E3EF6" w:rsidRPr="007C5921" w:rsidRDefault="00EA20CF" w:rsidP="005E3EF6">
            <w:pPr>
              <w:tabs>
                <w:tab w:val="num" w:pos="360"/>
              </w:tabs>
              <w:spacing w:after="0"/>
            </w:pPr>
            <w:r>
              <w:rPr>
                <w:sz w:val="24"/>
                <w:szCs w:val="24"/>
              </w:rPr>
              <w:t>Remedies in the event of default</w:t>
            </w:r>
          </w:p>
        </w:tc>
        <w:tc>
          <w:tcPr>
            <w:tcW w:w="7470" w:type="dxa"/>
          </w:tcPr>
          <w:p w14:paraId="6471F2AC" w14:textId="50A4821C" w:rsidR="005E3EF6" w:rsidRPr="007C5921" w:rsidRDefault="00EA20CF" w:rsidP="005E3EF6">
            <w:pPr>
              <w:spacing w:after="0"/>
            </w:pPr>
            <w:r>
              <w:rPr>
                <w:sz w:val="24"/>
                <w:szCs w:val="24"/>
              </w:rPr>
              <w:t>Identifies the available remedies if a party defaults, including the city's ability to exercise the option to purchase the home.</w:t>
            </w:r>
          </w:p>
        </w:tc>
      </w:tr>
    </w:tbl>
    <w:p w14:paraId="1B645970" w14:textId="4AB8CD3A" w:rsidR="005E3EF6" w:rsidRDefault="00EA20CF" w:rsidP="005E3EF6">
      <w:pPr>
        <w:pStyle w:val="Heading2"/>
      </w:pPr>
      <w:r>
        <w:t>CONCLUSION</w:t>
      </w:r>
    </w:p>
    <w:p w14:paraId="5B9B8604" w14:textId="709BCF4B" w:rsidR="003F6DE4" w:rsidRPr="003F6DE4" w:rsidRDefault="00EA20CF" w:rsidP="003F6DE4">
      <w:r>
        <w:t>In conclusion, if a city or county adopts an inclusionary housing policy, it should do so through an ordinance that imposes the requirements of the program on new development</w:t>
      </w:r>
      <w:r w:rsidR="00712141">
        <w:t>,</w:t>
      </w:r>
      <w:r>
        <w:t xml:space="preserve"> and it is also a good practice to adopt implementing program guidelines.  Another best practice is to enter into an agreement with the developer, or homeowner if the affordable unit is for sale, restricting the level of affordability and identifying other requirements associated with the affordable unit.  Recording the agreement alerts future buyers of the property to the affordability restrictions on the property to ensure ongoing affordability and provides a mechanism for the city or county to enforce it.</w:t>
      </w:r>
    </w:p>
    <w:p w14:paraId="26F1AD9A" w14:textId="77777777" w:rsidR="003F6DE4" w:rsidRPr="003F6DE4" w:rsidRDefault="003F6DE4" w:rsidP="003F6DE4"/>
    <w:p w14:paraId="5C59474C" w14:textId="77777777" w:rsidR="003F6DE4" w:rsidRPr="003F6DE4" w:rsidRDefault="003F6DE4" w:rsidP="003F6DE4"/>
    <w:p w14:paraId="749FC5DB" w14:textId="77777777" w:rsidR="003F6DE4" w:rsidRPr="003F6DE4" w:rsidRDefault="003F6DE4" w:rsidP="003F6DE4"/>
    <w:p w14:paraId="4598888A" w14:textId="77777777" w:rsidR="003F6DE4" w:rsidRPr="003F6DE4" w:rsidRDefault="003F6DE4" w:rsidP="003F6DE4"/>
    <w:p w14:paraId="29C5D2EF" w14:textId="77777777" w:rsidR="003F6DE4" w:rsidRPr="003F6DE4" w:rsidRDefault="003F6DE4" w:rsidP="003F6DE4"/>
    <w:sectPr w:rsidR="003F6DE4" w:rsidRPr="003F6DE4" w:rsidSect="00B77630">
      <w:footerReference w:type="even" r:id="rId11"/>
      <w:footerReference w:type="default" r:id="rId12"/>
      <w:footerReference w:type="first" r:id="rId13"/>
      <w:pgSz w:w="12240" w:h="15840"/>
      <w:pgMar w:top="720" w:right="720" w:bottom="720" w:left="720" w:header="864" w:footer="720" w:gutter="0"/>
      <w:paperSrc w:first="257" w:other="2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11633" w14:textId="77777777" w:rsidR="007F303B" w:rsidRDefault="007F303B">
      <w:pPr>
        <w:spacing w:after="0" w:line="240" w:lineRule="auto"/>
      </w:pPr>
      <w:r>
        <w:separator/>
      </w:r>
    </w:p>
  </w:endnote>
  <w:endnote w:type="continuationSeparator" w:id="0">
    <w:p w14:paraId="4841531E" w14:textId="77777777" w:rsidR="007F303B" w:rsidRDefault="007F3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9533" w14:textId="77777777" w:rsidR="003444D7" w:rsidRDefault="003444D7" w:rsidP="00BB417C">
    <w:pPr>
      <w:pStyle w:val="Footer"/>
    </w:pPr>
  </w:p>
  <w:p w14:paraId="4B3D0920" w14:textId="6FA4AAC1" w:rsidR="003444D7" w:rsidRDefault="00EA20CF" w:rsidP="00BB417C">
    <w:pPr>
      <w:pStyle w:val="DocID"/>
    </w:pPr>
    <w:r>
      <w:t>990052\01\3407083.1</w:t>
    </w:r>
  </w:p>
  <w:p w14:paraId="0838F40E" w14:textId="77777777" w:rsidR="004B4873" w:rsidRDefault="004B4873" w:rsidP="00BB417C"/>
  <w:p w14:paraId="2E7FD053" w14:textId="77777777" w:rsidR="00194D57" w:rsidRDefault="00194D57" w:rsidP="00BB417C"/>
  <w:p w14:paraId="1A112EAA" w14:textId="7867D4BE" w:rsidR="004B4873" w:rsidRDefault="00EA20CF" w:rsidP="00CA0B4F">
    <w:pPr>
      <w:pStyle w:val="DocID"/>
    </w:pPr>
    <w:r>
      <w:t>2089\03\3419580.1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908411"/>
      <w:docPartObj>
        <w:docPartGallery w:val="Page Numbers (Bottom of Page)"/>
        <w:docPartUnique/>
      </w:docPartObj>
    </w:sdtPr>
    <w:sdtEndPr>
      <w:rPr>
        <w:rFonts w:cstheme="minorHAnsi"/>
        <w:noProof/>
      </w:rPr>
    </w:sdtEndPr>
    <w:sdtContent>
      <w:p w14:paraId="56647659" w14:textId="744018F5" w:rsidR="004B4873" w:rsidRPr="003F6DE4" w:rsidRDefault="00155E5D" w:rsidP="0015073D">
        <w:pPr>
          <w:pStyle w:val="Footer"/>
          <w:spacing w:before="120" w:after="0"/>
          <w:rPr>
            <w:rFonts w:cstheme="minorHAnsi"/>
          </w:rPr>
        </w:pPr>
        <w:r>
          <w:rPr>
            <w:rFonts w:cstheme="minorHAnsi"/>
          </w:rPr>
          <w:t>5</w:t>
        </w:r>
        <w:r w:rsidR="003F6DE4">
          <w:rPr>
            <w:rFonts w:cstheme="minorHAnsi"/>
          </w:rPr>
          <w:t>/</w:t>
        </w:r>
        <w:r>
          <w:rPr>
            <w:rFonts w:cstheme="minorHAnsi"/>
          </w:rPr>
          <w:t>12</w:t>
        </w:r>
        <w:r w:rsidR="00CA0B4F" w:rsidRPr="003F6DE4">
          <w:rPr>
            <w:rFonts w:cstheme="minorHAnsi"/>
          </w:rPr>
          <w:t>/2</w:t>
        </w:r>
        <w:r>
          <w:rPr>
            <w:rFonts w:cstheme="minorHAnsi"/>
          </w:rPr>
          <w:t>3</w:t>
        </w:r>
        <w:r w:rsidR="00CA0B4F" w:rsidRPr="003F6DE4">
          <w:rPr>
            <w:rFonts w:cstheme="minorHAnsi"/>
          </w:rPr>
          <w:t xml:space="preserve">       </w:t>
        </w:r>
        <w:r w:rsidR="00CA0B4F" w:rsidRPr="003F6DE4">
          <w:rPr>
            <w:rFonts w:cstheme="minorHAnsi"/>
          </w:rPr>
          <w:tab/>
          <w:t xml:space="preserve">                </w:t>
        </w:r>
        <w:r w:rsidR="0015073D" w:rsidRPr="003F6DE4">
          <w:rPr>
            <w:rFonts w:cstheme="minorHAnsi"/>
          </w:rPr>
          <w:tab/>
          <w:t xml:space="preserve">            </w:t>
        </w:r>
        <w:r w:rsidR="003F6DE4">
          <w:rPr>
            <w:rFonts w:cstheme="minorHAnsi"/>
          </w:rPr>
          <w:tab/>
        </w:r>
        <w:r w:rsidR="0015073D" w:rsidRPr="003F6DE4">
          <w:rPr>
            <w:rFonts w:cstheme="minorHAnsi"/>
          </w:rPr>
          <w:t xml:space="preserve">  </w:t>
        </w:r>
        <w:sdt>
          <w:sdtPr>
            <w:rPr>
              <w:rFonts w:cstheme="minorHAnsi"/>
            </w:rPr>
            <w:id w:val="-671020340"/>
            <w:docPartObj>
              <w:docPartGallery w:val="Page Numbers (Bottom of Page)"/>
              <w:docPartUnique/>
            </w:docPartObj>
          </w:sdtPr>
          <w:sdtEndPr>
            <w:rPr>
              <w:noProof/>
            </w:rPr>
          </w:sdtEndPr>
          <w:sdtContent>
            <w:r w:rsidR="00BB417C" w:rsidRPr="003F6DE4">
              <w:rPr>
                <w:rFonts w:cstheme="minorHAnsi"/>
              </w:rPr>
              <w:fldChar w:fldCharType="begin"/>
            </w:r>
            <w:r w:rsidR="00BB417C" w:rsidRPr="003F6DE4">
              <w:rPr>
                <w:rFonts w:cstheme="minorHAnsi"/>
              </w:rPr>
              <w:instrText xml:space="preserve"> PAGE   \* MERGEFORMAT </w:instrText>
            </w:r>
            <w:r w:rsidR="00BB417C" w:rsidRPr="003F6DE4">
              <w:rPr>
                <w:rFonts w:cstheme="minorHAnsi"/>
              </w:rPr>
              <w:fldChar w:fldCharType="separate"/>
            </w:r>
            <w:r w:rsidR="00BB417C" w:rsidRPr="003F6DE4">
              <w:rPr>
                <w:rFonts w:cstheme="minorHAnsi"/>
              </w:rPr>
              <w:t>2</w:t>
            </w:r>
            <w:r w:rsidR="00BB417C" w:rsidRPr="003F6DE4">
              <w:rPr>
                <w:rFonts w:cstheme="minorHAnsi"/>
                <w:noProof/>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212E" w14:textId="3E8384F2" w:rsidR="003444D7" w:rsidRPr="00CA0B4F" w:rsidRDefault="00EA20CF" w:rsidP="0015073D">
    <w:pPr>
      <w:pStyle w:val="Footer"/>
      <w:tabs>
        <w:tab w:val="clear" w:pos="4680"/>
        <w:tab w:val="clear" w:pos="9360"/>
        <w:tab w:val="right" w:pos="10800"/>
      </w:tabs>
      <w:spacing w:before="120" w:after="0"/>
      <w:rPr>
        <w:rFonts w:ascii="Times New Roman" w:hAnsi="Times New Roman" w:cs="Times New Roman"/>
        <w:noProof/>
        <w:sz w:val="16"/>
        <w:szCs w:val="24"/>
      </w:rPr>
    </w:pPr>
    <w:r w:rsidRPr="00CA0B4F">
      <w:rPr>
        <w:rFonts w:ascii="Times New Roman" w:hAnsi="Times New Roman" w:cs="Times New Roman"/>
        <w:sz w:val="16"/>
        <w:szCs w:val="24"/>
      </w:rPr>
      <w:t>12/9/22</w:t>
    </w:r>
    <w:r w:rsidR="00CA0B4F">
      <w:tab/>
    </w:r>
    <w:r w:rsidR="00CA0B4F">
      <w:tab/>
      <w:t xml:space="preserve">                </w:t>
    </w:r>
    <w:sdt>
      <w:sdtPr>
        <w:rPr>
          <w:rFonts w:ascii="Times New Roman" w:hAnsi="Times New Roman" w:cs="Times New Roman"/>
          <w:sz w:val="16"/>
          <w:szCs w:val="24"/>
        </w:rPr>
        <w:id w:val="-178583713"/>
        <w:docPartObj>
          <w:docPartGallery w:val="Page Numbers (Bottom of Page)"/>
          <w:docPartUnique/>
        </w:docPartObj>
      </w:sdtPr>
      <w:sdtEndPr>
        <w:rPr>
          <w:noProof/>
        </w:rPr>
      </w:sdtEndPr>
      <w:sdtContent>
        <w:r w:rsidR="00BB417C" w:rsidRPr="00CA0B4F">
          <w:rPr>
            <w:rFonts w:ascii="Times New Roman" w:hAnsi="Times New Roman" w:cs="Times New Roman"/>
            <w:sz w:val="16"/>
            <w:szCs w:val="24"/>
          </w:rPr>
          <w:fldChar w:fldCharType="begin"/>
        </w:r>
        <w:r w:rsidR="00BB417C" w:rsidRPr="00CA0B4F">
          <w:rPr>
            <w:rFonts w:ascii="Times New Roman" w:hAnsi="Times New Roman" w:cs="Times New Roman"/>
            <w:sz w:val="16"/>
            <w:szCs w:val="24"/>
          </w:rPr>
          <w:instrText xml:space="preserve"> PAGE   \* MERGEFORMAT </w:instrText>
        </w:r>
        <w:r w:rsidR="00BB417C" w:rsidRPr="00CA0B4F">
          <w:rPr>
            <w:rFonts w:ascii="Times New Roman" w:hAnsi="Times New Roman" w:cs="Times New Roman"/>
            <w:sz w:val="16"/>
            <w:szCs w:val="24"/>
          </w:rPr>
          <w:fldChar w:fldCharType="separate"/>
        </w:r>
        <w:r w:rsidR="00BB417C" w:rsidRPr="00CA0B4F">
          <w:rPr>
            <w:rFonts w:ascii="Times New Roman" w:hAnsi="Times New Roman" w:cs="Times New Roman"/>
            <w:sz w:val="16"/>
            <w:szCs w:val="24"/>
          </w:rPr>
          <w:t>2</w:t>
        </w:r>
        <w:r w:rsidR="00BB417C" w:rsidRPr="00CA0B4F">
          <w:rPr>
            <w:rFonts w:ascii="Times New Roman" w:hAnsi="Times New Roman" w:cs="Times New Roman"/>
            <w:noProof/>
            <w:sz w:val="16"/>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209CF" w14:textId="77777777" w:rsidR="007F303B" w:rsidRDefault="007F303B" w:rsidP="00BB417C">
      <w:r>
        <w:separator/>
      </w:r>
    </w:p>
  </w:footnote>
  <w:footnote w:type="continuationSeparator" w:id="0">
    <w:p w14:paraId="48B4D0F6" w14:textId="77777777" w:rsidR="007F303B" w:rsidRDefault="007F303B" w:rsidP="00BB417C">
      <w:r>
        <w:continuationSeparator/>
      </w:r>
    </w:p>
    <w:p w14:paraId="5BC140C3" w14:textId="77777777" w:rsidR="007F303B" w:rsidRDefault="007F303B" w:rsidP="00BB417C"/>
    <w:p w14:paraId="1FDE590D" w14:textId="77777777" w:rsidR="007F303B" w:rsidRDefault="007F303B" w:rsidP="00BB417C"/>
  </w:footnote>
  <w:footnote w:id="1">
    <w:p w14:paraId="1E236FC0" w14:textId="77777777" w:rsidR="0034059C" w:rsidRDefault="00EA20CF" w:rsidP="00564710">
      <w:pPr>
        <w:pStyle w:val="FootnoteText"/>
      </w:pPr>
      <w:r>
        <w:rPr>
          <w:rStyle w:val="FootnoteReference"/>
        </w:rPr>
        <w:footnoteRef/>
      </w:r>
      <w:r>
        <w:t xml:space="preserve"> In the Bay Area, 20% moderate can substitute for 10% lower. See § 65913.4</w:t>
      </w:r>
    </w:p>
  </w:footnote>
  <w:footnote w:id="2">
    <w:p w14:paraId="6493F448" w14:textId="77777777" w:rsidR="0034059C" w:rsidRDefault="00EA20CF" w:rsidP="00564710">
      <w:pPr>
        <w:pStyle w:val="FootnoteText"/>
      </w:pPr>
      <w:r>
        <w:rPr>
          <w:rStyle w:val="FootnoteReference"/>
        </w:rPr>
        <w:footnoteRef/>
      </w:r>
      <w:r>
        <w:t xml:space="preserve">‘Base density’ means density without a density bonus. </w:t>
      </w:r>
    </w:p>
  </w:footnote>
  <w:footnote w:id="3">
    <w:p w14:paraId="346971E3" w14:textId="77777777" w:rsidR="0034059C" w:rsidRDefault="00EA20CF" w:rsidP="00564710">
      <w:pPr>
        <w:pStyle w:val="FootnoteText"/>
      </w:pPr>
      <w:r>
        <w:rPr>
          <w:rStyle w:val="FootnoteReference"/>
        </w:rPr>
        <w:footnoteRef/>
      </w:r>
      <w:r>
        <w:t xml:space="preserve"> California Department of Housing and Community Development.</w:t>
      </w:r>
    </w:p>
  </w:footnote>
  <w:footnote w:id="4">
    <w:p w14:paraId="0E0EEFF2" w14:textId="77777777" w:rsidR="0034059C" w:rsidRDefault="00EA20CF" w:rsidP="00564710">
      <w:pPr>
        <w:pStyle w:val="FootnoteText"/>
      </w:pPr>
      <w:r>
        <w:rPr>
          <w:rStyle w:val="FootnoteReference"/>
        </w:rPr>
        <w:footnoteRef/>
      </w:r>
      <w:r>
        <w:t xml:space="preserve"> The statements on this page are inconsistent with HCD’s SB 35 Guidelines and 2022 amendments to SB 35.</w:t>
      </w:r>
    </w:p>
  </w:footnote>
  <w:footnote w:id="5">
    <w:p w14:paraId="72D16248" w14:textId="69537A39" w:rsidR="0034059C" w:rsidRDefault="00EA20CF" w:rsidP="00564710">
      <w:pPr>
        <w:pStyle w:val="FootnoteText"/>
      </w:pPr>
      <w:r>
        <w:rPr>
          <w:rStyle w:val="FootnoteReference"/>
        </w:rPr>
        <w:footnoteRef/>
      </w:r>
      <w:r>
        <w:t xml:space="preserve"> Affordable sales price is calculated after determining a reasonable down payment, with monthly costs, including mortgage, taxes</w:t>
      </w:r>
      <w:r w:rsidR="00D6502C">
        <w:t>, and</w:t>
      </w:r>
      <w:r w:rsidR="001E307B">
        <w:t xml:space="preserve"> homeowner association</w:t>
      </w:r>
      <w:r w:rsidR="00D6502C">
        <w:t xml:space="preserve"> fees</w:t>
      </w:r>
      <w:r w:rsidR="00B40F2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ACAA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9819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9A38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6D454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C628B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258DE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0A5B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566B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E403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50F3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C7776"/>
    <w:multiLevelType w:val="hybridMultilevel"/>
    <w:tmpl w:val="88F0CB58"/>
    <w:lvl w:ilvl="0" w:tplc="CE5C5CBE">
      <w:start w:val="1"/>
      <w:numFmt w:val="bullet"/>
      <w:lvlText w:val=""/>
      <w:lvlJc w:val="left"/>
      <w:pPr>
        <w:ind w:left="720" w:hanging="360"/>
      </w:pPr>
      <w:rPr>
        <w:rFonts w:ascii="Symbol" w:hAnsi="Symbol" w:hint="default"/>
      </w:rPr>
    </w:lvl>
    <w:lvl w:ilvl="1" w:tplc="66C04DB8" w:tentative="1">
      <w:start w:val="1"/>
      <w:numFmt w:val="bullet"/>
      <w:lvlText w:val="o"/>
      <w:lvlJc w:val="left"/>
      <w:pPr>
        <w:ind w:left="1440" w:hanging="360"/>
      </w:pPr>
      <w:rPr>
        <w:rFonts w:ascii="Courier New" w:hAnsi="Courier New" w:cs="Courier New" w:hint="default"/>
      </w:rPr>
    </w:lvl>
    <w:lvl w:ilvl="2" w:tplc="EE2A4F56" w:tentative="1">
      <w:start w:val="1"/>
      <w:numFmt w:val="bullet"/>
      <w:lvlText w:val=""/>
      <w:lvlJc w:val="left"/>
      <w:pPr>
        <w:ind w:left="2160" w:hanging="360"/>
      </w:pPr>
      <w:rPr>
        <w:rFonts w:ascii="Wingdings" w:hAnsi="Wingdings" w:hint="default"/>
      </w:rPr>
    </w:lvl>
    <w:lvl w:ilvl="3" w:tplc="E9201C48" w:tentative="1">
      <w:start w:val="1"/>
      <w:numFmt w:val="bullet"/>
      <w:lvlText w:val=""/>
      <w:lvlJc w:val="left"/>
      <w:pPr>
        <w:ind w:left="2880" w:hanging="360"/>
      </w:pPr>
      <w:rPr>
        <w:rFonts w:ascii="Symbol" w:hAnsi="Symbol" w:hint="default"/>
      </w:rPr>
    </w:lvl>
    <w:lvl w:ilvl="4" w:tplc="716CC918" w:tentative="1">
      <w:start w:val="1"/>
      <w:numFmt w:val="bullet"/>
      <w:lvlText w:val="o"/>
      <w:lvlJc w:val="left"/>
      <w:pPr>
        <w:ind w:left="3600" w:hanging="360"/>
      </w:pPr>
      <w:rPr>
        <w:rFonts w:ascii="Courier New" w:hAnsi="Courier New" w:cs="Courier New" w:hint="default"/>
      </w:rPr>
    </w:lvl>
    <w:lvl w:ilvl="5" w:tplc="411C3368" w:tentative="1">
      <w:start w:val="1"/>
      <w:numFmt w:val="bullet"/>
      <w:lvlText w:val=""/>
      <w:lvlJc w:val="left"/>
      <w:pPr>
        <w:ind w:left="4320" w:hanging="360"/>
      </w:pPr>
      <w:rPr>
        <w:rFonts w:ascii="Wingdings" w:hAnsi="Wingdings" w:hint="default"/>
      </w:rPr>
    </w:lvl>
    <w:lvl w:ilvl="6" w:tplc="6FC44EC6" w:tentative="1">
      <w:start w:val="1"/>
      <w:numFmt w:val="bullet"/>
      <w:lvlText w:val=""/>
      <w:lvlJc w:val="left"/>
      <w:pPr>
        <w:ind w:left="5040" w:hanging="360"/>
      </w:pPr>
      <w:rPr>
        <w:rFonts w:ascii="Symbol" w:hAnsi="Symbol" w:hint="default"/>
      </w:rPr>
    </w:lvl>
    <w:lvl w:ilvl="7" w:tplc="75A259D0" w:tentative="1">
      <w:start w:val="1"/>
      <w:numFmt w:val="bullet"/>
      <w:lvlText w:val="o"/>
      <w:lvlJc w:val="left"/>
      <w:pPr>
        <w:ind w:left="5760" w:hanging="360"/>
      </w:pPr>
      <w:rPr>
        <w:rFonts w:ascii="Courier New" w:hAnsi="Courier New" w:cs="Courier New" w:hint="default"/>
      </w:rPr>
    </w:lvl>
    <w:lvl w:ilvl="8" w:tplc="1C2E8FC8" w:tentative="1">
      <w:start w:val="1"/>
      <w:numFmt w:val="bullet"/>
      <w:lvlText w:val=""/>
      <w:lvlJc w:val="left"/>
      <w:pPr>
        <w:ind w:left="6480" w:hanging="360"/>
      </w:pPr>
      <w:rPr>
        <w:rFonts w:ascii="Wingdings" w:hAnsi="Wingdings" w:hint="default"/>
      </w:rPr>
    </w:lvl>
  </w:abstractNum>
  <w:abstractNum w:abstractNumId="11" w15:restartNumberingAfterBreak="0">
    <w:nsid w:val="065F0B8E"/>
    <w:multiLevelType w:val="hybridMultilevel"/>
    <w:tmpl w:val="2370C990"/>
    <w:lvl w:ilvl="0" w:tplc="B36CB596">
      <w:start w:val="1"/>
      <w:numFmt w:val="decimal"/>
      <w:lvlText w:val="%1."/>
      <w:lvlJc w:val="left"/>
      <w:pPr>
        <w:ind w:left="322" w:hanging="360"/>
      </w:pPr>
      <w:rPr>
        <w:rFonts w:hint="default"/>
      </w:rPr>
    </w:lvl>
    <w:lvl w:ilvl="1" w:tplc="D4C05BEC" w:tentative="1">
      <w:start w:val="1"/>
      <w:numFmt w:val="lowerLetter"/>
      <w:lvlText w:val="%2."/>
      <w:lvlJc w:val="left"/>
      <w:pPr>
        <w:ind w:left="1421" w:hanging="360"/>
      </w:pPr>
    </w:lvl>
    <w:lvl w:ilvl="2" w:tplc="CFA45C94" w:tentative="1">
      <w:start w:val="1"/>
      <w:numFmt w:val="lowerRoman"/>
      <w:lvlText w:val="%3."/>
      <w:lvlJc w:val="right"/>
      <w:pPr>
        <w:ind w:left="2141" w:hanging="180"/>
      </w:pPr>
    </w:lvl>
    <w:lvl w:ilvl="3" w:tplc="1C623BD2" w:tentative="1">
      <w:start w:val="1"/>
      <w:numFmt w:val="decimal"/>
      <w:lvlText w:val="%4."/>
      <w:lvlJc w:val="left"/>
      <w:pPr>
        <w:ind w:left="2861" w:hanging="360"/>
      </w:pPr>
    </w:lvl>
    <w:lvl w:ilvl="4" w:tplc="75048DFE" w:tentative="1">
      <w:start w:val="1"/>
      <w:numFmt w:val="lowerLetter"/>
      <w:lvlText w:val="%5."/>
      <w:lvlJc w:val="left"/>
      <w:pPr>
        <w:ind w:left="3581" w:hanging="360"/>
      </w:pPr>
    </w:lvl>
    <w:lvl w:ilvl="5" w:tplc="D32A884E" w:tentative="1">
      <w:start w:val="1"/>
      <w:numFmt w:val="lowerRoman"/>
      <w:lvlText w:val="%6."/>
      <w:lvlJc w:val="right"/>
      <w:pPr>
        <w:ind w:left="4301" w:hanging="180"/>
      </w:pPr>
    </w:lvl>
    <w:lvl w:ilvl="6" w:tplc="C3C87AB8" w:tentative="1">
      <w:start w:val="1"/>
      <w:numFmt w:val="decimal"/>
      <w:lvlText w:val="%7."/>
      <w:lvlJc w:val="left"/>
      <w:pPr>
        <w:ind w:left="5021" w:hanging="360"/>
      </w:pPr>
    </w:lvl>
    <w:lvl w:ilvl="7" w:tplc="4D5AED3A" w:tentative="1">
      <w:start w:val="1"/>
      <w:numFmt w:val="lowerLetter"/>
      <w:lvlText w:val="%8."/>
      <w:lvlJc w:val="left"/>
      <w:pPr>
        <w:ind w:left="5741" w:hanging="360"/>
      </w:pPr>
    </w:lvl>
    <w:lvl w:ilvl="8" w:tplc="917A825C" w:tentative="1">
      <w:start w:val="1"/>
      <w:numFmt w:val="lowerRoman"/>
      <w:lvlText w:val="%9."/>
      <w:lvlJc w:val="right"/>
      <w:pPr>
        <w:ind w:left="6461" w:hanging="180"/>
      </w:pPr>
    </w:lvl>
  </w:abstractNum>
  <w:abstractNum w:abstractNumId="12" w15:restartNumberingAfterBreak="0">
    <w:nsid w:val="0B782B32"/>
    <w:multiLevelType w:val="hybridMultilevel"/>
    <w:tmpl w:val="80F25256"/>
    <w:lvl w:ilvl="0" w:tplc="05A01D9C">
      <w:start w:val="1"/>
      <w:numFmt w:val="decimal"/>
      <w:lvlText w:val="%1."/>
      <w:lvlJc w:val="left"/>
      <w:pPr>
        <w:ind w:left="720" w:hanging="360"/>
      </w:pPr>
      <w:rPr>
        <w:rFonts w:hint="default"/>
      </w:rPr>
    </w:lvl>
    <w:lvl w:ilvl="1" w:tplc="5044AEE0" w:tentative="1">
      <w:start w:val="1"/>
      <w:numFmt w:val="lowerLetter"/>
      <w:lvlText w:val="%2."/>
      <w:lvlJc w:val="left"/>
      <w:pPr>
        <w:ind w:left="1440" w:hanging="360"/>
      </w:pPr>
    </w:lvl>
    <w:lvl w:ilvl="2" w:tplc="756AC570" w:tentative="1">
      <w:start w:val="1"/>
      <w:numFmt w:val="lowerRoman"/>
      <w:lvlText w:val="%3."/>
      <w:lvlJc w:val="right"/>
      <w:pPr>
        <w:ind w:left="2160" w:hanging="180"/>
      </w:pPr>
    </w:lvl>
    <w:lvl w:ilvl="3" w:tplc="FAF05EB4" w:tentative="1">
      <w:start w:val="1"/>
      <w:numFmt w:val="decimal"/>
      <w:lvlText w:val="%4."/>
      <w:lvlJc w:val="left"/>
      <w:pPr>
        <w:ind w:left="2880" w:hanging="360"/>
      </w:pPr>
    </w:lvl>
    <w:lvl w:ilvl="4" w:tplc="774C198A" w:tentative="1">
      <w:start w:val="1"/>
      <w:numFmt w:val="lowerLetter"/>
      <w:lvlText w:val="%5."/>
      <w:lvlJc w:val="left"/>
      <w:pPr>
        <w:ind w:left="3600" w:hanging="360"/>
      </w:pPr>
    </w:lvl>
    <w:lvl w:ilvl="5" w:tplc="0742C40A" w:tentative="1">
      <w:start w:val="1"/>
      <w:numFmt w:val="lowerRoman"/>
      <w:lvlText w:val="%6."/>
      <w:lvlJc w:val="right"/>
      <w:pPr>
        <w:ind w:left="4320" w:hanging="180"/>
      </w:pPr>
    </w:lvl>
    <w:lvl w:ilvl="6" w:tplc="36D03056" w:tentative="1">
      <w:start w:val="1"/>
      <w:numFmt w:val="decimal"/>
      <w:lvlText w:val="%7."/>
      <w:lvlJc w:val="left"/>
      <w:pPr>
        <w:ind w:left="5040" w:hanging="360"/>
      </w:pPr>
    </w:lvl>
    <w:lvl w:ilvl="7" w:tplc="CA686D0C" w:tentative="1">
      <w:start w:val="1"/>
      <w:numFmt w:val="lowerLetter"/>
      <w:lvlText w:val="%8."/>
      <w:lvlJc w:val="left"/>
      <w:pPr>
        <w:ind w:left="5760" w:hanging="360"/>
      </w:pPr>
    </w:lvl>
    <w:lvl w:ilvl="8" w:tplc="DCE28DA8" w:tentative="1">
      <w:start w:val="1"/>
      <w:numFmt w:val="lowerRoman"/>
      <w:lvlText w:val="%9."/>
      <w:lvlJc w:val="right"/>
      <w:pPr>
        <w:ind w:left="6480" w:hanging="180"/>
      </w:pPr>
    </w:lvl>
  </w:abstractNum>
  <w:abstractNum w:abstractNumId="13" w15:restartNumberingAfterBreak="0">
    <w:nsid w:val="0F474706"/>
    <w:multiLevelType w:val="hybridMultilevel"/>
    <w:tmpl w:val="2376C9B8"/>
    <w:lvl w:ilvl="0" w:tplc="8300152A">
      <w:start w:val="1"/>
      <w:numFmt w:val="decimal"/>
      <w:lvlText w:val="%1."/>
      <w:lvlJc w:val="left"/>
      <w:pPr>
        <w:tabs>
          <w:tab w:val="num" w:pos="720"/>
        </w:tabs>
        <w:ind w:left="720" w:hanging="360"/>
      </w:pPr>
      <w:rPr>
        <w:rFonts w:hint="default"/>
      </w:rPr>
    </w:lvl>
    <w:lvl w:ilvl="1" w:tplc="5B7C1D0A" w:tentative="1">
      <w:start w:val="1"/>
      <w:numFmt w:val="lowerLetter"/>
      <w:lvlText w:val="%2."/>
      <w:lvlJc w:val="left"/>
      <w:pPr>
        <w:tabs>
          <w:tab w:val="num" w:pos="1440"/>
        </w:tabs>
        <w:ind w:left="1440" w:hanging="360"/>
      </w:pPr>
    </w:lvl>
    <w:lvl w:ilvl="2" w:tplc="8244ED44" w:tentative="1">
      <w:start w:val="1"/>
      <w:numFmt w:val="lowerRoman"/>
      <w:lvlText w:val="%3."/>
      <w:lvlJc w:val="right"/>
      <w:pPr>
        <w:tabs>
          <w:tab w:val="num" w:pos="2160"/>
        </w:tabs>
        <w:ind w:left="2160" w:hanging="180"/>
      </w:pPr>
    </w:lvl>
    <w:lvl w:ilvl="3" w:tplc="EA600FEA" w:tentative="1">
      <w:start w:val="1"/>
      <w:numFmt w:val="decimal"/>
      <w:lvlText w:val="%4."/>
      <w:lvlJc w:val="left"/>
      <w:pPr>
        <w:tabs>
          <w:tab w:val="num" w:pos="2880"/>
        </w:tabs>
        <w:ind w:left="2880" w:hanging="360"/>
      </w:pPr>
    </w:lvl>
    <w:lvl w:ilvl="4" w:tplc="DB20FDD8" w:tentative="1">
      <w:start w:val="1"/>
      <w:numFmt w:val="lowerLetter"/>
      <w:lvlText w:val="%5."/>
      <w:lvlJc w:val="left"/>
      <w:pPr>
        <w:tabs>
          <w:tab w:val="num" w:pos="3600"/>
        </w:tabs>
        <w:ind w:left="3600" w:hanging="360"/>
      </w:pPr>
    </w:lvl>
    <w:lvl w:ilvl="5" w:tplc="0BA4073A" w:tentative="1">
      <w:start w:val="1"/>
      <w:numFmt w:val="lowerRoman"/>
      <w:lvlText w:val="%6."/>
      <w:lvlJc w:val="right"/>
      <w:pPr>
        <w:tabs>
          <w:tab w:val="num" w:pos="4320"/>
        </w:tabs>
        <w:ind w:left="4320" w:hanging="180"/>
      </w:pPr>
    </w:lvl>
    <w:lvl w:ilvl="6" w:tplc="9716CD64" w:tentative="1">
      <w:start w:val="1"/>
      <w:numFmt w:val="decimal"/>
      <w:lvlText w:val="%7."/>
      <w:lvlJc w:val="left"/>
      <w:pPr>
        <w:tabs>
          <w:tab w:val="num" w:pos="5040"/>
        </w:tabs>
        <w:ind w:left="5040" w:hanging="360"/>
      </w:pPr>
    </w:lvl>
    <w:lvl w:ilvl="7" w:tplc="15967956" w:tentative="1">
      <w:start w:val="1"/>
      <w:numFmt w:val="lowerLetter"/>
      <w:lvlText w:val="%8."/>
      <w:lvlJc w:val="left"/>
      <w:pPr>
        <w:tabs>
          <w:tab w:val="num" w:pos="5760"/>
        </w:tabs>
        <w:ind w:left="5760" w:hanging="360"/>
      </w:pPr>
    </w:lvl>
    <w:lvl w:ilvl="8" w:tplc="6FBAA4D0" w:tentative="1">
      <w:start w:val="1"/>
      <w:numFmt w:val="lowerRoman"/>
      <w:lvlText w:val="%9."/>
      <w:lvlJc w:val="right"/>
      <w:pPr>
        <w:tabs>
          <w:tab w:val="num" w:pos="6480"/>
        </w:tabs>
        <w:ind w:left="6480" w:hanging="180"/>
      </w:pPr>
    </w:lvl>
  </w:abstractNum>
  <w:abstractNum w:abstractNumId="14" w15:restartNumberingAfterBreak="0">
    <w:nsid w:val="168929B9"/>
    <w:multiLevelType w:val="hybridMultilevel"/>
    <w:tmpl w:val="9062A0EA"/>
    <w:lvl w:ilvl="0" w:tplc="E6BC63E6">
      <w:start w:val="1"/>
      <w:numFmt w:val="bullet"/>
      <w:lvlText w:val=""/>
      <w:lvlJc w:val="left"/>
      <w:pPr>
        <w:ind w:left="720" w:hanging="360"/>
      </w:pPr>
      <w:rPr>
        <w:rFonts w:ascii="Symbol" w:hAnsi="Symbol" w:hint="default"/>
      </w:rPr>
    </w:lvl>
    <w:lvl w:ilvl="1" w:tplc="016C0844">
      <w:start w:val="1"/>
      <w:numFmt w:val="bullet"/>
      <w:lvlText w:val="o"/>
      <w:lvlJc w:val="left"/>
      <w:pPr>
        <w:ind w:left="1440" w:hanging="360"/>
      </w:pPr>
      <w:rPr>
        <w:rFonts w:ascii="Courier New" w:hAnsi="Courier New" w:cs="Courier New" w:hint="default"/>
      </w:rPr>
    </w:lvl>
    <w:lvl w:ilvl="2" w:tplc="7AA21188">
      <w:start w:val="1"/>
      <w:numFmt w:val="bullet"/>
      <w:lvlText w:val=""/>
      <w:lvlJc w:val="left"/>
      <w:pPr>
        <w:ind w:left="2160" w:hanging="360"/>
      </w:pPr>
      <w:rPr>
        <w:rFonts w:ascii="Wingdings" w:hAnsi="Wingdings" w:hint="default"/>
      </w:rPr>
    </w:lvl>
    <w:lvl w:ilvl="3" w:tplc="CA5CB29C" w:tentative="1">
      <w:start w:val="1"/>
      <w:numFmt w:val="bullet"/>
      <w:lvlText w:val=""/>
      <w:lvlJc w:val="left"/>
      <w:pPr>
        <w:ind w:left="2880" w:hanging="360"/>
      </w:pPr>
      <w:rPr>
        <w:rFonts w:ascii="Symbol" w:hAnsi="Symbol" w:hint="default"/>
      </w:rPr>
    </w:lvl>
    <w:lvl w:ilvl="4" w:tplc="7BB655EA" w:tentative="1">
      <w:start w:val="1"/>
      <w:numFmt w:val="bullet"/>
      <w:lvlText w:val="o"/>
      <w:lvlJc w:val="left"/>
      <w:pPr>
        <w:ind w:left="3600" w:hanging="360"/>
      </w:pPr>
      <w:rPr>
        <w:rFonts w:ascii="Courier New" w:hAnsi="Courier New" w:cs="Courier New" w:hint="default"/>
      </w:rPr>
    </w:lvl>
    <w:lvl w:ilvl="5" w:tplc="878457DA" w:tentative="1">
      <w:start w:val="1"/>
      <w:numFmt w:val="bullet"/>
      <w:lvlText w:val=""/>
      <w:lvlJc w:val="left"/>
      <w:pPr>
        <w:ind w:left="4320" w:hanging="360"/>
      </w:pPr>
      <w:rPr>
        <w:rFonts w:ascii="Wingdings" w:hAnsi="Wingdings" w:hint="default"/>
      </w:rPr>
    </w:lvl>
    <w:lvl w:ilvl="6" w:tplc="DB12C1D4" w:tentative="1">
      <w:start w:val="1"/>
      <w:numFmt w:val="bullet"/>
      <w:lvlText w:val=""/>
      <w:lvlJc w:val="left"/>
      <w:pPr>
        <w:ind w:left="5040" w:hanging="360"/>
      </w:pPr>
      <w:rPr>
        <w:rFonts w:ascii="Symbol" w:hAnsi="Symbol" w:hint="default"/>
      </w:rPr>
    </w:lvl>
    <w:lvl w:ilvl="7" w:tplc="5CC2E5E2" w:tentative="1">
      <w:start w:val="1"/>
      <w:numFmt w:val="bullet"/>
      <w:lvlText w:val="o"/>
      <w:lvlJc w:val="left"/>
      <w:pPr>
        <w:ind w:left="5760" w:hanging="360"/>
      </w:pPr>
      <w:rPr>
        <w:rFonts w:ascii="Courier New" w:hAnsi="Courier New" w:cs="Courier New" w:hint="default"/>
      </w:rPr>
    </w:lvl>
    <w:lvl w:ilvl="8" w:tplc="B1467776" w:tentative="1">
      <w:start w:val="1"/>
      <w:numFmt w:val="bullet"/>
      <w:lvlText w:val=""/>
      <w:lvlJc w:val="left"/>
      <w:pPr>
        <w:ind w:left="6480" w:hanging="360"/>
      </w:pPr>
      <w:rPr>
        <w:rFonts w:ascii="Wingdings" w:hAnsi="Wingdings" w:hint="default"/>
      </w:rPr>
    </w:lvl>
  </w:abstractNum>
  <w:abstractNum w:abstractNumId="15" w15:restartNumberingAfterBreak="0">
    <w:nsid w:val="1BCA4A24"/>
    <w:multiLevelType w:val="hybridMultilevel"/>
    <w:tmpl w:val="24D8C9F2"/>
    <w:lvl w:ilvl="0" w:tplc="2FF06D90">
      <w:start w:val="1"/>
      <w:numFmt w:val="decimal"/>
      <w:lvlText w:val="%1."/>
      <w:lvlJc w:val="left"/>
      <w:pPr>
        <w:ind w:left="720" w:hanging="360"/>
      </w:pPr>
    </w:lvl>
    <w:lvl w:ilvl="1" w:tplc="899457C6" w:tentative="1">
      <w:start w:val="1"/>
      <w:numFmt w:val="lowerLetter"/>
      <w:lvlText w:val="%2."/>
      <w:lvlJc w:val="left"/>
      <w:pPr>
        <w:ind w:left="1440" w:hanging="360"/>
      </w:pPr>
    </w:lvl>
    <w:lvl w:ilvl="2" w:tplc="B262F268" w:tentative="1">
      <w:start w:val="1"/>
      <w:numFmt w:val="lowerRoman"/>
      <w:lvlText w:val="%3."/>
      <w:lvlJc w:val="right"/>
      <w:pPr>
        <w:ind w:left="2160" w:hanging="180"/>
      </w:pPr>
    </w:lvl>
    <w:lvl w:ilvl="3" w:tplc="4B206970" w:tentative="1">
      <w:start w:val="1"/>
      <w:numFmt w:val="decimal"/>
      <w:lvlText w:val="%4."/>
      <w:lvlJc w:val="left"/>
      <w:pPr>
        <w:ind w:left="2880" w:hanging="360"/>
      </w:pPr>
    </w:lvl>
    <w:lvl w:ilvl="4" w:tplc="7ACAF362" w:tentative="1">
      <w:start w:val="1"/>
      <w:numFmt w:val="lowerLetter"/>
      <w:lvlText w:val="%5."/>
      <w:lvlJc w:val="left"/>
      <w:pPr>
        <w:ind w:left="3600" w:hanging="360"/>
      </w:pPr>
    </w:lvl>
    <w:lvl w:ilvl="5" w:tplc="AF38A9FE" w:tentative="1">
      <w:start w:val="1"/>
      <w:numFmt w:val="lowerRoman"/>
      <w:lvlText w:val="%6."/>
      <w:lvlJc w:val="right"/>
      <w:pPr>
        <w:ind w:left="4320" w:hanging="180"/>
      </w:pPr>
    </w:lvl>
    <w:lvl w:ilvl="6" w:tplc="E1B68B8C" w:tentative="1">
      <w:start w:val="1"/>
      <w:numFmt w:val="decimal"/>
      <w:lvlText w:val="%7."/>
      <w:lvlJc w:val="left"/>
      <w:pPr>
        <w:ind w:left="5040" w:hanging="360"/>
      </w:pPr>
    </w:lvl>
    <w:lvl w:ilvl="7" w:tplc="DD187C40" w:tentative="1">
      <w:start w:val="1"/>
      <w:numFmt w:val="lowerLetter"/>
      <w:lvlText w:val="%8."/>
      <w:lvlJc w:val="left"/>
      <w:pPr>
        <w:ind w:left="5760" w:hanging="360"/>
      </w:pPr>
    </w:lvl>
    <w:lvl w:ilvl="8" w:tplc="28441872" w:tentative="1">
      <w:start w:val="1"/>
      <w:numFmt w:val="lowerRoman"/>
      <w:lvlText w:val="%9."/>
      <w:lvlJc w:val="right"/>
      <w:pPr>
        <w:ind w:left="6480" w:hanging="180"/>
      </w:pPr>
    </w:lvl>
  </w:abstractNum>
  <w:abstractNum w:abstractNumId="16" w15:restartNumberingAfterBreak="0">
    <w:nsid w:val="2EF6561D"/>
    <w:multiLevelType w:val="multilevel"/>
    <w:tmpl w:val="88362080"/>
    <w:lvl w:ilvl="0">
      <w:start w:val="1"/>
      <w:numFmt w:val="decimal"/>
      <w:lvlText w:val="%1."/>
      <w:lvlJc w:val="left"/>
      <w:pPr>
        <w:tabs>
          <w:tab w:val="num" w:pos="720"/>
        </w:tabs>
        <w:ind w:left="0" w:firstLine="720"/>
      </w:pPr>
      <w:rPr>
        <w:rFonts w:ascii="Times New Roman" w:hAnsi="Times New Roman" w:hint="default"/>
        <w:b w:val="0"/>
        <w:i w:val="0"/>
        <w:sz w:val="24"/>
        <w:szCs w:val="24"/>
      </w:rPr>
    </w:lvl>
    <w:lvl w:ilvl="1">
      <w:start w:val="1"/>
      <w:numFmt w:val="lowerLetter"/>
      <w:lvlText w:val="%2."/>
      <w:lvlJc w:val="left"/>
      <w:pPr>
        <w:tabs>
          <w:tab w:val="num" w:pos="1440"/>
        </w:tabs>
        <w:ind w:left="0" w:firstLine="1440"/>
      </w:pPr>
      <w:rPr>
        <w:rFonts w:ascii="Times New Roman" w:hAnsi="Times New Roman" w:hint="default"/>
        <w:b w:val="0"/>
        <w:i w:val="0"/>
        <w:sz w:val="24"/>
        <w:szCs w:val="24"/>
      </w:rPr>
    </w:lvl>
    <w:lvl w:ilvl="2">
      <w:start w:val="1"/>
      <w:numFmt w:val="lowerRoman"/>
      <w:lvlText w:val="%3."/>
      <w:lvlJc w:val="left"/>
      <w:pPr>
        <w:tabs>
          <w:tab w:val="num" w:pos="2160"/>
        </w:tabs>
        <w:ind w:left="0" w:firstLine="2160"/>
      </w:pPr>
      <w:rPr>
        <w:rFonts w:ascii="Times New Roman" w:hAnsi="Times New Roman" w:hint="default"/>
        <w:b w:val="0"/>
        <w:i w:val="0"/>
        <w:sz w:val="24"/>
        <w:szCs w:val="24"/>
      </w:rPr>
    </w:lvl>
    <w:lvl w:ilvl="3">
      <w:start w:val="1"/>
      <w:numFmt w:val="decimal"/>
      <w:lvlText w:val="(%4)"/>
      <w:lvlJc w:val="left"/>
      <w:pPr>
        <w:tabs>
          <w:tab w:val="num" w:pos="2880"/>
        </w:tabs>
        <w:ind w:left="0" w:firstLine="2880"/>
      </w:pPr>
      <w:rPr>
        <w:rFonts w:ascii="Times New Roman" w:hAnsi="Times New Roman" w:hint="default"/>
        <w:b w:val="0"/>
        <w:i w:val="0"/>
        <w:sz w:val="24"/>
        <w:szCs w:val="24"/>
      </w:rPr>
    </w:lvl>
    <w:lvl w:ilvl="4">
      <w:start w:val="1"/>
      <w:numFmt w:val="lowerLetter"/>
      <w:pStyle w:val="Heading5"/>
      <w:lvlText w:val="(%5)"/>
      <w:lvlJc w:val="left"/>
      <w:pPr>
        <w:tabs>
          <w:tab w:val="num" w:pos="3600"/>
        </w:tabs>
        <w:ind w:left="0" w:firstLine="3600"/>
      </w:pPr>
      <w:rPr>
        <w:rFonts w:ascii="Times New Roman" w:hAnsi="Times New Roman" w:hint="default"/>
        <w:b w:val="0"/>
        <w:i w:val="0"/>
        <w:sz w:val="24"/>
        <w:szCs w:val="24"/>
      </w:rPr>
    </w:lvl>
    <w:lvl w:ilvl="5">
      <w:start w:val="1"/>
      <w:numFmt w:val="lowerRoman"/>
      <w:lvlText w:val="(%6)"/>
      <w:lvlJc w:val="left"/>
      <w:pPr>
        <w:tabs>
          <w:tab w:val="num" w:pos="2520"/>
        </w:tabs>
        <w:ind w:left="0" w:firstLine="4320"/>
      </w:pPr>
      <w:rPr>
        <w:rFonts w:ascii="Times New Roman" w:hAnsi="Times New Roman"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0CC0A2E"/>
    <w:multiLevelType w:val="hybridMultilevel"/>
    <w:tmpl w:val="8460C7A4"/>
    <w:lvl w:ilvl="0" w:tplc="D922A274">
      <w:start w:val="1"/>
      <w:numFmt w:val="decimal"/>
      <w:lvlText w:val="%1."/>
      <w:lvlJc w:val="left"/>
      <w:pPr>
        <w:ind w:left="720" w:hanging="360"/>
      </w:pPr>
      <w:rPr>
        <w:rFonts w:hint="default"/>
      </w:rPr>
    </w:lvl>
    <w:lvl w:ilvl="1" w:tplc="DFECF602" w:tentative="1">
      <w:start w:val="1"/>
      <w:numFmt w:val="lowerLetter"/>
      <w:lvlText w:val="%2."/>
      <w:lvlJc w:val="left"/>
      <w:pPr>
        <w:ind w:left="1440" w:hanging="360"/>
      </w:pPr>
    </w:lvl>
    <w:lvl w:ilvl="2" w:tplc="3EB2B974" w:tentative="1">
      <w:start w:val="1"/>
      <w:numFmt w:val="lowerRoman"/>
      <w:lvlText w:val="%3."/>
      <w:lvlJc w:val="right"/>
      <w:pPr>
        <w:ind w:left="2160" w:hanging="180"/>
      </w:pPr>
    </w:lvl>
    <w:lvl w:ilvl="3" w:tplc="3D928D56" w:tentative="1">
      <w:start w:val="1"/>
      <w:numFmt w:val="decimal"/>
      <w:lvlText w:val="%4."/>
      <w:lvlJc w:val="left"/>
      <w:pPr>
        <w:ind w:left="2880" w:hanging="360"/>
      </w:pPr>
    </w:lvl>
    <w:lvl w:ilvl="4" w:tplc="A9D8399C" w:tentative="1">
      <w:start w:val="1"/>
      <w:numFmt w:val="lowerLetter"/>
      <w:lvlText w:val="%5."/>
      <w:lvlJc w:val="left"/>
      <w:pPr>
        <w:ind w:left="3600" w:hanging="360"/>
      </w:pPr>
    </w:lvl>
    <w:lvl w:ilvl="5" w:tplc="6A70A27E" w:tentative="1">
      <w:start w:val="1"/>
      <w:numFmt w:val="lowerRoman"/>
      <w:lvlText w:val="%6."/>
      <w:lvlJc w:val="right"/>
      <w:pPr>
        <w:ind w:left="4320" w:hanging="180"/>
      </w:pPr>
    </w:lvl>
    <w:lvl w:ilvl="6" w:tplc="60F613B2" w:tentative="1">
      <w:start w:val="1"/>
      <w:numFmt w:val="decimal"/>
      <w:lvlText w:val="%7."/>
      <w:lvlJc w:val="left"/>
      <w:pPr>
        <w:ind w:left="5040" w:hanging="360"/>
      </w:pPr>
    </w:lvl>
    <w:lvl w:ilvl="7" w:tplc="09DC94CC" w:tentative="1">
      <w:start w:val="1"/>
      <w:numFmt w:val="lowerLetter"/>
      <w:lvlText w:val="%8."/>
      <w:lvlJc w:val="left"/>
      <w:pPr>
        <w:ind w:left="5760" w:hanging="360"/>
      </w:pPr>
    </w:lvl>
    <w:lvl w:ilvl="8" w:tplc="F8905178" w:tentative="1">
      <w:start w:val="1"/>
      <w:numFmt w:val="lowerRoman"/>
      <w:lvlText w:val="%9."/>
      <w:lvlJc w:val="right"/>
      <w:pPr>
        <w:ind w:left="6480" w:hanging="180"/>
      </w:pPr>
    </w:lvl>
  </w:abstractNum>
  <w:abstractNum w:abstractNumId="18" w15:restartNumberingAfterBreak="0">
    <w:nsid w:val="4BA37955"/>
    <w:multiLevelType w:val="hybridMultilevel"/>
    <w:tmpl w:val="2376C9B8"/>
    <w:lvl w:ilvl="0" w:tplc="00669F4A">
      <w:start w:val="1"/>
      <w:numFmt w:val="decimal"/>
      <w:lvlText w:val="%1."/>
      <w:lvlJc w:val="left"/>
      <w:pPr>
        <w:tabs>
          <w:tab w:val="num" w:pos="720"/>
        </w:tabs>
        <w:ind w:left="720" w:hanging="360"/>
      </w:pPr>
      <w:rPr>
        <w:rFonts w:hint="default"/>
      </w:rPr>
    </w:lvl>
    <w:lvl w:ilvl="1" w:tplc="468491D4" w:tentative="1">
      <w:start w:val="1"/>
      <w:numFmt w:val="lowerLetter"/>
      <w:lvlText w:val="%2."/>
      <w:lvlJc w:val="left"/>
      <w:pPr>
        <w:tabs>
          <w:tab w:val="num" w:pos="1440"/>
        </w:tabs>
        <w:ind w:left="1440" w:hanging="360"/>
      </w:pPr>
    </w:lvl>
    <w:lvl w:ilvl="2" w:tplc="D7D47442" w:tentative="1">
      <w:start w:val="1"/>
      <w:numFmt w:val="lowerRoman"/>
      <w:lvlText w:val="%3."/>
      <w:lvlJc w:val="right"/>
      <w:pPr>
        <w:tabs>
          <w:tab w:val="num" w:pos="2160"/>
        </w:tabs>
        <w:ind w:left="2160" w:hanging="180"/>
      </w:pPr>
    </w:lvl>
    <w:lvl w:ilvl="3" w:tplc="7EA60602" w:tentative="1">
      <w:start w:val="1"/>
      <w:numFmt w:val="decimal"/>
      <w:lvlText w:val="%4."/>
      <w:lvlJc w:val="left"/>
      <w:pPr>
        <w:tabs>
          <w:tab w:val="num" w:pos="2880"/>
        </w:tabs>
        <w:ind w:left="2880" w:hanging="360"/>
      </w:pPr>
    </w:lvl>
    <w:lvl w:ilvl="4" w:tplc="F02A1BD6" w:tentative="1">
      <w:start w:val="1"/>
      <w:numFmt w:val="lowerLetter"/>
      <w:lvlText w:val="%5."/>
      <w:lvlJc w:val="left"/>
      <w:pPr>
        <w:tabs>
          <w:tab w:val="num" w:pos="3600"/>
        </w:tabs>
        <w:ind w:left="3600" w:hanging="360"/>
      </w:pPr>
    </w:lvl>
    <w:lvl w:ilvl="5" w:tplc="560685BE" w:tentative="1">
      <w:start w:val="1"/>
      <w:numFmt w:val="lowerRoman"/>
      <w:lvlText w:val="%6."/>
      <w:lvlJc w:val="right"/>
      <w:pPr>
        <w:tabs>
          <w:tab w:val="num" w:pos="4320"/>
        </w:tabs>
        <w:ind w:left="4320" w:hanging="180"/>
      </w:pPr>
    </w:lvl>
    <w:lvl w:ilvl="6" w:tplc="4DAEA49A" w:tentative="1">
      <w:start w:val="1"/>
      <w:numFmt w:val="decimal"/>
      <w:lvlText w:val="%7."/>
      <w:lvlJc w:val="left"/>
      <w:pPr>
        <w:tabs>
          <w:tab w:val="num" w:pos="5040"/>
        </w:tabs>
        <w:ind w:left="5040" w:hanging="360"/>
      </w:pPr>
    </w:lvl>
    <w:lvl w:ilvl="7" w:tplc="1376F554" w:tentative="1">
      <w:start w:val="1"/>
      <w:numFmt w:val="lowerLetter"/>
      <w:lvlText w:val="%8."/>
      <w:lvlJc w:val="left"/>
      <w:pPr>
        <w:tabs>
          <w:tab w:val="num" w:pos="5760"/>
        </w:tabs>
        <w:ind w:left="5760" w:hanging="360"/>
      </w:pPr>
    </w:lvl>
    <w:lvl w:ilvl="8" w:tplc="1E5AE5B2" w:tentative="1">
      <w:start w:val="1"/>
      <w:numFmt w:val="lowerRoman"/>
      <w:lvlText w:val="%9."/>
      <w:lvlJc w:val="right"/>
      <w:pPr>
        <w:tabs>
          <w:tab w:val="num" w:pos="6480"/>
        </w:tabs>
        <w:ind w:left="6480" w:hanging="180"/>
      </w:pPr>
    </w:lvl>
  </w:abstractNum>
  <w:abstractNum w:abstractNumId="19" w15:restartNumberingAfterBreak="0">
    <w:nsid w:val="61F83377"/>
    <w:multiLevelType w:val="hybridMultilevel"/>
    <w:tmpl w:val="552E2322"/>
    <w:lvl w:ilvl="0" w:tplc="041C0C48">
      <w:start w:val="1"/>
      <w:numFmt w:val="decimal"/>
      <w:lvlText w:val="%1."/>
      <w:lvlJc w:val="left"/>
      <w:pPr>
        <w:ind w:left="720" w:hanging="360"/>
      </w:pPr>
    </w:lvl>
    <w:lvl w:ilvl="1" w:tplc="8BCED176" w:tentative="1">
      <w:start w:val="1"/>
      <w:numFmt w:val="lowerLetter"/>
      <w:lvlText w:val="%2."/>
      <w:lvlJc w:val="left"/>
      <w:pPr>
        <w:ind w:left="1440" w:hanging="360"/>
      </w:pPr>
    </w:lvl>
    <w:lvl w:ilvl="2" w:tplc="2174EBB4" w:tentative="1">
      <w:start w:val="1"/>
      <w:numFmt w:val="lowerRoman"/>
      <w:lvlText w:val="%3."/>
      <w:lvlJc w:val="right"/>
      <w:pPr>
        <w:ind w:left="2160" w:hanging="180"/>
      </w:pPr>
    </w:lvl>
    <w:lvl w:ilvl="3" w:tplc="1F988418" w:tentative="1">
      <w:start w:val="1"/>
      <w:numFmt w:val="decimal"/>
      <w:lvlText w:val="%4."/>
      <w:lvlJc w:val="left"/>
      <w:pPr>
        <w:ind w:left="2880" w:hanging="360"/>
      </w:pPr>
    </w:lvl>
    <w:lvl w:ilvl="4" w:tplc="305480E4" w:tentative="1">
      <w:start w:val="1"/>
      <w:numFmt w:val="lowerLetter"/>
      <w:lvlText w:val="%5."/>
      <w:lvlJc w:val="left"/>
      <w:pPr>
        <w:ind w:left="3600" w:hanging="360"/>
      </w:pPr>
    </w:lvl>
    <w:lvl w:ilvl="5" w:tplc="3B1E52DE" w:tentative="1">
      <w:start w:val="1"/>
      <w:numFmt w:val="lowerRoman"/>
      <w:lvlText w:val="%6."/>
      <w:lvlJc w:val="right"/>
      <w:pPr>
        <w:ind w:left="4320" w:hanging="180"/>
      </w:pPr>
    </w:lvl>
    <w:lvl w:ilvl="6" w:tplc="81A06CEC" w:tentative="1">
      <w:start w:val="1"/>
      <w:numFmt w:val="decimal"/>
      <w:lvlText w:val="%7."/>
      <w:lvlJc w:val="left"/>
      <w:pPr>
        <w:ind w:left="5040" w:hanging="360"/>
      </w:pPr>
    </w:lvl>
    <w:lvl w:ilvl="7" w:tplc="39ACD91E" w:tentative="1">
      <w:start w:val="1"/>
      <w:numFmt w:val="lowerLetter"/>
      <w:lvlText w:val="%8."/>
      <w:lvlJc w:val="left"/>
      <w:pPr>
        <w:ind w:left="5760" w:hanging="360"/>
      </w:pPr>
    </w:lvl>
    <w:lvl w:ilvl="8" w:tplc="ECF4FD84" w:tentative="1">
      <w:start w:val="1"/>
      <w:numFmt w:val="lowerRoman"/>
      <w:lvlText w:val="%9."/>
      <w:lvlJc w:val="right"/>
      <w:pPr>
        <w:ind w:left="6480" w:hanging="180"/>
      </w:pPr>
    </w:lvl>
  </w:abstractNum>
  <w:abstractNum w:abstractNumId="20" w15:restartNumberingAfterBreak="0">
    <w:nsid w:val="78FF230B"/>
    <w:multiLevelType w:val="hybridMultilevel"/>
    <w:tmpl w:val="0F021C6E"/>
    <w:lvl w:ilvl="0" w:tplc="97E0FD52">
      <w:start w:val="1"/>
      <w:numFmt w:val="decimal"/>
      <w:lvlText w:val="%1."/>
      <w:lvlJc w:val="left"/>
      <w:pPr>
        <w:ind w:left="720" w:hanging="360"/>
      </w:pPr>
    </w:lvl>
    <w:lvl w:ilvl="1" w:tplc="FD682028" w:tentative="1">
      <w:start w:val="1"/>
      <w:numFmt w:val="lowerLetter"/>
      <w:lvlText w:val="%2."/>
      <w:lvlJc w:val="left"/>
      <w:pPr>
        <w:ind w:left="1440" w:hanging="360"/>
      </w:pPr>
    </w:lvl>
    <w:lvl w:ilvl="2" w:tplc="06D44360" w:tentative="1">
      <w:start w:val="1"/>
      <w:numFmt w:val="lowerRoman"/>
      <w:lvlText w:val="%3."/>
      <w:lvlJc w:val="right"/>
      <w:pPr>
        <w:ind w:left="2160" w:hanging="180"/>
      </w:pPr>
    </w:lvl>
    <w:lvl w:ilvl="3" w:tplc="1682C666" w:tentative="1">
      <w:start w:val="1"/>
      <w:numFmt w:val="decimal"/>
      <w:lvlText w:val="%4."/>
      <w:lvlJc w:val="left"/>
      <w:pPr>
        <w:ind w:left="2880" w:hanging="360"/>
      </w:pPr>
    </w:lvl>
    <w:lvl w:ilvl="4" w:tplc="CBE46C12" w:tentative="1">
      <w:start w:val="1"/>
      <w:numFmt w:val="lowerLetter"/>
      <w:lvlText w:val="%5."/>
      <w:lvlJc w:val="left"/>
      <w:pPr>
        <w:ind w:left="3600" w:hanging="360"/>
      </w:pPr>
    </w:lvl>
    <w:lvl w:ilvl="5" w:tplc="6FE28D2A" w:tentative="1">
      <w:start w:val="1"/>
      <w:numFmt w:val="lowerRoman"/>
      <w:lvlText w:val="%6."/>
      <w:lvlJc w:val="right"/>
      <w:pPr>
        <w:ind w:left="4320" w:hanging="180"/>
      </w:pPr>
    </w:lvl>
    <w:lvl w:ilvl="6" w:tplc="0316AB8C" w:tentative="1">
      <w:start w:val="1"/>
      <w:numFmt w:val="decimal"/>
      <w:lvlText w:val="%7."/>
      <w:lvlJc w:val="left"/>
      <w:pPr>
        <w:ind w:left="5040" w:hanging="360"/>
      </w:pPr>
    </w:lvl>
    <w:lvl w:ilvl="7" w:tplc="95902E3E" w:tentative="1">
      <w:start w:val="1"/>
      <w:numFmt w:val="lowerLetter"/>
      <w:lvlText w:val="%8."/>
      <w:lvlJc w:val="left"/>
      <w:pPr>
        <w:ind w:left="5760" w:hanging="360"/>
      </w:pPr>
    </w:lvl>
    <w:lvl w:ilvl="8" w:tplc="84425726" w:tentative="1">
      <w:start w:val="1"/>
      <w:numFmt w:val="lowerRoman"/>
      <w:lvlText w:val="%9."/>
      <w:lvlJc w:val="right"/>
      <w:pPr>
        <w:ind w:left="6480" w:hanging="180"/>
      </w:pPr>
    </w:lvl>
  </w:abstractNum>
  <w:abstractNum w:abstractNumId="21" w15:restartNumberingAfterBreak="0">
    <w:nsid w:val="7A69570E"/>
    <w:multiLevelType w:val="hybridMultilevel"/>
    <w:tmpl w:val="E7647550"/>
    <w:lvl w:ilvl="0" w:tplc="F0DA6874">
      <w:start w:val="1"/>
      <w:numFmt w:val="decimal"/>
      <w:lvlText w:val="%1."/>
      <w:lvlJc w:val="left"/>
      <w:pPr>
        <w:ind w:left="341" w:hanging="360"/>
      </w:pPr>
      <w:rPr>
        <w:rFonts w:hint="default"/>
      </w:rPr>
    </w:lvl>
    <w:lvl w:ilvl="1" w:tplc="A2540096" w:tentative="1">
      <w:start w:val="1"/>
      <w:numFmt w:val="lowerLetter"/>
      <w:lvlText w:val="%2."/>
      <w:lvlJc w:val="left"/>
      <w:pPr>
        <w:ind w:left="1061" w:hanging="360"/>
      </w:pPr>
    </w:lvl>
    <w:lvl w:ilvl="2" w:tplc="BBAE928E" w:tentative="1">
      <w:start w:val="1"/>
      <w:numFmt w:val="lowerRoman"/>
      <w:lvlText w:val="%3."/>
      <w:lvlJc w:val="right"/>
      <w:pPr>
        <w:ind w:left="1781" w:hanging="180"/>
      </w:pPr>
    </w:lvl>
    <w:lvl w:ilvl="3" w:tplc="CC6016F0" w:tentative="1">
      <w:start w:val="1"/>
      <w:numFmt w:val="decimal"/>
      <w:lvlText w:val="%4."/>
      <w:lvlJc w:val="left"/>
      <w:pPr>
        <w:ind w:left="2501" w:hanging="360"/>
      </w:pPr>
    </w:lvl>
    <w:lvl w:ilvl="4" w:tplc="61A0BAB8" w:tentative="1">
      <w:start w:val="1"/>
      <w:numFmt w:val="lowerLetter"/>
      <w:lvlText w:val="%5."/>
      <w:lvlJc w:val="left"/>
      <w:pPr>
        <w:ind w:left="3221" w:hanging="360"/>
      </w:pPr>
    </w:lvl>
    <w:lvl w:ilvl="5" w:tplc="D38C419E" w:tentative="1">
      <w:start w:val="1"/>
      <w:numFmt w:val="lowerRoman"/>
      <w:lvlText w:val="%6."/>
      <w:lvlJc w:val="right"/>
      <w:pPr>
        <w:ind w:left="3941" w:hanging="180"/>
      </w:pPr>
    </w:lvl>
    <w:lvl w:ilvl="6" w:tplc="BD96B9B6" w:tentative="1">
      <w:start w:val="1"/>
      <w:numFmt w:val="decimal"/>
      <w:lvlText w:val="%7."/>
      <w:lvlJc w:val="left"/>
      <w:pPr>
        <w:ind w:left="4661" w:hanging="360"/>
      </w:pPr>
    </w:lvl>
    <w:lvl w:ilvl="7" w:tplc="1C1A673C" w:tentative="1">
      <w:start w:val="1"/>
      <w:numFmt w:val="lowerLetter"/>
      <w:lvlText w:val="%8."/>
      <w:lvlJc w:val="left"/>
      <w:pPr>
        <w:ind w:left="5381" w:hanging="360"/>
      </w:pPr>
    </w:lvl>
    <w:lvl w:ilvl="8" w:tplc="DCE26FEE" w:tentative="1">
      <w:start w:val="1"/>
      <w:numFmt w:val="lowerRoman"/>
      <w:lvlText w:val="%9."/>
      <w:lvlJc w:val="right"/>
      <w:pPr>
        <w:ind w:left="6101" w:hanging="180"/>
      </w:pPr>
    </w:lvl>
  </w:abstractNum>
  <w:num w:numId="1" w16cid:durableId="1352536373">
    <w:abstractNumId w:val="16"/>
  </w:num>
  <w:num w:numId="2" w16cid:durableId="1357150366">
    <w:abstractNumId w:val="16"/>
  </w:num>
  <w:num w:numId="3" w16cid:durableId="1376195168">
    <w:abstractNumId w:val="16"/>
  </w:num>
  <w:num w:numId="4" w16cid:durableId="1176967451">
    <w:abstractNumId w:val="16"/>
  </w:num>
  <w:num w:numId="5" w16cid:durableId="280845036">
    <w:abstractNumId w:val="16"/>
  </w:num>
  <w:num w:numId="6" w16cid:durableId="2048406875">
    <w:abstractNumId w:val="9"/>
  </w:num>
  <w:num w:numId="7" w16cid:durableId="1809467818">
    <w:abstractNumId w:val="7"/>
  </w:num>
  <w:num w:numId="8" w16cid:durableId="979961412">
    <w:abstractNumId w:val="6"/>
  </w:num>
  <w:num w:numId="9" w16cid:durableId="359357716">
    <w:abstractNumId w:val="5"/>
  </w:num>
  <w:num w:numId="10" w16cid:durableId="1280527786">
    <w:abstractNumId w:val="4"/>
  </w:num>
  <w:num w:numId="11" w16cid:durableId="843668185">
    <w:abstractNumId w:val="8"/>
  </w:num>
  <w:num w:numId="12" w16cid:durableId="1349215045">
    <w:abstractNumId w:val="3"/>
  </w:num>
  <w:num w:numId="13" w16cid:durableId="312567992">
    <w:abstractNumId w:val="2"/>
  </w:num>
  <w:num w:numId="14" w16cid:durableId="695546018">
    <w:abstractNumId w:val="1"/>
  </w:num>
  <w:num w:numId="15" w16cid:durableId="1334184929">
    <w:abstractNumId w:val="0"/>
  </w:num>
  <w:num w:numId="16" w16cid:durableId="1787843159">
    <w:abstractNumId w:val="14"/>
  </w:num>
  <w:num w:numId="17" w16cid:durableId="1474253999">
    <w:abstractNumId w:val="10"/>
  </w:num>
  <w:num w:numId="18" w16cid:durableId="688332770">
    <w:abstractNumId w:val="18"/>
  </w:num>
  <w:num w:numId="19" w16cid:durableId="1994672780">
    <w:abstractNumId w:val="13"/>
  </w:num>
  <w:num w:numId="20" w16cid:durableId="118888468">
    <w:abstractNumId w:val="15"/>
  </w:num>
  <w:num w:numId="21" w16cid:durableId="762914082">
    <w:abstractNumId w:val="21"/>
  </w:num>
  <w:num w:numId="22" w16cid:durableId="1491361916">
    <w:abstractNumId w:val="11"/>
  </w:num>
  <w:num w:numId="23" w16cid:durableId="1703245298">
    <w:abstractNumId w:val="19"/>
  </w:num>
  <w:num w:numId="24" w16cid:durableId="792601939">
    <w:abstractNumId w:val="12"/>
  </w:num>
  <w:num w:numId="25" w16cid:durableId="1983802279">
    <w:abstractNumId w:val="20"/>
  </w:num>
  <w:num w:numId="26" w16cid:durableId="2118191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3A1"/>
    <w:rsid w:val="00020253"/>
    <w:rsid w:val="000357CB"/>
    <w:rsid w:val="00084889"/>
    <w:rsid w:val="00092CC2"/>
    <w:rsid w:val="000C7B33"/>
    <w:rsid w:val="001014B5"/>
    <w:rsid w:val="0012230F"/>
    <w:rsid w:val="0015073D"/>
    <w:rsid w:val="00155E5D"/>
    <w:rsid w:val="00160C70"/>
    <w:rsid w:val="00177D40"/>
    <w:rsid w:val="00194D57"/>
    <w:rsid w:val="001A0955"/>
    <w:rsid w:val="001B63CC"/>
    <w:rsid w:val="001E307B"/>
    <w:rsid w:val="001F7654"/>
    <w:rsid w:val="0022509F"/>
    <w:rsid w:val="00251677"/>
    <w:rsid w:val="0025530A"/>
    <w:rsid w:val="002611BF"/>
    <w:rsid w:val="00261635"/>
    <w:rsid w:val="002770AF"/>
    <w:rsid w:val="00294D08"/>
    <w:rsid w:val="002A6A9B"/>
    <w:rsid w:val="002C00B0"/>
    <w:rsid w:val="002C0A6F"/>
    <w:rsid w:val="002C12F8"/>
    <w:rsid w:val="002F5324"/>
    <w:rsid w:val="00306504"/>
    <w:rsid w:val="003228C3"/>
    <w:rsid w:val="0034059C"/>
    <w:rsid w:val="003444D7"/>
    <w:rsid w:val="00351454"/>
    <w:rsid w:val="00374DCD"/>
    <w:rsid w:val="00377D10"/>
    <w:rsid w:val="00387E60"/>
    <w:rsid w:val="00397778"/>
    <w:rsid w:val="003A1E52"/>
    <w:rsid w:val="003C163B"/>
    <w:rsid w:val="003C6B73"/>
    <w:rsid w:val="003F6DE4"/>
    <w:rsid w:val="004308BB"/>
    <w:rsid w:val="00431291"/>
    <w:rsid w:val="00465745"/>
    <w:rsid w:val="00484DB9"/>
    <w:rsid w:val="004A050D"/>
    <w:rsid w:val="004A3368"/>
    <w:rsid w:val="004B4873"/>
    <w:rsid w:val="004C014B"/>
    <w:rsid w:val="004D197A"/>
    <w:rsid w:val="00526AF4"/>
    <w:rsid w:val="0055398D"/>
    <w:rsid w:val="00564710"/>
    <w:rsid w:val="00593FC2"/>
    <w:rsid w:val="005A3817"/>
    <w:rsid w:val="005C076C"/>
    <w:rsid w:val="005D21F9"/>
    <w:rsid w:val="005D3E5F"/>
    <w:rsid w:val="005E3EF6"/>
    <w:rsid w:val="006053AF"/>
    <w:rsid w:val="00631D57"/>
    <w:rsid w:val="006427B5"/>
    <w:rsid w:val="00652620"/>
    <w:rsid w:val="00694BBC"/>
    <w:rsid w:val="006C0F79"/>
    <w:rsid w:val="006E5CD7"/>
    <w:rsid w:val="006F2B79"/>
    <w:rsid w:val="006F5332"/>
    <w:rsid w:val="00710CE6"/>
    <w:rsid w:val="00712141"/>
    <w:rsid w:val="00727D59"/>
    <w:rsid w:val="00734015"/>
    <w:rsid w:val="00755A2E"/>
    <w:rsid w:val="007727ED"/>
    <w:rsid w:val="0078530B"/>
    <w:rsid w:val="007873DB"/>
    <w:rsid w:val="007C38D5"/>
    <w:rsid w:val="007C5921"/>
    <w:rsid w:val="007C65CF"/>
    <w:rsid w:val="007D30E8"/>
    <w:rsid w:val="007F303B"/>
    <w:rsid w:val="0080379B"/>
    <w:rsid w:val="008337FC"/>
    <w:rsid w:val="008447E2"/>
    <w:rsid w:val="0085491E"/>
    <w:rsid w:val="00861B9C"/>
    <w:rsid w:val="008F746C"/>
    <w:rsid w:val="00906F39"/>
    <w:rsid w:val="00920B40"/>
    <w:rsid w:val="00925E5A"/>
    <w:rsid w:val="009446D7"/>
    <w:rsid w:val="0096142F"/>
    <w:rsid w:val="00974609"/>
    <w:rsid w:val="009806C9"/>
    <w:rsid w:val="009F104F"/>
    <w:rsid w:val="00A0393B"/>
    <w:rsid w:val="00A079CF"/>
    <w:rsid w:val="00A31C83"/>
    <w:rsid w:val="00A37474"/>
    <w:rsid w:val="00A45AF3"/>
    <w:rsid w:val="00A64E73"/>
    <w:rsid w:val="00A75264"/>
    <w:rsid w:val="00A95AEF"/>
    <w:rsid w:val="00AA7CC3"/>
    <w:rsid w:val="00AB1550"/>
    <w:rsid w:val="00AC1330"/>
    <w:rsid w:val="00AC347E"/>
    <w:rsid w:val="00AE4129"/>
    <w:rsid w:val="00B11182"/>
    <w:rsid w:val="00B168C7"/>
    <w:rsid w:val="00B40DB8"/>
    <w:rsid w:val="00B40F2A"/>
    <w:rsid w:val="00B5228B"/>
    <w:rsid w:val="00B77630"/>
    <w:rsid w:val="00B87DDF"/>
    <w:rsid w:val="00BA0C11"/>
    <w:rsid w:val="00BB417C"/>
    <w:rsid w:val="00BD3B1D"/>
    <w:rsid w:val="00BE0214"/>
    <w:rsid w:val="00C107EC"/>
    <w:rsid w:val="00C2015A"/>
    <w:rsid w:val="00C213A1"/>
    <w:rsid w:val="00C21814"/>
    <w:rsid w:val="00C41742"/>
    <w:rsid w:val="00C767BB"/>
    <w:rsid w:val="00C77134"/>
    <w:rsid w:val="00C922B8"/>
    <w:rsid w:val="00CA0B4F"/>
    <w:rsid w:val="00CC6977"/>
    <w:rsid w:val="00CE0E16"/>
    <w:rsid w:val="00CE12BC"/>
    <w:rsid w:val="00D0102B"/>
    <w:rsid w:val="00D51C45"/>
    <w:rsid w:val="00D57E15"/>
    <w:rsid w:val="00D6502C"/>
    <w:rsid w:val="00D85F8F"/>
    <w:rsid w:val="00D87FE0"/>
    <w:rsid w:val="00DA6298"/>
    <w:rsid w:val="00DE526F"/>
    <w:rsid w:val="00E033B7"/>
    <w:rsid w:val="00E41133"/>
    <w:rsid w:val="00E472C6"/>
    <w:rsid w:val="00E511EF"/>
    <w:rsid w:val="00E54DB4"/>
    <w:rsid w:val="00E75142"/>
    <w:rsid w:val="00EA20CF"/>
    <w:rsid w:val="00EA287F"/>
    <w:rsid w:val="00ED5E38"/>
    <w:rsid w:val="00F013FB"/>
    <w:rsid w:val="00F15506"/>
    <w:rsid w:val="00F179BA"/>
    <w:rsid w:val="00F47278"/>
    <w:rsid w:val="00F473EA"/>
    <w:rsid w:val="00FB25F9"/>
    <w:rsid w:val="00FC0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84B19"/>
  <w15:chartTrackingRefBased/>
  <w15:docId w15:val="{4BAF1430-C077-4E8C-B3B5-78620FAD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17C"/>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qFormat/>
    <w:rsid w:val="00FC0A2C"/>
    <w:pPr>
      <w:keepNext/>
      <w:keepLines/>
      <w:spacing w:after="120" w:line="276" w:lineRule="auto"/>
      <w:outlineLvl w:val="0"/>
    </w:pPr>
    <w:rPr>
      <w:rFonts w:cs="Calibri"/>
      <w:b/>
      <w:bCs/>
      <w:color w:val="273A80" w:themeColor="text1"/>
      <w:sz w:val="44"/>
      <w:szCs w:val="44"/>
    </w:rPr>
  </w:style>
  <w:style w:type="paragraph" w:styleId="Heading2">
    <w:name w:val="heading 2"/>
    <w:basedOn w:val="Normal"/>
    <w:link w:val="Heading2Char"/>
    <w:qFormat/>
    <w:rsid w:val="00AA7CC3"/>
    <w:pPr>
      <w:keepNext/>
      <w:keepLines/>
      <w:spacing w:before="240" w:after="60"/>
      <w:outlineLvl w:val="1"/>
    </w:pPr>
    <w:rPr>
      <w:rFonts w:cs="Calibri"/>
      <w:b/>
      <w:bCs/>
      <w:color w:val="1374A9" w:themeColor="background1"/>
      <w:sz w:val="34"/>
      <w:szCs w:val="34"/>
    </w:rPr>
  </w:style>
  <w:style w:type="paragraph" w:styleId="Heading3">
    <w:name w:val="heading 3"/>
    <w:basedOn w:val="Heading2"/>
    <w:link w:val="Heading3Char"/>
    <w:qFormat/>
    <w:rsid w:val="00FC0A2C"/>
    <w:pPr>
      <w:outlineLvl w:val="2"/>
    </w:pPr>
    <w:rPr>
      <w:color w:val="000000"/>
      <w:sz w:val="28"/>
      <w:szCs w:val="28"/>
    </w:rPr>
  </w:style>
  <w:style w:type="paragraph" w:styleId="Heading4">
    <w:name w:val="heading 4"/>
    <w:basedOn w:val="Heading3"/>
    <w:link w:val="Heading4Char"/>
    <w:qFormat/>
    <w:rsid w:val="00FC0A2C"/>
    <w:pPr>
      <w:outlineLvl w:val="3"/>
    </w:pPr>
    <w:rPr>
      <w:sz w:val="22"/>
      <w:szCs w:val="22"/>
    </w:rPr>
  </w:style>
  <w:style w:type="paragraph" w:styleId="Heading5">
    <w:name w:val="heading 5"/>
    <w:basedOn w:val="Normal"/>
    <w:link w:val="Heading5Char"/>
    <w:qFormat/>
    <w:rsid w:val="0080379B"/>
    <w:pPr>
      <w:numPr>
        <w:ilvl w:val="4"/>
        <w:numId w:val="5"/>
      </w:numPr>
      <w:spacing w:after="2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B417C"/>
  </w:style>
  <w:style w:type="character" w:customStyle="1" w:styleId="BodyTextChar">
    <w:name w:val="Body Text Char"/>
    <w:basedOn w:val="DefaultParagraphFont"/>
    <w:link w:val="BodyText"/>
    <w:rsid w:val="00BB417C"/>
    <w:rPr>
      <w:rFonts w:asciiTheme="minorHAnsi" w:eastAsiaTheme="minorHAnsi" w:hAnsiTheme="minorHAnsi" w:cstheme="minorBidi"/>
      <w:sz w:val="22"/>
      <w:szCs w:val="22"/>
    </w:rPr>
  </w:style>
  <w:style w:type="paragraph" w:styleId="Footer">
    <w:name w:val="footer"/>
    <w:basedOn w:val="Normal"/>
    <w:link w:val="FooterChar"/>
    <w:uiPriority w:val="99"/>
    <w:rsid w:val="0080379B"/>
    <w:pPr>
      <w:tabs>
        <w:tab w:val="center" w:pos="4680"/>
        <w:tab w:val="right" w:pos="9360"/>
      </w:tabs>
      <w:jc w:val="both"/>
    </w:pPr>
  </w:style>
  <w:style w:type="character" w:customStyle="1" w:styleId="FooterChar">
    <w:name w:val="Footer Char"/>
    <w:basedOn w:val="DefaultParagraphFont"/>
    <w:link w:val="Footer"/>
    <w:uiPriority w:val="99"/>
    <w:rsid w:val="0080379B"/>
    <w:rPr>
      <w:sz w:val="24"/>
      <w:szCs w:val="24"/>
    </w:rPr>
  </w:style>
  <w:style w:type="paragraph" w:styleId="Header">
    <w:name w:val="header"/>
    <w:basedOn w:val="Normal"/>
    <w:link w:val="HeaderChar"/>
    <w:uiPriority w:val="99"/>
    <w:rsid w:val="0080379B"/>
    <w:pPr>
      <w:tabs>
        <w:tab w:val="center" w:pos="4680"/>
        <w:tab w:val="right" w:pos="9360"/>
      </w:tabs>
      <w:jc w:val="both"/>
    </w:pPr>
  </w:style>
  <w:style w:type="character" w:customStyle="1" w:styleId="HeaderChar">
    <w:name w:val="Header Char"/>
    <w:basedOn w:val="DefaultParagraphFont"/>
    <w:link w:val="Header"/>
    <w:uiPriority w:val="99"/>
    <w:rsid w:val="0080379B"/>
    <w:rPr>
      <w:sz w:val="24"/>
      <w:szCs w:val="24"/>
    </w:rPr>
  </w:style>
  <w:style w:type="character" w:customStyle="1" w:styleId="Heading1Char">
    <w:name w:val="Heading 1 Char"/>
    <w:basedOn w:val="DefaultParagraphFont"/>
    <w:link w:val="Heading1"/>
    <w:rsid w:val="00FC0A2C"/>
    <w:rPr>
      <w:rFonts w:ascii="Calibri" w:hAnsi="Calibri" w:cs="Calibri"/>
      <w:b/>
      <w:bCs/>
      <w:color w:val="273A80" w:themeColor="text1"/>
      <w:sz w:val="44"/>
      <w:szCs w:val="44"/>
    </w:rPr>
  </w:style>
  <w:style w:type="character" w:customStyle="1" w:styleId="Heading2Char">
    <w:name w:val="Heading 2 Char"/>
    <w:basedOn w:val="DefaultParagraphFont"/>
    <w:link w:val="Heading2"/>
    <w:rsid w:val="00AA7CC3"/>
    <w:rPr>
      <w:rFonts w:asciiTheme="minorHAnsi" w:eastAsiaTheme="minorHAnsi" w:hAnsiTheme="minorHAnsi" w:cs="Calibri"/>
      <w:b/>
      <w:bCs/>
      <w:color w:val="1374A9" w:themeColor="background1"/>
      <w:sz w:val="34"/>
      <w:szCs w:val="34"/>
    </w:rPr>
  </w:style>
  <w:style w:type="character" w:customStyle="1" w:styleId="Heading3Char">
    <w:name w:val="Heading 3 Char"/>
    <w:basedOn w:val="DefaultParagraphFont"/>
    <w:link w:val="Heading3"/>
    <w:rsid w:val="00FC0A2C"/>
    <w:rPr>
      <w:rFonts w:ascii="Calibri" w:hAnsi="Calibri" w:cs="Calibri"/>
      <w:b/>
      <w:bCs/>
      <w:color w:val="000000"/>
      <w:sz w:val="28"/>
      <w:szCs w:val="28"/>
    </w:rPr>
  </w:style>
  <w:style w:type="character" w:customStyle="1" w:styleId="Heading4Char">
    <w:name w:val="Heading 4 Char"/>
    <w:basedOn w:val="DefaultParagraphFont"/>
    <w:link w:val="Heading4"/>
    <w:rsid w:val="00FC0A2C"/>
    <w:rPr>
      <w:rFonts w:ascii="Calibri" w:hAnsi="Calibri" w:cs="Calibri"/>
      <w:b/>
      <w:bCs/>
      <w:color w:val="000000"/>
      <w:sz w:val="22"/>
      <w:szCs w:val="22"/>
    </w:rPr>
  </w:style>
  <w:style w:type="character" w:customStyle="1" w:styleId="Heading5Char">
    <w:name w:val="Heading 5 Char"/>
    <w:basedOn w:val="DefaultParagraphFont"/>
    <w:link w:val="Heading5"/>
    <w:rsid w:val="0080379B"/>
    <w:rPr>
      <w:sz w:val="24"/>
      <w:szCs w:val="24"/>
    </w:rPr>
  </w:style>
  <w:style w:type="paragraph" w:styleId="Title">
    <w:name w:val="Title"/>
    <w:basedOn w:val="Normal"/>
    <w:next w:val="BodyText"/>
    <w:link w:val="TitleChar"/>
    <w:qFormat/>
    <w:rsid w:val="00F473EA"/>
    <w:pPr>
      <w:spacing w:after="300"/>
      <w:contextualSpacing/>
      <w:jc w:val="center"/>
    </w:pPr>
    <w:rPr>
      <w:rFonts w:ascii="Times New Roman Bold" w:eastAsiaTheme="majorEastAsia" w:hAnsi="Times New Roman Bold" w:cstheme="majorBidi"/>
      <w:b/>
      <w:caps/>
      <w:spacing w:val="5"/>
      <w:kern w:val="28"/>
      <w:szCs w:val="52"/>
    </w:rPr>
  </w:style>
  <w:style w:type="character" w:customStyle="1" w:styleId="TitleChar">
    <w:name w:val="Title Char"/>
    <w:basedOn w:val="DefaultParagraphFont"/>
    <w:link w:val="Title"/>
    <w:rsid w:val="00F473EA"/>
    <w:rPr>
      <w:rFonts w:ascii="Times New Roman Bold" w:eastAsiaTheme="majorEastAsia" w:hAnsi="Times New Roman Bold" w:cstheme="majorBidi"/>
      <w:b/>
      <w:caps/>
      <w:spacing w:val="5"/>
      <w:kern w:val="28"/>
      <w:sz w:val="24"/>
      <w:szCs w:val="52"/>
    </w:rPr>
  </w:style>
  <w:style w:type="table" w:styleId="TableGrid">
    <w:name w:val="Table Grid"/>
    <w:basedOn w:val="TableNormal"/>
    <w:rsid w:val="00AA7CC3"/>
    <w:tblPr>
      <w:tblStyleRowBandSize w:val="1"/>
      <w:tblBorders>
        <w:top w:val="single" w:sz="4" w:space="0" w:color="D2E7E7"/>
        <w:left w:val="single" w:sz="4" w:space="0" w:color="D2E7E7"/>
        <w:bottom w:val="single" w:sz="4" w:space="0" w:color="D2E7E7"/>
        <w:right w:val="single" w:sz="4" w:space="0" w:color="D2E7E7"/>
        <w:insideH w:val="single" w:sz="4" w:space="0" w:color="D2E7E7"/>
        <w:insideV w:val="single" w:sz="4" w:space="0" w:color="D2E7E7"/>
      </w:tblBorders>
      <w:tblCellMar>
        <w:top w:w="58" w:type="dxa"/>
        <w:bottom w:w="58" w:type="dxa"/>
      </w:tblCellMar>
    </w:tblPr>
    <w:trPr>
      <w:cantSplit/>
    </w:trPr>
    <w:tcPr>
      <w:shd w:val="clear" w:color="auto" w:fill="auto"/>
    </w:tcPr>
    <w:tblStylePr w:type="firstRow">
      <w:pPr>
        <w:jc w:val="center"/>
      </w:pPr>
      <w:rPr>
        <w:color w:val="FFFFFF"/>
      </w:rPr>
      <w:tblPr/>
      <w:trPr>
        <w:cantSplit w:val="0"/>
        <w:tblHeader/>
      </w:trPr>
      <w:tcPr>
        <w:tcBorders>
          <w:top w:val="single" w:sz="4" w:space="0" w:color="1174A9"/>
          <w:left w:val="single" w:sz="4" w:space="0" w:color="1174A9"/>
          <w:bottom w:val="single" w:sz="4" w:space="0" w:color="1174A9"/>
          <w:right w:val="single" w:sz="4" w:space="0" w:color="1174A9"/>
          <w:insideH w:val="single" w:sz="4" w:space="0" w:color="1174A9"/>
          <w:insideV w:val="single" w:sz="4" w:space="0" w:color="1174A9"/>
        </w:tcBorders>
        <w:shd w:val="clear" w:color="auto" w:fill="1174A9"/>
      </w:tcPr>
    </w:tblStylePr>
    <w:tblStylePr w:type="band1Horz">
      <w:tblPr/>
      <w:tcPr>
        <w:shd w:val="clear" w:color="auto" w:fill="F5F8F8"/>
      </w:tcPr>
    </w:tblStylePr>
  </w:style>
  <w:style w:type="character" w:styleId="CommentReference">
    <w:name w:val="annotation reference"/>
    <w:basedOn w:val="DefaultParagraphFont"/>
    <w:semiHidden/>
    <w:unhideWhenUsed/>
    <w:rsid w:val="00C41742"/>
    <w:rPr>
      <w:sz w:val="16"/>
      <w:szCs w:val="16"/>
    </w:rPr>
  </w:style>
  <w:style w:type="paragraph" w:styleId="CommentText">
    <w:name w:val="annotation text"/>
    <w:basedOn w:val="Normal"/>
    <w:link w:val="CommentTextChar"/>
    <w:unhideWhenUsed/>
    <w:rsid w:val="00C41742"/>
    <w:rPr>
      <w:sz w:val="20"/>
      <w:szCs w:val="20"/>
    </w:rPr>
  </w:style>
  <w:style w:type="character" w:customStyle="1" w:styleId="CommentTextChar">
    <w:name w:val="Comment Text Char"/>
    <w:basedOn w:val="DefaultParagraphFont"/>
    <w:link w:val="CommentText"/>
    <w:rsid w:val="00C41742"/>
  </w:style>
  <w:style w:type="paragraph" w:styleId="CommentSubject">
    <w:name w:val="annotation subject"/>
    <w:basedOn w:val="CommentText"/>
    <w:next w:val="CommentText"/>
    <w:link w:val="CommentSubjectChar"/>
    <w:semiHidden/>
    <w:unhideWhenUsed/>
    <w:rsid w:val="00C41742"/>
    <w:rPr>
      <w:b/>
      <w:bCs/>
    </w:rPr>
  </w:style>
  <w:style w:type="character" w:customStyle="1" w:styleId="CommentSubjectChar">
    <w:name w:val="Comment Subject Char"/>
    <w:basedOn w:val="CommentTextChar"/>
    <w:link w:val="CommentSubject"/>
    <w:semiHidden/>
    <w:rsid w:val="00C41742"/>
    <w:rPr>
      <w:b/>
      <w:bCs/>
    </w:rPr>
  </w:style>
  <w:style w:type="paragraph" w:customStyle="1" w:styleId="DocID">
    <w:name w:val="Doc ID"/>
    <w:basedOn w:val="Normal"/>
    <w:link w:val="DocIDChar"/>
    <w:rsid w:val="00194D57"/>
    <w:pPr>
      <w:tabs>
        <w:tab w:val="right" w:pos="9360"/>
      </w:tabs>
      <w:spacing w:after="0" w:line="200" w:lineRule="exact"/>
    </w:pPr>
    <w:rPr>
      <w:rFonts w:ascii="Times New Roman" w:eastAsia="Times New Roman" w:hAnsi="Times New Roman" w:cs="Times New Roman"/>
      <w:bCs/>
      <w:sz w:val="16"/>
      <w:szCs w:val="24"/>
    </w:rPr>
  </w:style>
  <w:style w:type="character" w:customStyle="1" w:styleId="DocIDChar">
    <w:name w:val="Doc ID Char"/>
    <w:basedOn w:val="DefaultParagraphFont"/>
    <w:link w:val="DocID"/>
    <w:rsid w:val="00194D57"/>
    <w:rPr>
      <w:bCs/>
      <w:sz w:val="16"/>
      <w:szCs w:val="24"/>
    </w:rPr>
  </w:style>
  <w:style w:type="paragraph" w:styleId="FootnoteText">
    <w:name w:val="footnote text"/>
    <w:aliases w:val="Car"/>
    <w:basedOn w:val="Normal"/>
    <w:link w:val="FootnoteTextChar"/>
    <w:unhideWhenUsed/>
    <w:rsid w:val="00AA7CC3"/>
    <w:pPr>
      <w:spacing w:after="120"/>
    </w:pPr>
    <w:rPr>
      <w:rFonts w:eastAsia="Calibri"/>
      <w:sz w:val="20"/>
      <w:szCs w:val="20"/>
    </w:rPr>
  </w:style>
  <w:style w:type="character" w:customStyle="1" w:styleId="FootnoteTextChar">
    <w:name w:val="Footnote Text Char"/>
    <w:aliases w:val="Car Char"/>
    <w:basedOn w:val="DefaultParagraphFont"/>
    <w:link w:val="FootnoteText"/>
    <w:rsid w:val="00AA7CC3"/>
    <w:rPr>
      <w:rFonts w:asciiTheme="minorHAnsi" w:eastAsia="Calibri" w:hAnsiTheme="minorHAnsi" w:cstheme="minorBidi"/>
    </w:rPr>
  </w:style>
  <w:style w:type="character" w:styleId="FootnoteReference">
    <w:name w:val="footnote reference"/>
    <w:basedOn w:val="DefaultParagraphFont"/>
    <w:unhideWhenUsed/>
    <w:rsid w:val="003228C3"/>
    <w:rPr>
      <w:vertAlign w:val="superscript"/>
    </w:rPr>
  </w:style>
  <w:style w:type="paragraph" w:styleId="ListParagraph">
    <w:name w:val="List Paragraph"/>
    <w:basedOn w:val="Normal"/>
    <w:link w:val="ListParagraphChar"/>
    <w:uiPriority w:val="34"/>
    <w:qFormat/>
    <w:rsid w:val="003228C3"/>
    <w:pPr>
      <w:ind w:left="720"/>
      <w:contextualSpacing/>
    </w:pPr>
  </w:style>
  <w:style w:type="paragraph" w:customStyle="1" w:styleId="Tabletext">
    <w:name w:val="Table text"/>
    <w:basedOn w:val="Normal"/>
    <w:qFormat/>
    <w:rsid w:val="0085491E"/>
    <w:pPr>
      <w:spacing w:after="0"/>
    </w:pPr>
  </w:style>
  <w:style w:type="paragraph" w:customStyle="1" w:styleId="Level1">
    <w:name w:val="Level 1"/>
    <w:basedOn w:val="Tabletext"/>
    <w:qFormat/>
    <w:rsid w:val="00B5228B"/>
    <w:pPr>
      <w:ind w:left="163"/>
    </w:pPr>
  </w:style>
  <w:style w:type="paragraph" w:customStyle="1" w:styleId="Level2">
    <w:name w:val="Level 2"/>
    <w:basedOn w:val="Tabletext"/>
    <w:qFormat/>
    <w:rsid w:val="00B5228B"/>
    <w:pPr>
      <w:ind w:left="343"/>
    </w:pPr>
  </w:style>
  <w:style w:type="paragraph" w:customStyle="1" w:styleId="Level4">
    <w:name w:val="Level 4"/>
    <w:basedOn w:val="Normal"/>
    <w:qFormat/>
    <w:rsid w:val="0096142F"/>
    <w:pPr>
      <w:spacing w:after="0"/>
      <w:ind w:left="703"/>
    </w:pPr>
  </w:style>
  <w:style w:type="paragraph" w:styleId="Revision">
    <w:name w:val="Revision"/>
    <w:hidden/>
    <w:uiPriority w:val="99"/>
    <w:semiHidden/>
    <w:rsid w:val="00B5228B"/>
    <w:rPr>
      <w:rFonts w:ascii="Calibri" w:hAnsi="Calibri"/>
      <w:sz w:val="22"/>
      <w:szCs w:val="24"/>
    </w:rPr>
  </w:style>
  <w:style w:type="paragraph" w:customStyle="1" w:styleId="In-tableheading">
    <w:name w:val="In-table heading"/>
    <w:basedOn w:val="Tabletext"/>
    <w:qFormat/>
    <w:rsid w:val="004308BB"/>
    <w:rPr>
      <w:b/>
      <w:bCs/>
      <w:color w:val="1174A9"/>
    </w:rPr>
  </w:style>
  <w:style w:type="paragraph" w:customStyle="1" w:styleId="Tableheading">
    <w:name w:val="Table heading"/>
    <w:basedOn w:val="Normal"/>
    <w:qFormat/>
    <w:rsid w:val="00FC0A2C"/>
    <w:pPr>
      <w:spacing w:after="0"/>
    </w:pPr>
    <w:rPr>
      <w:b/>
      <w:bCs/>
      <w:color w:val="FFFFFF"/>
      <w:sz w:val="24"/>
    </w:rPr>
  </w:style>
  <w:style w:type="paragraph" w:customStyle="1" w:styleId="Boxedtext">
    <w:name w:val="Boxed text"/>
    <w:basedOn w:val="Normal"/>
    <w:qFormat/>
    <w:rsid w:val="00FC0A2C"/>
    <w:pPr>
      <w:pBdr>
        <w:top w:val="single" w:sz="4" w:space="1" w:color="auto"/>
        <w:left w:val="single" w:sz="4" w:space="4" w:color="auto"/>
        <w:bottom w:val="single" w:sz="4" w:space="1" w:color="auto"/>
        <w:right w:val="single" w:sz="4" w:space="4" w:color="auto"/>
      </w:pBdr>
    </w:pPr>
    <w:rPr>
      <w:rFonts w:cs="Calibri"/>
    </w:rPr>
  </w:style>
  <w:style w:type="character" w:styleId="PageNumber">
    <w:name w:val="page number"/>
    <w:basedOn w:val="DefaultParagraphFont"/>
    <w:uiPriority w:val="99"/>
    <w:semiHidden/>
    <w:unhideWhenUsed/>
    <w:rsid w:val="00BB417C"/>
  </w:style>
  <w:style w:type="character" w:customStyle="1" w:styleId="ListParagraphChar">
    <w:name w:val="List Paragraph Char"/>
    <w:basedOn w:val="DefaultParagraphFont"/>
    <w:link w:val="ListParagraph"/>
    <w:uiPriority w:val="34"/>
    <w:rsid w:val="00A37474"/>
    <w:rPr>
      <w:rFonts w:asciiTheme="minorHAnsi" w:eastAsiaTheme="minorHAnsi" w:hAnsiTheme="minorHAnsi" w:cstheme="minorBidi"/>
      <w:sz w:val="22"/>
      <w:szCs w:val="22"/>
    </w:rPr>
  </w:style>
  <w:style w:type="character" w:styleId="Hyperlink">
    <w:name w:val="Hyperlink"/>
    <w:basedOn w:val="DefaultParagraphFont"/>
    <w:unhideWhenUsed/>
    <w:rsid w:val="00CA0B4F"/>
    <w:rPr>
      <w:color w:val="70A84D" w:themeColor="hyperlink"/>
      <w:u w:val="single"/>
    </w:rPr>
  </w:style>
  <w:style w:type="character" w:styleId="UnresolvedMention">
    <w:name w:val="Unresolved Mention"/>
    <w:basedOn w:val="DefaultParagraphFont"/>
    <w:rsid w:val="00CA0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bag.ca.gov/technical-assistance/ensuring-continued-affordability-homeownership-programs" TargetMode="External"/><Relationship Id="rId4" Type="http://schemas.openxmlformats.org/officeDocument/2006/relationships/webSettings" Target="webSettings.xml"/><Relationship Id="rId9" Type="http://schemas.openxmlformats.org/officeDocument/2006/relationships/hyperlink" Target="https://abag.ca.gov/technical-assistance/guide-california-state-replacement-housing-requirem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BAG">
      <a:dk1>
        <a:srgbClr val="273A80"/>
      </a:dk1>
      <a:lt1>
        <a:srgbClr val="1374A9"/>
      </a:lt1>
      <a:dk2>
        <a:srgbClr val="70A84D"/>
      </a:dk2>
      <a:lt2>
        <a:srgbClr val="007840"/>
      </a:lt2>
      <a:accent1>
        <a:srgbClr val="009192"/>
      </a:accent1>
      <a:accent2>
        <a:srgbClr val="68C6C7"/>
      </a:accent2>
      <a:accent3>
        <a:srgbClr val="E7EDED"/>
      </a:accent3>
      <a:accent4>
        <a:srgbClr val="F3FAFC"/>
      </a:accent4>
      <a:accent5>
        <a:srgbClr val="F9FCF8"/>
      </a:accent5>
      <a:accent6>
        <a:srgbClr val="E7E6E6"/>
      </a:accent6>
      <a:hlink>
        <a:srgbClr val="70A84D"/>
      </a:hlink>
      <a:folHlink>
        <a:srgbClr val="70A84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3681</Words>
  <Characters>20960</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 McDevitt</dc:creator>
  <cp:lastModifiedBy>Clair A. McDevitt</cp:lastModifiedBy>
  <cp:revision>2</cp:revision>
  <dcterms:created xsi:type="dcterms:W3CDTF">2023-05-12T19:07:00Z</dcterms:created>
  <dcterms:modified xsi:type="dcterms:W3CDTF">2023-05-12T19:07:00Z</dcterms:modified>
</cp:coreProperties>
</file>