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341D" w14:textId="628A8233" w:rsidR="003228C3" w:rsidRDefault="003228C3" w:rsidP="00BB417C">
      <w:r w:rsidRPr="00F433B0">
        <w:rPr>
          <w:noProof/>
        </w:rPr>
        <w:drawing>
          <wp:inline distT="0" distB="0" distL="0" distR="0" wp14:anchorId="1A29DEA2" wp14:editId="5DD8D5AF">
            <wp:extent cx="6858000" cy="1713865"/>
            <wp:effectExtent l="0" t="0" r="0" b="635"/>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438" name="Graphic 1" descr="Header with ABAG logo and logo for Technical Assistance for Local Planning: Housin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0" cy="1713865"/>
                    </a:xfrm>
                    <a:prstGeom prst="rect">
                      <a:avLst/>
                    </a:prstGeom>
                  </pic:spPr>
                </pic:pic>
              </a:graphicData>
            </a:graphic>
          </wp:inline>
        </w:drawing>
      </w:r>
    </w:p>
    <w:p w14:paraId="46DA13D0" w14:textId="176DC7B0" w:rsidR="003228C3" w:rsidRPr="00FC0A2C" w:rsidRDefault="001050CB" w:rsidP="00BB417C">
      <w:pPr>
        <w:pStyle w:val="Heading1"/>
      </w:pPr>
      <w:r>
        <w:t>AB 725</w:t>
      </w:r>
      <w:r w:rsidR="009B37F5">
        <w:t xml:space="preserve"> General Plans Housing Element: Moderate-</w:t>
      </w:r>
      <w:r w:rsidR="00AA1655">
        <w:t>I</w:t>
      </w:r>
      <w:r w:rsidR="009B37F5">
        <w:t>ncome Housing</w:t>
      </w:r>
    </w:p>
    <w:p w14:paraId="1FEBC4A3" w14:textId="4954CA6D" w:rsidR="0085491E" w:rsidRDefault="001050CB" w:rsidP="00BB417C">
      <w:pPr>
        <w:pStyle w:val="Heading2"/>
      </w:pPr>
      <w:r>
        <w:t>Overview</w:t>
      </w:r>
    </w:p>
    <w:p w14:paraId="7ED8BFF8" w14:textId="787C98D8" w:rsidR="001050CB" w:rsidRDefault="001050CB" w:rsidP="001050CB">
      <w:pPr>
        <w:spacing w:after="200"/>
      </w:pPr>
      <w:r>
        <w:t xml:space="preserve">AB </w:t>
      </w:r>
      <w:r w:rsidRPr="009B37F5">
        <w:t>725</w:t>
      </w:r>
      <w:r w:rsidR="009B37F5" w:rsidRPr="009B37F5">
        <w:t xml:space="preserve"> General plans: housing element: moderate-income housing: suburban and metropolitan jurisdictions</w:t>
      </w:r>
      <w:r w:rsidR="009B37F5">
        <w:t xml:space="preserve"> (2019-2020)</w:t>
      </w:r>
      <w:r w:rsidRPr="009B37F5">
        <w:t>,</w:t>
      </w:r>
      <w:r>
        <w:t xml:space="preserve"> passed in 2021, adds new rules regarding the sites that can be used in Housing Elements. Per Gov. Code section 65583.2, subd. (c)(4), when selecting sites for the housing inventory, jurisdictions must now ensure: </w:t>
      </w:r>
    </w:p>
    <w:p w14:paraId="5C4981D5" w14:textId="5457FA47" w:rsidR="001050CB" w:rsidRDefault="001050CB" w:rsidP="001050CB">
      <w:pPr>
        <w:numPr>
          <w:ilvl w:val="0"/>
          <w:numId w:val="18"/>
        </w:numPr>
        <w:spacing w:after="0" w:line="276" w:lineRule="auto"/>
      </w:pPr>
      <w:r>
        <w:t xml:space="preserve">At least 25% of </w:t>
      </w:r>
      <w:r w:rsidR="00C92E0A">
        <w:t>moderate-income</w:t>
      </w:r>
      <w:r>
        <w:t xml:space="preserve"> housing units are</w:t>
      </w:r>
      <w:r w:rsidR="00837A89">
        <w:t>:</w:t>
      </w:r>
    </w:p>
    <w:p w14:paraId="0B06A239" w14:textId="4E29503B" w:rsidR="001050CB" w:rsidRDefault="001050CB" w:rsidP="001050CB">
      <w:pPr>
        <w:numPr>
          <w:ilvl w:val="0"/>
          <w:numId w:val="19"/>
        </w:numPr>
        <w:spacing w:after="0" w:line="276" w:lineRule="auto"/>
      </w:pPr>
      <w:r>
        <w:t>On sites that allow at least four housing units</w:t>
      </w:r>
      <w:r w:rsidR="00837A89">
        <w:t>,</w:t>
      </w:r>
      <w:r>
        <w:t xml:space="preserve"> and </w:t>
      </w:r>
    </w:p>
    <w:p w14:paraId="188A1005" w14:textId="77777777" w:rsidR="001050CB" w:rsidRDefault="001050CB" w:rsidP="001050CB">
      <w:pPr>
        <w:numPr>
          <w:ilvl w:val="0"/>
          <w:numId w:val="19"/>
        </w:numPr>
        <w:spacing w:after="0" w:line="276" w:lineRule="auto"/>
      </w:pPr>
      <w:r>
        <w:t>Have densities less than 100 units per acre.</w:t>
      </w:r>
    </w:p>
    <w:p w14:paraId="039542D9" w14:textId="6E334063" w:rsidR="000B3A93" w:rsidRDefault="001050CB" w:rsidP="001050CB">
      <w:pPr>
        <w:numPr>
          <w:ilvl w:val="0"/>
          <w:numId w:val="18"/>
        </w:numPr>
        <w:spacing w:after="200" w:line="276" w:lineRule="auto"/>
      </w:pPr>
      <w:r>
        <w:t>At least 25% of above-moderate</w:t>
      </w:r>
      <w:r w:rsidR="00BC0499">
        <w:t>-</w:t>
      </w:r>
      <w:r>
        <w:t>income housing units must be on sites that allow at least four housing units.</w:t>
      </w:r>
      <w:r w:rsidR="000B3A93">
        <w:rPr>
          <w:rStyle w:val="FootnoteReference"/>
        </w:rPr>
        <w:footnoteReference w:id="1"/>
      </w:r>
    </w:p>
    <w:p w14:paraId="2B8051B5" w14:textId="3EAA78BF" w:rsidR="001050CB" w:rsidRPr="00FC0A2C" w:rsidRDefault="001050CB" w:rsidP="001050CB">
      <w:r>
        <w:t>The bill only applies in metropolitan jurisdictions (Housing Element Default Densities of 30 DUA)</w:t>
      </w:r>
      <w:r w:rsidR="00395921">
        <w:t xml:space="preserve"> and does not apply to unincorporated areas</w:t>
      </w:r>
      <w:r>
        <w:t>. This bill went into effect on January 1, 2022.</w:t>
      </w:r>
    </w:p>
    <w:p w14:paraId="2C252987" w14:textId="39517355" w:rsidR="00FC0A2C" w:rsidRDefault="001050CB" w:rsidP="001050CB">
      <w:pPr>
        <w:pStyle w:val="Heading2"/>
      </w:pPr>
      <w:r>
        <w:t>How to Calculate</w:t>
      </w:r>
    </w:p>
    <w:p w14:paraId="2B513B79" w14:textId="2CE70E28" w:rsidR="001050CB" w:rsidRDefault="001050CB" w:rsidP="00F36B7B">
      <w:r>
        <w:t xml:space="preserve">To check if </w:t>
      </w:r>
      <w:r w:rsidR="00C20F6F">
        <w:t xml:space="preserve">the </w:t>
      </w:r>
      <w:r>
        <w:t xml:space="preserve">housing allocations meet this requirement, use the following steps: </w:t>
      </w:r>
    </w:p>
    <w:p w14:paraId="422811EB" w14:textId="7F53B39A" w:rsidR="00FC0A2C" w:rsidRDefault="00084486" w:rsidP="001050CB">
      <w:pPr>
        <w:pStyle w:val="Heading3"/>
      </w:pPr>
      <w:r>
        <w:t xml:space="preserve">Step 1: </w:t>
      </w:r>
      <w:r w:rsidR="001050CB">
        <w:t>Calculate Moderate</w:t>
      </w:r>
      <w:r w:rsidR="00395921">
        <w:t>-</w:t>
      </w:r>
      <w:r w:rsidR="001050CB">
        <w:t>Income Units</w:t>
      </w:r>
    </w:p>
    <w:p w14:paraId="368F6213" w14:textId="7C8901AB" w:rsidR="001050CB" w:rsidRPr="00084486" w:rsidRDefault="00B40829" w:rsidP="00F36B7B">
      <w:pPr>
        <w:pStyle w:val="ListParagraph"/>
        <w:numPr>
          <w:ilvl w:val="0"/>
          <w:numId w:val="20"/>
        </w:numPr>
        <w:spacing w:after="0" w:line="276" w:lineRule="auto"/>
      </w:pPr>
      <w:r>
        <w:t>T</w:t>
      </w:r>
      <w:r w:rsidR="0044777E" w:rsidRPr="00084486">
        <w:t xml:space="preserve">ake </w:t>
      </w:r>
      <w:r w:rsidR="00084486">
        <w:t xml:space="preserve">the </w:t>
      </w:r>
      <w:r w:rsidR="001F117C">
        <w:t>Regional Housing Needs Assessment (</w:t>
      </w:r>
      <w:r w:rsidR="001050CB" w:rsidRPr="00084486">
        <w:t>RHNA</w:t>
      </w:r>
      <w:r w:rsidR="001F117C">
        <w:t xml:space="preserve">) </w:t>
      </w:r>
      <w:r w:rsidR="0044777E" w:rsidRPr="00084486">
        <w:t xml:space="preserve">for </w:t>
      </w:r>
      <w:r w:rsidR="001050CB" w:rsidRPr="00084486">
        <w:t>moderate</w:t>
      </w:r>
      <w:r w:rsidR="0044777E" w:rsidRPr="00084486">
        <w:t>-</w:t>
      </w:r>
      <w:r w:rsidR="001050CB" w:rsidRPr="00084486">
        <w:t>income</w:t>
      </w:r>
      <w:r w:rsidR="0044777E" w:rsidRPr="00084486">
        <w:t xml:space="preserve"> units</w:t>
      </w:r>
      <w:r w:rsidR="00F36B7B">
        <w:t xml:space="preserve"> and m</w:t>
      </w:r>
      <w:r w:rsidR="0044777E" w:rsidRPr="00084486">
        <w:t>ultiply</w:t>
      </w:r>
      <w:r w:rsidR="001050CB" w:rsidRPr="00084486">
        <w:t xml:space="preserve"> </w:t>
      </w:r>
      <w:r w:rsidR="0044777E" w:rsidRPr="00084486">
        <w:t>by</w:t>
      </w:r>
      <w:r w:rsidR="001050CB" w:rsidRPr="00084486">
        <w:t xml:space="preserve"> 0.25 </w:t>
      </w:r>
      <w:r w:rsidR="0044777E" w:rsidRPr="00084486">
        <w:t>to calculate the</w:t>
      </w:r>
      <w:r w:rsidR="001050CB" w:rsidRPr="00084486">
        <w:t xml:space="preserve"> </w:t>
      </w:r>
      <w:r w:rsidR="0044777E" w:rsidRPr="00F36B7B">
        <w:rPr>
          <w:bCs/>
        </w:rPr>
        <w:t>m</w:t>
      </w:r>
      <w:r w:rsidR="001050CB" w:rsidRPr="00F36B7B">
        <w:rPr>
          <w:bCs/>
        </w:rPr>
        <w:t xml:space="preserve">inimum </w:t>
      </w:r>
      <w:r w:rsidR="00F36B7B">
        <w:rPr>
          <w:bCs/>
        </w:rPr>
        <w:t>number</w:t>
      </w:r>
      <w:r w:rsidR="001050CB" w:rsidRPr="00F36B7B">
        <w:rPr>
          <w:bCs/>
        </w:rPr>
        <w:t xml:space="preserve"> of unit</w:t>
      </w:r>
      <w:r w:rsidR="0044777E" w:rsidRPr="00F36B7B">
        <w:rPr>
          <w:bCs/>
        </w:rPr>
        <w:t>s required.</w:t>
      </w:r>
      <w:r w:rsidR="0044777E" w:rsidRPr="00F36B7B">
        <w:rPr>
          <w:b/>
        </w:rPr>
        <w:t xml:space="preserve"> </w:t>
      </w:r>
    </w:p>
    <w:p w14:paraId="35B250DD" w14:textId="25216362" w:rsidR="001050CB" w:rsidRPr="00084486" w:rsidRDefault="00B40829" w:rsidP="00B40829">
      <w:pPr>
        <w:pStyle w:val="ListParagraph"/>
        <w:numPr>
          <w:ilvl w:val="0"/>
          <w:numId w:val="20"/>
        </w:numPr>
        <w:spacing w:after="0" w:line="276" w:lineRule="auto"/>
      </w:pPr>
      <w:r>
        <w:t>L</w:t>
      </w:r>
      <w:r w:rsidR="001050CB" w:rsidRPr="00084486">
        <w:t xml:space="preserve">ook at </w:t>
      </w:r>
      <w:r w:rsidR="00C20F6F" w:rsidRPr="00084486">
        <w:t xml:space="preserve">the </w:t>
      </w:r>
      <w:r w:rsidR="00C92E0A" w:rsidRPr="00084486">
        <w:t>moderate-income</w:t>
      </w:r>
      <w:r w:rsidR="001050CB" w:rsidRPr="00084486">
        <w:t xml:space="preserve"> sites in </w:t>
      </w:r>
      <w:r w:rsidR="00C20F6F" w:rsidRPr="00084486">
        <w:t xml:space="preserve">the </w:t>
      </w:r>
      <w:r w:rsidR="001050CB" w:rsidRPr="00084486">
        <w:t xml:space="preserve">inventory, </w:t>
      </w:r>
      <w:r w:rsidR="00084486">
        <w:t>and</w:t>
      </w:r>
      <w:r w:rsidR="001050CB" w:rsidRPr="00084486">
        <w:t>:</w:t>
      </w:r>
    </w:p>
    <w:p w14:paraId="14D4FF96" w14:textId="5F39E2D4" w:rsidR="001050CB" w:rsidRPr="00084486" w:rsidRDefault="001050CB" w:rsidP="001050CB">
      <w:pPr>
        <w:numPr>
          <w:ilvl w:val="1"/>
          <w:numId w:val="20"/>
        </w:numPr>
        <w:spacing w:after="0" w:line="276" w:lineRule="auto"/>
      </w:pPr>
      <w:r w:rsidRPr="00084486">
        <w:t xml:space="preserve">Eliminate sites that do not accommodate at least </w:t>
      </w:r>
      <w:r w:rsidR="00BC0499" w:rsidRPr="00084486">
        <w:t xml:space="preserve">four </w:t>
      </w:r>
      <w:r w:rsidRPr="00084486">
        <w:t>units</w:t>
      </w:r>
      <w:r w:rsidR="0044777E" w:rsidRPr="00084486">
        <w:t>,</w:t>
      </w:r>
    </w:p>
    <w:p w14:paraId="4A5DD40A" w14:textId="4ABFCFC8" w:rsidR="001050CB" w:rsidRPr="00084486" w:rsidRDefault="001050CB" w:rsidP="001050CB">
      <w:pPr>
        <w:numPr>
          <w:ilvl w:val="1"/>
          <w:numId w:val="20"/>
        </w:numPr>
        <w:spacing w:after="0" w:line="276" w:lineRule="auto"/>
      </w:pPr>
      <w:r w:rsidRPr="00084486">
        <w:t>Eliminate sites where the zoning allows more than 100 units per acre</w:t>
      </w:r>
      <w:r w:rsidR="0044777E" w:rsidRPr="00084486">
        <w:t>,</w:t>
      </w:r>
    </w:p>
    <w:p w14:paraId="16EA296E" w14:textId="3AD74BCF" w:rsidR="00084486" w:rsidRPr="00084486" w:rsidRDefault="001050CB" w:rsidP="00084486">
      <w:pPr>
        <w:numPr>
          <w:ilvl w:val="1"/>
          <w:numId w:val="20"/>
        </w:numPr>
        <w:spacing w:after="0" w:line="276" w:lineRule="auto"/>
        <w:rPr>
          <w:highlight w:val="white"/>
        </w:rPr>
      </w:pPr>
      <w:r w:rsidRPr="00084486">
        <w:rPr>
          <w:highlight w:val="white"/>
        </w:rPr>
        <w:t xml:space="preserve">Calculate how many units can </w:t>
      </w:r>
      <w:r w:rsidR="00C20F6F" w:rsidRPr="00084486">
        <w:rPr>
          <w:highlight w:val="white"/>
        </w:rPr>
        <w:t xml:space="preserve">be </w:t>
      </w:r>
      <w:r w:rsidRPr="00084486">
        <w:rPr>
          <w:highlight w:val="white"/>
        </w:rPr>
        <w:t>accommodate</w:t>
      </w:r>
      <w:r w:rsidR="00C20F6F" w:rsidRPr="00084486">
        <w:rPr>
          <w:highlight w:val="white"/>
        </w:rPr>
        <w:t>d</w:t>
      </w:r>
      <w:r w:rsidRPr="00084486">
        <w:rPr>
          <w:highlight w:val="white"/>
        </w:rPr>
        <w:t xml:space="preserve"> on those sites</w:t>
      </w:r>
      <w:r w:rsidR="0044777E" w:rsidRPr="00084486">
        <w:rPr>
          <w:highlight w:val="white"/>
        </w:rPr>
        <w:t>.</w:t>
      </w:r>
    </w:p>
    <w:p w14:paraId="6713AD1C" w14:textId="08EEEA29" w:rsidR="001050CB" w:rsidRPr="00B40829" w:rsidRDefault="00B40829" w:rsidP="00B40829">
      <w:pPr>
        <w:pStyle w:val="ListParagraph"/>
        <w:numPr>
          <w:ilvl w:val="0"/>
          <w:numId w:val="20"/>
        </w:numPr>
        <w:rPr>
          <w:rFonts w:cstheme="minorHAnsi"/>
        </w:rPr>
      </w:pPr>
      <w:r>
        <w:rPr>
          <w:bCs/>
        </w:rPr>
        <w:t>C</w:t>
      </w:r>
      <w:r w:rsidR="0044777E" w:rsidRPr="00B40829">
        <w:rPr>
          <w:bCs/>
        </w:rPr>
        <w:t xml:space="preserve">ompare units calculated for A and B. </w:t>
      </w:r>
      <w:r w:rsidR="001050CB" w:rsidRPr="00B40829">
        <w:rPr>
          <w:bCs/>
        </w:rPr>
        <w:t>I</w:t>
      </w:r>
      <w:r w:rsidR="00F36B7B">
        <w:rPr>
          <w:bCs/>
        </w:rPr>
        <w:t>f</w:t>
      </w:r>
      <w:r w:rsidR="001050CB" w:rsidRPr="00B40829">
        <w:rPr>
          <w:bCs/>
        </w:rPr>
        <w:t xml:space="preserve"> the</w:t>
      </w:r>
      <w:r w:rsidR="001050CB" w:rsidRPr="00B40829">
        <w:rPr>
          <w:b/>
        </w:rPr>
        <w:t xml:space="preserve"> </w:t>
      </w:r>
      <w:r w:rsidR="001050CB" w:rsidRPr="00B40829">
        <w:rPr>
          <w:bCs/>
        </w:rPr>
        <w:t>number</w:t>
      </w:r>
      <w:r w:rsidR="001050CB" w:rsidRPr="00B40829">
        <w:rPr>
          <w:b/>
        </w:rPr>
        <w:t xml:space="preserve"> </w:t>
      </w:r>
      <w:r w:rsidR="0044777E" w:rsidRPr="00B40829">
        <w:rPr>
          <w:bCs/>
        </w:rPr>
        <w:t xml:space="preserve">of units </w:t>
      </w:r>
      <w:r w:rsidR="001050CB" w:rsidRPr="00B40829">
        <w:rPr>
          <w:bCs/>
        </w:rPr>
        <w:t>calculated</w:t>
      </w:r>
      <w:r w:rsidR="001050CB" w:rsidRPr="00B40829">
        <w:rPr>
          <w:b/>
        </w:rPr>
        <w:t xml:space="preserve"> </w:t>
      </w:r>
      <w:r w:rsidR="001050CB" w:rsidRPr="00B40829">
        <w:rPr>
          <w:bCs/>
        </w:rPr>
        <w:t>for</w:t>
      </w:r>
      <w:r w:rsidR="001050CB" w:rsidRPr="00B40829">
        <w:rPr>
          <w:b/>
        </w:rPr>
        <w:t xml:space="preserve"> </w:t>
      </w:r>
      <w:r w:rsidR="001050CB" w:rsidRPr="00B40829">
        <w:rPr>
          <w:bCs/>
        </w:rPr>
        <w:t xml:space="preserve">B </w:t>
      </w:r>
      <w:proofErr w:type="gramStart"/>
      <w:r w:rsidR="001050CB" w:rsidRPr="00B40829">
        <w:rPr>
          <w:bCs/>
        </w:rPr>
        <w:t>greater</w:t>
      </w:r>
      <w:proofErr w:type="gramEnd"/>
      <w:r w:rsidR="001050CB" w:rsidRPr="00B40829">
        <w:rPr>
          <w:bCs/>
        </w:rPr>
        <w:t xml:space="preserve"> than</w:t>
      </w:r>
      <w:r w:rsidR="00F36B7B">
        <w:rPr>
          <w:bCs/>
        </w:rPr>
        <w:t xml:space="preserve"> A</w:t>
      </w:r>
      <w:r w:rsidR="0044777E" w:rsidRPr="00B40829">
        <w:rPr>
          <w:rFonts w:eastAsia="Arial Unicode MS" w:cstheme="minorHAnsi"/>
          <w:bCs/>
        </w:rPr>
        <w:t>,</w:t>
      </w:r>
      <w:r w:rsidR="0044777E" w:rsidRPr="00B40829">
        <w:rPr>
          <w:rFonts w:eastAsia="Arial Unicode MS" w:cstheme="minorHAnsi"/>
          <w:b/>
        </w:rPr>
        <w:t xml:space="preserve"> </w:t>
      </w:r>
      <w:r w:rsidR="0044777E" w:rsidRPr="00B40829">
        <w:rPr>
          <w:rFonts w:eastAsia="Arial Unicode MS" w:cstheme="minorHAnsi"/>
          <w:bCs/>
        </w:rPr>
        <w:t xml:space="preserve">then you </w:t>
      </w:r>
      <w:r w:rsidR="00AE73B8">
        <w:rPr>
          <w:rFonts w:eastAsia="Arial Unicode MS" w:cstheme="minorHAnsi"/>
          <w:bCs/>
        </w:rPr>
        <w:t xml:space="preserve">have </w:t>
      </w:r>
      <w:r w:rsidR="003D7B78">
        <w:rPr>
          <w:rFonts w:eastAsia="Arial Unicode MS" w:cstheme="minorHAnsi"/>
          <w:bCs/>
        </w:rPr>
        <w:t>met</w:t>
      </w:r>
      <w:r w:rsidR="00AE73B8">
        <w:rPr>
          <w:rFonts w:eastAsia="Arial Unicode MS" w:cstheme="minorHAnsi"/>
          <w:bCs/>
        </w:rPr>
        <w:t xml:space="preserve"> the requirement f</w:t>
      </w:r>
      <w:r w:rsidR="0044777E" w:rsidRPr="00B40829">
        <w:rPr>
          <w:rFonts w:cstheme="minorHAnsi"/>
        </w:rPr>
        <w:t>or moderate-income</w:t>
      </w:r>
      <w:r w:rsidR="001F117C">
        <w:rPr>
          <w:rFonts w:cstheme="minorHAnsi"/>
        </w:rPr>
        <w:t xml:space="preserve"> </w:t>
      </w:r>
      <w:r w:rsidR="0044777E" w:rsidRPr="00B40829">
        <w:rPr>
          <w:rFonts w:cstheme="minorHAnsi"/>
        </w:rPr>
        <w:t>units</w:t>
      </w:r>
      <w:r w:rsidR="00084486" w:rsidRPr="00B40829">
        <w:rPr>
          <w:rFonts w:cstheme="minorHAnsi"/>
        </w:rPr>
        <w:t>.</w:t>
      </w:r>
    </w:p>
    <w:p w14:paraId="6FEA96D4" w14:textId="1585C260" w:rsidR="00FC0A2C" w:rsidRDefault="00084486" w:rsidP="001050CB">
      <w:pPr>
        <w:pStyle w:val="Heading3"/>
      </w:pPr>
      <w:r>
        <w:t xml:space="preserve">Step 2: </w:t>
      </w:r>
      <w:r w:rsidR="001050CB">
        <w:t>Calculate Above</w:t>
      </w:r>
      <w:r w:rsidR="00395921">
        <w:t>-</w:t>
      </w:r>
      <w:r w:rsidR="00C92E0A">
        <w:t>Moderate-Income</w:t>
      </w:r>
      <w:r w:rsidR="001050CB">
        <w:t xml:space="preserve"> Units</w:t>
      </w:r>
    </w:p>
    <w:p w14:paraId="47B4E7CC" w14:textId="1B95A4CF" w:rsidR="00E76D8B" w:rsidRPr="00E76D8B" w:rsidRDefault="00084486" w:rsidP="00F36B7B">
      <w:pPr>
        <w:pStyle w:val="ListParagraph"/>
        <w:numPr>
          <w:ilvl w:val="0"/>
          <w:numId w:val="22"/>
        </w:numPr>
        <w:spacing w:after="0" w:line="276" w:lineRule="auto"/>
      </w:pPr>
      <w:r>
        <w:t xml:space="preserve"> </w:t>
      </w:r>
      <w:r w:rsidR="00F36B7B">
        <w:t>T</w:t>
      </w:r>
      <w:r w:rsidR="0044777E" w:rsidRPr="00084486">
        <w:t xml:space="preserve">ake </w:t>
      </w:r>
      <w:r w:rsidR="00F36B7B">
        <w:t xml:space="preserve">the </w:t>
      </w:r>
      <w:r w:rsidR="0044777E" w:rsidRPr="00084486">
        <w:t>RHNA for above-moderate</w:t>
      </w:r>
      <w:r w:rsidR="00F36B7B">
        <w:t>-</w:t>
      </w:r>
      <w:r w:rsidR="0044777E" w:rsidRPr="00084486">
        <w:t>income units</w:t>
      </w:r>
      <w:r w:rsidR="00F36B7B">
        <w:t xml:space="preserve"> and m</w:t>
      </w:r>
      <w:r w:rsidR="0044777E" w:rsidRPr="00084486">
        <w:t xml:space="preserve">ultiply by 0.25 to calculate the </w:t>
      </w:r>
      <w:r w:rsidR="0044777E" w:rsidRPr="00F36B7B">
        <w:rPr>
          <w:bCs/>
        </w:rPr>
        <w:t xml:space="preserve">minimum </w:t>
      </w:r>
      <w:r w:rsidR="00F36B7B">
        <w:rPr>
          <w:bCs/>
        </w:rPr>
        <w:t>number</w:t>
      </w:r>
      <w:r w:rsidR="0044777E" w:rsidRPr="00F36B7B">
        <w:rPr>
          <w:bCs/>
        </w:rPr>
        <w:t xml:space="preserve"> of units required.</w:t>
      </w:r>
      <w:r w:rsidR="0044777E" w:rsidRPr="00F36B7B">
        <w:rPr>
          <w:b/>
        </w:rPr>
        <w:t xml:space="preserve"> </w:t>
      </w:r>
    </w:p>
    <w:p w14:paraId="1318325E" w14:textId="6C377D17" w:rsidR="001050CB" w:rsidRPr="00084486" w:rsidRDefault="00B40829" w:rsidP="00E76D8B">
      <w:pPr>
        <w:pStyle w:val="ListParagraph"/>
        <w:numPr>
          <w:ilvl w:val="0"/>
          <w:numId w:val="22"/>
        </w:numPr>
        <w:spacing w:after="0" w:line="276" w:lineRule="auto"/>
      </w:pPr>
      <w:r>
        <w:lastRenderedPageBreak/>
        <w:t>L</w:t>
      </w:r>
      <w:r w:rsidR="001050CB" w:rsidRPr="00084486">
        <w:t xml:space="preserve">ook at </w:t>
      </w:r>
      <w:r w:rsidR="00C20F6F" w:rsidRPr="00084486">
        <w:t xml:space="preserve">the </w:t>
      </w:r>
      <w:r w:rsidR="00C92E0A" w:rsidRPr="00084486">
        <w:t>moderate-income</w:t>
      </w:r>
      <w:r w:rsidR="001050CB" w:rsidRPr="00084486">
        <w:t xml:space="preserve"> sites in </w:t>
      </w:r>
      <w:r w:rsidR="00C20F6F" w:rsidRPr="00084486">
        <w:t xml:space="preserve">the </w:t>
      </w:r>
      <w:r w:rsidR="001050CB" w:rsidRPr="00084486">
        <w:t>inventor</w:t>
      </w:r>
      <w:r w:rsidR="00D64F98" w:rsidRPr="00084486">
        <w:t xml:space="preserve">y, </w:t>
      </w:r>
      <w:r w:rsidR="00084486">
        <w:t>and</w:t>
      </w:r>
      <w:r w:rsidR="00D64F98" w:rsidRPr="00084486">
        <w:t xml:space="preserve">: </w:t>
      </w:r>
    </w:p>
    <w:p w14:paraId="22510CA7" w14:textId="43239289" w:rsidR="001050CB" w:rsidRPr="00084486" w:rsidRDefault="001050CB" w:rsidP="001050CB">
      <w:pPr>
        <w:numPr>
          <w:ilvl w:val="1"/>
          <w:numId w:val="21"/>
        </w:numPr>
        <w:spacing w:after="0" w:line="276" w:lineRule="auto"/>
      </w:pPr>
      <w:r w:rsidRPr="00084486">
        <w:t xml:space="preserve">Eliminate sites that do not accommodate at least </w:t>
      </w:r>
      <w:r w:rsidR="00BC0499" w:rsidRPr="00084486">
        <w:t xml:space="preserve">four </w:t>
      </w:r>
      <w:r w:rsidRPr="00084486">
        <w:t>units</w:t>
      </w:r>
      <w:r w:rsidR="00985850" w:rsidRPr="00084486">
        <w:t>,</w:t>
      </w:r>
    </w:p>
    <w:p w14:paraId="0562FC9D" w14:textId="77777777" w:rsidR="00E76D8B" w:rsidRDefault="001050CB" w:rsidP="00084486">
      <w:pPr>
        <w:numPr>
          <w:ilvl w:val="1"/>
          <w:numId w:val="21"/>
        </w:numPr>
        <w:spacing w:after="0" w:line="276" w:lineRule="auto"/>
      </w:pPr>
      <w:r w:rsidRPr="00084486">
        <w:rPr>
          <w:highlight w:val="white"/>
        </w:rPr>
        <w:t xml:space="preserve">Calculate how many units can </w:t>
      </w:r>
      <w:r w:rsidR="00C20F6F" w:rsidRPr="00084486">
        <w:rPr>
          <w:highlight w:val="white"/>
        </w:rPr>
        <w:t xml:space="preserve">be </w:t>
      </w:r>
      <w:r w:rsidRPr="00084486">
        <w:rPr>
          <w:highlight w:val="white"/>
        </w:rPr>
        <w:t>accommodate</w:t>
      </w:r>
      <w:r w:rsidR="00C20F6F" w:rsidRPr="00084486">
        <w:rPr>
          <w:highlight w:val="white"/>
        </w:rPr>
        <w:t>d</w:t>
      </w:r>
      <w:r w:rsidRPr="00084486">
        <w:rPr>
          <w:highlight w:val="white"/>
        </w:rPr>
        <w:t xml:space="preserve"> on those sites</w:t>
      </w:r>
      <w:r w:rsidR="00985850" w:rsidRPr="00084486">
        <w:t>.</w:t>
      </w:r>
    </w:p>
    <w:p w14:paraId="6E786BC4" w14:textId="1DA455C3" w:rsidR="00084486" w:rsidRPr="00B40829" w:rsidRDefault="00B40829" w:rsidP="00E76D8B">
      <w:pPr>
        <w:numPr>
          <w:ilvl w:val="0"/>
          <w:numId w:val="21"/>
        </w:numPr>
        <w:spacing w:after="0" w:line="276" w:lineRule="auto"/>
      </w:pPr>
      <w:r>
        <w:rPr>
          <w:bCs/>
        </w:rPr>
        <w:t>C</w:t>
      </w:r>
      <w:r w:rsidR="00084486" w:rsidRPr="00E76D8B">
        <w:rPr>
          <w:bCs/>
        </w:rPr>
        <w:t>ompare units calculated for A and B. I</w:t>
      </w:r>
      <w:r w:rsidR="00F36B7B">
        <w:rPr>
          <w:bCs/>
        </w:rPr>
        <w:t xml:space="preserve">f </w:t>
      </w:r>
      <w:r w:rsidR="00084486" w:rsidRPr="00E76D8B">
        <w:rPr>
          <w:bCs/>
        </w:rPr>
        <w:t>the</w:t>
      </w:r>
      <w:r w:rsidR="00084486" w:rsidRPr="00E76D8B">
        <w:rPr>
          <w:b/>
        </w:rPr>
        <w:t xml:space="preserve"> </w:t>
      </w:r>
      <w:r w:rsidR="00084486" w:rsidRPr="00E76D8B">
        <w:rPr>
          <w:bCs/>
        </w:rPr>
        <w:t>number</w:t>
      </w:r>
      <w:r w:rsidR="00084486" w:rsidRPr="00E76D8B">
        <w:rPr>
          <w:b/>
        </w:rPr>
        <w:t xml:space="preserve"> </w:t>
      </w:r>
      <w:r w:rsidR="00084486" w:rsidRPr="00E76D8B">
        <w:rPr>
          <w:bCs/>
        </w:rPr>
        <w:t>of units calculated</w:t>
      </w:r>
      <w:r w:rsidR="00084486" w:rsidRPr="00E76D8B">
        <w:rPr>
          <w:b/>
        </w:rPr>
        <w:t xml:space="preserve"> </w:t>
      </w:r>
      <w:r w:rsidR="00084486" w:rsidRPr="00E76D8B">
        <w:rPr>
          <w:bCs/>
        </w:rPr>
        <w:t>for</w:t>
      </w:r>
      <w:r w:rsidR="00084486" w:rsidRPr="00E76D8B">
        <w:rPr>
          <w:b/>
        </w:rPr>
        <w:t xml:space="preserve"> </w:t>
      </w:r>
      <w:r w:rsidR="00084486" w:rsidRPr="00E76D8B">
        <w:rPr>
          <w:bCs/>
        </w:rPr>
        <w:t xml:space="preserve">B </w:t>
      </w:r>
      <w:r w:rsidR="003D7B78" w:rsidRPr="00E76D8B">
        <w:rPr>
          <w:bCs/>
        </w:rPr>
        <w:t>is greater</w:t>
      </w:r>
      <w:r w:rsidR="00084486" w:rsidRPr="00E76D8B">
        <w:rPr>
          <w:bCs/>
        </w:rPr>
        <w:t xml:space="preserve"> than A</w:t>
      </w:r>
      <w:r w:rsidR="00F36B7B">
        <w:rPr>
          <w:bCs/>
        </w:rPr>
        <w:t xml:space="preserve">, </w:t>
      </w:r>
      <w:r w:rsidR="00084486" w:rsidRPr="00E76D8B">
        <w:rPr>
          <w:rFonts w:eastAsia="Arial Unicode MS" w:cstheme="minorHAnsi"/>
          <w:bCs/>
        </w:rPr>
        <w:t xml:space="preserve">then you </w:t>
      </w:r>
      <w:r w:rsidR="00AE73B8">
        <w:rPr>
          <w:rFonts w:eastAsia="Arial Unicode MS" w:cstheme="minorHAnsi"/>
          <w:bCs/>
        </w:rPr>
        <w:t xml:space="preserve">have met the requirement </w:t>
      </w:r>
      <w:r w:rsidR="00084486" w:rsidRPr="00E76D8B">
        <w:rPr>
          <w:rFonts w:cstheme="minorHAnsi"/>
        </w:rPr>
        <w:t xml:space="preserve">for </w:t>
      </w:r>
      <w:r w:rsidR="003D051D">
        <w:rPr>
          <w:rFonts w:cstheme="minorHAnsi"/>
        </w:rPr>
        <w:t>above-</w:t>
      </w:r>
      <w:r w:rsidR="00084486" w:rsidRPr="00E76D8B">
        <w:rPr>
          <w:rFonts w:cstheme="minorHAnsi"/>
        </w:rPr>
        <w:t>moderate-income</w:t>
      </w:r>
      <w:r w:rsidR="00F36B7B">
        <w:rPr>
          <w:rFonts w:cstheme="minorHAnsi"/>
        </w:rPr>
        <w:t xml:space="preserve"> </w:t>
      </w:r>
      <w:r w:rsidR="00084486" w:rsidRPr="00E76D8B">
        <w:rPr>
          <w:rFonts w:cstheme="minorHAnsi"/>
        </w:rPr>
        <w:t>units.</w:t>
      </w:r>
    </w:p>
    <w:p w14:paraId="54C9803B" w14:textId="58A0588A" w:rsidR="00B40829" w:rsidRDefault="00B40829" w:rsidP="00B40829">
      <w:pPr>
        <w:pStyle w:val="Heading3"/>
      </w:pPr>
      <w:r>
        <w:t>Step 3: Confirm Compliance</w:t>
      </w:r>
    </w:p>
    <w:p w14:paraId="0E7E2530" w14:textId="447AE13F" w:rsidR="00B40829" w:rsidRPr="00E76D8B" w:rsidRDefault="00F36B7B" w:rsidP="00B40829">
      <w:pPr>
        <w:spacing w:after="0" w:line="276" w:lineRule="auto"/>
      </w:pPr>
      <w:r>
        <w:rPr>
          <w:bCs/>
        </w:rPr>
        <w:t xml:space="preserve">If </w:t>
      </w:r>
      <w:r w:rsidR="00AE73B8">
        <w:rPr>
          <w:bCs/>
        </w:rPr>
        <w:t xml:space="preserve">you have </w:t>
      </w:r>
      <w:r w:rsidR="003D7B78">
        <w:rPr>
          <w:bCs/>
        </w:rPr>
        <w:t>met</w:t>
      </w:r>
      <w:r w:rsidR="00AE73B8">
        <w:rPr>
          <w:bCs/>
        </w:rPr>
        <w:t xml:space="preserve"> the requirement</w:t>
      </w:r>
      <w:r>
        <w:rPr>
          <w:bCs/>
        </w:rPr>
        <w:t xml:space="preserve"> for both Step 1 and Step 2,</w:t>
      </w:r>
      <w:r w:rsidR="00B40829" w:rsidRPr="00B40829">
        <w:rPr>
          <w:bCs/>
        </w:rPr>
        <w:t xml:space="preserve"> </w:t>
      </w:r>
      <w:r w:rsidR="00B40829" w:rsidRPr="00B40829">
        <w:rPr>
          <w:rFonts w:eastAsia="Arial Unicode MS" w:cstheme="minorHAnsi"/>
          <w:bCs/>
        </w:rPr>
        <w:t xml:space="preserve">then you </w:t>
      </w:r>
      <w:proofErr w:type="gramStart"/>
      <w:r w:rsidR="00B40829" w:rsidRPr="00B40829">
        <w:rPr>
          <w:rFonts w:eastAsia="Arial Unicode MS" w:cstheme="minorHAnsi"/>
          <w:bCs/>
        </w:rPr>
        <w:t>are in c</w:t>
      </w:r>
      <w:r w:rsidR="00B40829" w:rsidRPr="00B40829">
        <w:rPr>
          <w:rFonts w:cstheme="minorHAnsi"/>
          <w:bCs/>
        </w:rPr>
        <w:t>ompliance</w:t>
      </w:r>
      <w:r w:rsidR="00B40829" w:rsidRPr="00B40829">
        <w:rPr>
          <w:rFonts w:cstheme="minorHAnsi"/>
        </w:rPr>
        <w:t xml:space="preserve"> with</w:t>
      </w:r>
      <w:proofErr w:type="gramEnd"/>
      <w:r w:rsidR="00B40829" w:rsidRPr="00B40829">
        <w:rPr>
          <w:rFonts w:cstheme="minorHAnsi"/>
        </w:rPr>
        <w:t xml:space="preserve"> AB 725</w:t>
      </w:r>
      <w:r w:rsidR="003D051D" w:rsidRPr="003D051D">
        <w:rPr>
          <w:rFonts w:cstheme="minorHAnsi"/>
        </w:rPr>
        <w:t xml:space="preserve"> </w:t>
      </w:r>
      <w:r>
        <w:rPr>
          <w:rFonts w:cstheme="minorHAnsi"/>
        </w:rPr>
        <w:t xml:space="preserve">requirements for </w:t>
      </w:r>
      <w:r w:rsidR="003D051D" w:rsidRPr="00E76D8B">
        <w:rPr>
          <w:rFonts w:cstheme="minorHAnsi"/>
        </w:rPr>
        <w:t>moderate-income-</w:t>
      </w:r>
      <w:r w:rsidR="003D051D">
        <w:rPr>
          <w:rFonts w:cstheme="minorHAnsi"/>
        </w:rPr>
        <w:t>and above-</w:t>
      </w:r>
      <w:r w:rsidR="003D051D" w:rsidRPr="00E76D8B">
        <w:rPr>
          <w:rFonts w:cstheme="minorHAnsi"/>
        </w:rPr>
        <w:t>moderate-income</w:t>
      </w:r>
      <w:r w:rsidR="003D051D">
        <w:rPr>
          <w:rFonts w:cstheme="minorHAnsi"/>
        </w:rPr>
        <w:t xml:space="preserve"> </w:t>
      </w:r>
      <w:r w:rsidR="003D051D" w:rsidRPr="00E76D8B">
        <w:rPr>
          <w:rFonts w:cstheme="minorHAnsi"/>
        </w:rPr>
        <w:t>units</w:t>
      </w:r>
      <w:r w:rsidR="00B40829" w:rsidRPr="00B40829">
        <w:rPr>
          <w:rFonts w:cstheme="minorHAnsi"/>
        </w:rPr>
        <w:t>.</w:t>
      </w:r>
    </w:p>
    <w:p w14:paraId="20767EBB" w14:textId="2AC08F53" w:rsidR="00084486" w:rsidRPr="001F117C" w:rsidRDefault="00084486" w:rsidP="001F117C">
      <w:pPr>
        <w:pStyle w:val="ListParagraph"/>
        <w:numPr>
          <w:ilvl w:val="0"/>
          <w:numId w:val="40"/>
        </w:numPr>
        <w:rPr>
          <w:rFonts w:cs="Calibri"/>
          <w:b/>
          <w:color w:val="1374A9" w:themeColor="background1"/>
          <w:sz w:val="34"/>
          <w:szCs w:val="34"/>
        </w:rPr>
      </w:pPr>
    </w:p>
    <w:p w14:paraId="6EF6680F" w14:textId="08C248FB" w:rsidR="0033343A" w:rsidRDefault="00395921" w:rsidP="00395921">
      <w:pPr>
        <w:pStyle w:val="Heading2"/>
      </w:pPr>
      <w:r>
        <w:t>Statutory Language</w:t>
      </w:r>
    </w:p>
    <w:p w14:paraId="778D781C" w14:textId="70E7F283" w:rsidR="00395921" w:rsidRPr="009B37F5" w:rsidRDefault="00395921" w:rsidP="00395921">
      <w:pPr>
        <w:rPr>
          <w:rFonts w:cstheme="minorHAnsi"/>
        </w:rPr>
      </w:pPr>
      <w:r w:rsidRPr="009B37F5">
        <w:rPr>
          <w:rFonts w:cstheme="minorHAnsi"/>
        </w:rPr>
        <w:t>Government Code Section 65583.2(c)(4):</w:t>
      </w:r>
    </w:p>
    <w:p w14:paraId="56EA25C1" w14:textId="1DE98169" w:rsidR="00395921" w:rsidRPr="009B37F5" w:rsidRDefault="00395921" w:rsidP="00395921">
      <w:pPr>
        <w:pStyle w:val="ListParagraph"/>
        <w:numPr>
          <w:ilvl w:val="0"/>
          <w:numId w:val="34"/>
        </w:numPr>
        <w:ind w:left="360"/>
        <w:rPr>
          <w:rFonts w:cstheme="minorHAnsi"/>
        </w:rPr>
      </w:pPr>
      <w:r w:rsidRPr="009B37F5">
        <w:rPr>
          <w:rFonts w:cstheme="minorHAnsi"/>
        </w:rPr>
        <w:t>For a metropolitan jurisdiction:</w:t>
      </w:r>
    </w:p>
    <w:p w14:paraId="1AB096EA" w14:textId="77777777" w:rsidR="00395921" w:rsidRPr="009B37F5" w:rsidRDefault="00395921" w:rsidP="00395921">
      <w:pPr>
        <w:pStyle w:val="ListParagraph"/>
        <w:numPr>
          <w:ilvl w:val="0"/>
          <w:numId w:val="35"/>
        </w:numPr>
        <w:ind w:left="360" w:firstLine="0"/>
        <w:rPr>
          <w:rFonts w:cstheme="minorHAnsi"/>
        </w:rPr>
      </w:pPr>
      <w:r w:rsidRPr="009B37F5">
        <w:rPr>
          <w:rFonts w:cstheme="minorHAnsi"/>
        </w:rPr>
        <w:t>At least 25 percent of the jurisdiction’s share of the regional housing need for moderate-income housing shall be allocated to sites with zoning that allows at least 4 units of housing, but not more than 100 units per acre of housing.</w:t>
      </w:r>
    </w:p>
    <w:p w14:paraId="3A6F9B3C" w14:textId="10065104" w:rsidR="00395921" w:rsidRPr="009B37F5" w:rsidRDefault="00395921" w:rsidP="00395921">
      <w:pPr>
        <w:pStyle w:val="ListParagraph"/>
        <w:numPr>
          <w:ilvl w:val="0"/>
          <w:numId w:val="35"/>
        </w:numPr>
        <w:ind w:left="360" w:firstLine="0"/>
        <w:rPr>
          <w:rFonts w:cstheme="minorHAnsi"/>
        </w:rPr>
      </w:pPr>
      <w:r w:rsidRPr="009B37F5">
        <w:rPr>
          <w:rFonts w:cstheme="minorHAnsi"/>
        </w:rPr>
        <w:t>At least 25 percent of the jurisdiction’s share of the regional housing need for above moderate-income housing shall be allocated to sites with zoning that allows at least 4 units of housing.</w:t>
      </w:r>
    </w:p>
    <w:p w14:paraId="66A30F8E" w14:textId="77777777" w:rsidR="00395921" w:rsidRPr="009B37F5" w:rsidRDefault="00395921" w:rsidP="00395921">
      <w:pPr>
        <w:rPr>
          <w:rFonts w:cstheme="minorHAnsi"/>
          <w:color w:val="333333"/>
        </w:rPr>
      </w:pPr>
      <w:r w:rsidRPr="009B37F5">
        <w:rPr>
          <w:rFonts w:cstheme="minorHAnsi"/>
          <w:color w:val="333333"/>
        </w:rPr>
        <w:t>(B) The allocation of moderate-income and above moderate-income housing to sites pursuant to this paragraph shall not be a basis for the jurisdiction to do either of the following:</w:t>
      </w:r>
    </w:p>
    <w:p w14:paraId="244BE51C" w14:textId="77777777" w:rsidR="00395921" w:rsidRPr="009B37F5" w:rsidRDefault="00395921" w:rsidP="00395921">
      <w:pPr>
        <w:ind w:left="360"/>
        <w:rPr>
          <w:rFonts w:cstheme="minorHAnsi"/>
          <w:color w:val="333333"/>
        </w:rPr>
      </w:pPr>
      <w:r w:rsidRPr="009B37F5">
        <w:rPr>
          <w:rFonts w:cstheme="minorHAnsi"/>
          <w:color w:val="333333"/>
        </w:rPr>
        <w:t>(i) Deny a project that does not comply with the allocation.</w:t>
      </w:r>
    </w:p>
    <w:p w14:paraId="3559D388" w14:textId="08A45B36" w:rsidR="00395921" w:rsidRPr="009B37F5" w:rsidRDefault="00395921" w:rsidP="00395921">
      <w:pPr>
        <w:ind w:left="360"/>
        <w:rPr>
          <w:rFonts w:cstheme="minorHAnsi"/>
          <w:color w:val="333333"/>
        </w:rPr>
      </w:pPr>
      <w:r w:rsidRPr="009B37F5">
        <w:rPr>
          <w:rFonts w:cstheme="minorHAnsi"/>
          <w:color w:val="333333"/>
        </w:rPr>
        <w:t>(ii) Impose a price minimum, price maximum, price control, or any other exaction or condition of approval in lieu thereof. This clause does not prohibit a jurisdiction from imposing any price minimum, price maximum, price control, exaction, or condition in lieu thereof, pursuant to any other law.</w:t>
      </w:r>
    </w:p>
    <w:p w14:paraId="5214D655" w14:textId="77777777" w:rsidR="00395921" w:rsidRPr="009B37F5" w:rsidRDefault="00395921" w:rsidP="00395921">
      <w:pPr>
        <w:ind w:left="360"/>
        <w:rPr>
          <w:rFonts w:cstheme="minorHAnsi"/>
          <w:color w:val="333333"/>
        </w:rPr>
      </w:pPr>
      <w:r w:rsidRPr="009B37F5">
        <w:rPr>
          <w:rFonts w:cstheme="minorHAnsi"/>
          <w:color w:val="333333"/>
        </w:rPr>
        <w:t xml:space="preserve">(iii) The provisions of this subparagraph do not constitute a change in, but are declaratory of, existing law </w:t>
      </w:r>
      <w:proofErr w:type="gramStart"/>
      <w:r w:rsidRPr="009B37F5">
        <w:rPr>
          <w:rFonts w:cstheme="minorHAnsi"/>
          <w:color w:val="333333"/>
        </w:rPr>
        <w:t>with regard to</w:t>
      </w:r>
      <w:proofErr w:type="gramEnd"/>
      <w:r w:rsidRPr="009B37F5">
        <w:rPr>
          <w:rFonts w:cstheme="minorHAnsi"/>
          <w:color w:val="333333"/>
        </w:rPr>
        <w:t xml:space="preserve"> the allocation of sites pursuant to this section.</w:t>
      </w:r>
    </w:p>
    <w:p w14:paraId="046F5120" w14:textId="77777777" w:rsidR="00395921" w:rsidRPr="009B37F5" w:rsidRDefault="00395921" w:rsidP="00395921">
      <w:pPr>
        <w:rPr>
          <w:rFonts w:cstheme="minorHAnsi"/>
          <w:color w:val="333333"/>
        </w:rPr>
      </w:pPr>
      <w:r w:rsidRPr="009B37F5">
        <w:rPr>
          <w:rFonts w:cstheme="minorHAnsi"/>
          <w:color w:val="333333"/>
        </w:rPr>
        <w:t>(C) This paragraph does not apply to an unincorporated area.</w:t>
      </w:r>
    </w:p>
    <w:p w14:paraId="3D87EEB9" w14:textId="77777777" w:rsidR="00395921" w:rsidRPr="009B37F5" w:rsidRDefault="00395921" w:rsidP="00395921">
      <w:pPr>
        <w:rPr>
          <w:rFonts w:cstheme="minorHAnsi"/>
          <w:color w:val="333333"/>
        </w:rPr>
      </w:pPr>
      <w:r w:rsidRPr="009B37F5">
        <w:rPr>
          <w:rFonts w:cstheme="minorHAnsi"/>
          <w:color w:val="333333"/>
        </w:rPr>
        <w:t>(D) For purposes of this paragraph:</w:t>
      </w:r>
    </w:p>
    <w:p w14:paraId="22DE0E98" w14:textId="77777777" w:rsidR="00395921" w:rsidRPr="009B37F5" w:rsidRDefault="00395921" w:rsidP="00395921">
      <w:pPr>
        <w:ind w:left="360"/>
        <w:rPr>
          <w:rFonts w:cstheme="minorHAnsi"/>
          <w:color w:val="333333"/>
        </w:rPr>
      </w:pPr>
      <w:r w:rsidRPr="009B37F5">
        <w:rPr>
          <w:rFonts w:cstheme="minorHAnsi"/>
          <w:color w:val="333333"/>
        </w:rPr>
        <w:t>(i) “Housing development project” has the same meaning as defined in paragraph (2) of subdivision (h) of Section 65589.5.</w:t>
      </w:r>
    </w:p>
    <w:p w14:paraId="3BE29976" w14:textId="77777777" w:rsidR="00395921" w:rsidRPr="009B37F5" w:rsidRDefault="00395921" w:rsidP="00395921">
      <w:pPr>
        <w:ind w:left="360"/>
        <w:rPr>
          <w:rFonts w:cstheme="minorHAnsi"/>
          <w:color w:val="333333"/>
        </w:rPr>
      </w:pPr>
      <w:r w:rsidRPr="009B37F5">
        <w:rPr>
          <w:rFonts w:cstheme="minorHAnsi"/>
          <w:color w:val="333333"/>
        </w:rPr>
        <w:t>(ii) “Unit of housing” does not include an accessory dwelling unit or junior accessory dwelling unit that could be approved pursuant to Section 65852.2 or Section 65852.22 or through a local ordinance or other provision implementing either of those sections. This paragraph shall not limit the ability of a local government to count the actual production of accessory dwelling units or junior accessory dwelling units in an annual progress report submitted pursuant to Section 65400 or other progress report as determined by the department.</w:t>
      </w:r>
    </w:p>
    <w:p w14:paraId="0FD2DCCD" w14:textId="7B549034" w:rsidR="00BB417C" w:rsidRDefault="00395921" w:rsidP="00084486">
      <w:pPr>
        <w:rPr>
          <w:rFonts w:cstheme="minorHAnsi"/>
          <w:color w:val="333333"/>
        </w:rPr>
      </w:pPr>
      <w:r w:rsidRPr="009B37F5">
        <w:rPr>
          <w:rFonts w:cstheme="minorHAnsi"/>
          <w:color w:val="333333"/>
        </w:rPr>
        <w:lastRenderedPageBreak/>
        <w:t>(E) Nothing in this subdivision shall preclude the subdivision of a parcel, provided that the subdivision is subject to the Subdivision Map Act (Division 2 (commencing with Section 66410)) or any other applicable law authorizing the subdivision of land.</w:t>
      </w:r>
    </w:p>
    <w:p w14:paraId="2544F88F" w14:textId="77777777" w:rsidR="001F117C" w:rsidRPr="00A30A17" w:rsidRDefault="001F117C" w:rsidP="001F117C">
      <w:pPr>
        <w:pStyle w:val="Heading2"/>
      </w:pPr>
      <w:r w:rsidRPr="00A30A17">
        <w:t>Example</w:t>
      </w:r>
      <w:r>
        <w:t xml:space="preserve"> Calculation for Moderate Income Units</w:t>
      </w:r>
    </w:p>
    <w:p w14:paraId="62004FD4" w14:textId="77777777" w:rsidR="001F117C" w:rsidRDefault="001F117C" w:rsidP="001F117C">
      <w:pPr>
        <w:pStyle w:val="ListParagraph"/>
        <w:numPr>
          <w:ilvl w:val="0"/>
          <w:numId w:val="41"/>
        </w:numPr>
        <w:spacing w:after="120"/>
        <w:contextualSpacing w:val="0"/>
      </w:pPr>
      <w:r>
        <w:t>Moderate-</w:t>
      </w:r>
      <w:r w:rsidRPr="0033343A">
        <w:t xml:space="preserve">income RHNA is </w:t>
      </w:r>
      <w:r w:rsidRPr="00F36B7B">
        <w:rPr>
          <w:b/>
          <w:bCs/>
        </w:rPr>
        <w:t>400 units</w:t>
      </w:r>
      <w:r w:rsidRPr="0033343A">
        <w:t xml:space="preserve">. </w:t>
      </w:r>
      <w:r>
        <w:t xml:space="preserve">Multiply </w:t>
      </w:r>
      <w:r w:rsidRPr="00F36B7B">
        <w:rPr>
          <w:b/>
          <w:bCs/>
        </w:rPr>
        <w:t>400 units</w:t>
      </w:r>
      <w:r w:rsidRPr="005A3372">
        <w:t xml:space="preserve"> </w:t>
      </w:r>
      <w:r>
        <w:t>by</w:t>
      </w:r>
      <w:r w:rsidRPr="005A3372">
        <w:t xml:space="preserve"> 0.25</w:t>
      </w:r>
      <w:r>
        <w:t>, which equals</w:t>
      </w:r>
      <w:r w:rsidRPr="005A3372">
        <w:t xml:space="preserve"> </w:t>
      </w:r>
      <w:r w:rsidRPr="00F36B7B">
        <w:rPr>
          <w:b/>
          <w:bCs/>
        </w:rPr>
        <w:t>100 units</w:t>
      </w:r>
      <w:r w:rsidRPr="00F36B7B">
        <w:rPr>
          <w:b/>
        </w:rPr>
        <w:t xml:space="preserve"> </w:t>
      </w:r>
      <w:r w:rsidRPr="00F36B7B">
        <w:rPr>
          <w:bCs/>
        </w:rPr>
        <w:t>(minimum number of moderate-income units required).</w:t>
      </w:r>
      <w:r w:rsidRPr="00F36B7B">
        <w:rPr>
          <w:b/>
          <w:color w:val="FFFFFF"/>
        </w:rPr>
        <w:t xml:space="preserve"> </w:t>
      </w:r>
    </w:p>
    <w:p w14:paraId="4103559A" w14:textId="77777777" w:rsidR="001F117C" w:rsidRPr="00F36B7B" w:rsidRDefault="001F117C" w:rsidP="001F117C">
      <w:pPr>
        <w:pStyle w:val="ListParagraph"/>
        <w:numPr>
          <w:ilvl w:val="0"/>
          <w:numId w:val="41"/>
        </w:numPr>
        <w:spacing w:after="120"/>
        <w:contextualSpacing w:val="0"/>
      </w:pPr>
      <w:r w:rsidRPr="005A3372">
        <w:t>The jurisdiction identifies 30 sites that are planned for moderate income, allow at least four units, and permit less than 100 DUA. The 30 sites will account for</w:t>
      </w:r>
      <w:r>
        <w:t xml:space="preserve"> </w:t>
      </w:r>
      <w:r w:rsidRPr="00F36B7B">
        <w:rPr>
          <w:b/>
          <w:bCs/>
        </w:rPr>
        <w:t xml:space="preserve">150 units. </w:t>
      </w:r>
    </w:p>
    <w:p w14:paraId="07902346" w14:textId="37F7C9C4" w:rsidR="001F117C" w:rsidRPr="00084486" w:rsidRDefault="001F117C" w:rsidP="001F117C">
      <w:pPr>
        <w:rPr>
          <w:rFonts w:cstheme="minorHAnsi"/>
          <w:color w:val="333333"/>
        </w:rPr>
      </w:pPr>
      <w:r w:rsidRPr="001F117C">
        <w:t>If the number of units for B is greater than A, then you have met the requirement for moderate-income units.</w:t>
      </w:r>
    </w:p>
    <w:sectPr w:rsidR="001F117C" w:rsidRPr="00084486" w:rsidSect="00B77630">
      <w:headerReference w:type="default" r:id="rId10"/>
      <w:footerReference w:type="even" r:id="rId11"/>
      <w:footerReference w:type="default" r:id="rId12"/>
      <w:footerReference w:type="first" r:id="rId13"/>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B30E" w14:textId="77777777" w:rsidR="007D223E" w:rsidRDefault="007D223E" w:rsidP="00BB417C">
      <w:r>
        <w:separator/>
      </w:r>
    </w:p>
    <w:p w14:paraId="1B34088A" w14:textId="77777777" w:rsidR="007D223E" w:rsidRDefault="007D223E" w:rsidP="00BB417C"/>
    <w:p w14:paraId="3638518D" w14:textId="77777777" w:rsidR="007D223E" w:rsidRDefault="007D223E" w:rsidP="00BB417C"/>
  </w:endnote>
  <w:endnote w:type="continuationSeparator" w:id="0">
    <w:p w14:paraId="16EA5CC5" w14:textId="77777777" w:rsidR="007D223E" w:rsidRDefault="007D223E" w:rsidP="00BB417C">
      <w:r>
        <w:continuationSeparator/>
      </w:r>
    </w:p>
    <w:p w14:paraId="37F5C124" w14:textId="77777777" w:rsidR="007D223E" w:rsidRDefault="007D223E" w:rsidP="00BB417C"/>
    <w:p w14:paraId="69FF582B" w14:textId="77777777" w:rsidR="007D223E" w:rsidRDefault="007D223E" w:rsidP="00BB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BC0499" w:rsidP="00BB417C">
    <w:pPr>
      <w:pStyle w:val="DocID"/>
    </w:pPr>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p w14:paraId="56647659" w14:textId="5B46C285" w:rsidR="004B4873" w:rsidRDefault="00BB417C" w:rsidP="00BB417C">
            <w:pPr>
              <w:pStyle w:val="Footer"/>
              <w:spacing w:before="120" w:after="0"/>
              <w:jc w:val="right"/>
            </w:pPr>
            <w:r>
              <w:fldChar w:fldCharType="begin"/>
            </w:r>
            <w:r>
              <w:instrText xml:space="preserve"> PAGE   \* MERGEFORMAT </w:instrText>
            </w:r>
            <w:r>
              <w:fldChar w:fldCharType="separate"/>
            </w:r>
            <w:r>
              <w:t>2</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741C4DDA" w:rsidR="003444D7" w:rsidRPr="005D3E5F" w:rsidRDefault="00084486" w:rsidP="00BB417C">
    <w:pPr>
      <w:pStyle w:val="Footer"/>
      <w:tabs>
        <w:tab w:val="clear" w:pos="4680"/>
        <w:tab w:val="clear" w:pos="9360"/>
        <w:tab w:val="right" w:pos="10800"/>
      </w:tabs>
      <w:spacing w:before="120" w:after="0"/>
      <w:rPr>
        <w:noProof/>
      </w:rPr>
    </w:pPr>
    <w:r>
      <w:t>5/4/</w:t>
    </w:r>
    <w:r w:rsidR="00BB417C">
      <w:t>202</w:t>
    </w:r>
    <w:r w:rsidR="00C20F6F">
      <w:t>3</w:t>
    </w:r>
    <w:r w:rsidR="00BB417C">
      <w:tab/>
    </w:r>
    <w:sdt>
      <w:sdtPr>
        <w:id w:val="-178583713"/>
        <w:docPartObj>
          <w:docPartGallery w:val="Page Numbers (Bottom of Page)"/>
          <w:docPartUnique/>
        </w:docPartObj>
      </w:sdtPr>
      <w:sdtEndPr>
        <w:rPr>
          <w:noProof/>
        </w:rPr>
      </w:sdtEndPr>
      <w:sdtContent>
        <w:r w:rsidR="00BB417C">
          <w:fldChar w:fldCharType="begin"/>
        </w:r>
        <w:r w:rsidR="00BB417C">
          <w:instrText xml:space="preserve"> PAGE   \* MERGEFORMAT </w:instrText>
        </w:r>
        <w:r w:rsidR="00BB417C">
          <w:fldChar w:fldCharType="separate"/>
        </w:r>
        <w:r w:rsidR="00BB417C">
          <w:t>2</w:t>
        </w:r>
        <w:r w:rsidR="00BB417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AB15" w14:textId="77777777" w:rsidR="007D223E" w:rsidRDefault="007D223E" w:rsidP="00BB417C">
      <w:r>
        <w:separator/>
      </w:r>
    </w:p>
  </w:footnote>
  <w:footnote w:type="continuationSeparator" w:id="0">
    <w:p w14:paraId="71C185BD" w14:textId="77777777" w:rsidR="007D223E" w:rsidRDefault="007D223E" w:rsidP="00BB417C">
      <w:r>
        <w:continuationSeparator/>
      </w:r>
    </w:p>
    <w:p w14:paraId="2834AA9C" w14:textId="77777777" w:rsidR="007D223E" w:rsidRDefault="007D223E" w:rsidP="00BB417C"/>
    <w:p w14:paraId="0781DB65" w14:textId="77777777" w:rsidR="007D223E" w:rsidRDefault="007D223E" w:rsidP="00BB417C"/>
  </w:footnote>
  <w:footnote w:id="1">
    <w:p w14:paraId="37587FE4" w14:textId="25B6FFB5" w:rsidR="000B3A93" w:rsidRPr="00084486" w:rsidRDefault="000B3A93" w:rsidP="000B3A93">
      <w:pPr>
        <w:spacing w:after="0" w:line="240" w:lineRule="auto"/>
        <w:contextualSpacing/>
        <w:rPr>
          <w:i/>
          <w:iCs/>
        </w:rPr>
      </w:pPr>
      <w:r>
        <w:rPr>
          <w:rStyle w:val="FootnoteReference"/>
        </w:rPr>
        <w:footnoteRef/>
      </w:r>
      <w:r>
        <w:t xml:space="preserve"> </w:t>
      </w:r>
      <w:r w:rsidRPr="00084486">
        <w:rPr>
          <w:sz w:val="20"/>
          <w:szCs w:val="20"/>
        </w:rPr>
        <w:t>Note that the statute specifically provides that a “unit of housing,” for the purpose of this requirement, does not include accessory</w:t>
      </w:r>
      <w:r w:rsidRPr="00084486">
        <w:rPr>
          <w:sz w:val="20"/>
          <w:szCs w:val="20"/>
          <w:shd w:val="clear" w:color="auto" w:fill="F3F3F3"/>
        </w:rPr>
        <w:t xml:space="preserve"> </w:t>
      </w:r>
      <w:r w:rsidRPr="00084486">
        <w:rPr>
          <w:sz w:val="20"/>
          <w:szCs w:val="20"/>
        </w:rPr>
        <w:t>dwelling units or junior accessory dwelling units.</w:t>
      </w:r>
      <w:r w:rsidRPr="009B37F5">
        <w:rPr>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9F95" w14:textId="77777777" w:rsidR="00BB417C" w:rsidRPr="00BB417C" w:rsidRDefault="00BB417C" w:rsidP="00BB417C">
    <w:pPr>
      <w:tabs>
        <w:tab w:val="center" w:pos="4680"/>
        <w:tab w:val="right" w:pos="9360"/>
      </w:tabs>
      <w:spacing w:before="120" w:after="0" w:line="240" w:lineRule="auto"/>
      <w:rPr>
        <w:rFonts w:ascii="Calibri" w:eastAsia="Calibri" w:hAnsi="Calibri" w:cs="Times New Roman"/>
        <w:color w:val="FFFFFF"/>
        <w:sz w:val="32"/>
        <w:szCs w:val="32"/>
      </w:rPr>
    </w:pPr>
    <w:r w:rsidRPr="00BB417C">
      <w:rPr>
        <w:rFonts w:ascii="Calibri" w:eastAsia="Calibri" w:hAnsi="Calibri" w:cs="Times New Roman"/>
        <w:noProof/>
        <w:color w:val="FFFFFF"/>
        <w:sz w:val="32"/>
        <w:szCs w:val="32"/>
      </w:rPr>
      <w:drawing>
        <wp:anchor distT="0" distB="0" distL="114300" distR="114300" simplePos="0" relativeHeight="251659264" behindDoc="1" locked="0" layoutInCell="1" allowOverlap="1" wp14:anchorId="732A04D2" wp14:editId="2E07E97F">
          <wp:simplePos x="0" y="0"/>
          <wp:positionH relativeFrom="margin">
            <wp:posOffset>133</wp:posOffset>
          </wp:positionH>
          <wp:positionV relativeFrom="page">
            <wp:posOffset>210938</wp:posOffset>
          </wp:positionV>
          <wp:extent cx="6858000" cy="841903"/>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58000" cy="841903"/>
                  </a:xfrm>
                  <a:prstGeom prst="rect">
                    <a:avLst/>
                  </a:prstGeom>
                </pic:spPr>
              </pic:pic>
            </a:graphicData>
          </a:graphic>
          <wp14:sizeRelH relativeFrom="page">
            <wp14:pctWidth>0</wp14:pctWidth>
          </wp14:sizeRelH>
          <wp14:sizeRelV relativeFrom="page">
            <wp14:pctHeight>0</wp14:pctHeight>
          </wp14:sizeRelV>
        </wp:anchor>
      </w:drawing>
    </w:r>
    <w:r w:rsidRPr="00BB417C">
      <w:rPr>
        <w:rFonts w:ascii="Calibri" w:eastAsia="Calibri" w:hAnsi="Calibri" w:cs="Times New Roman"/>
        <w:color w:val="FFFFFF"/>
        <w:sz w:val="32"/>
        <w:szCs w:val="32"/>
      </w:rPr>
      <w:t xml:space="preserve"> Regional Housing Technical Assistance Program</w:t>
    </w:r>
  </w:p>
  <w:p w14:paraId="2B1F678B" w14:textId="4DDBF911" w:rsidR="005D3E5F" w:rsidRDefault="005D3E5F" w:rsidP="00BB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ACAA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981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38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D45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28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8DE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A5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66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40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50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F650E"/>
    <w:multiLevelType w:val="multilevel"/>
    <w:tmpl w:val="428EA7E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3BC7776"/>
    <w:multiLevelType w:val="hybridMultilevel"/>
    <w:tmpl w:val="88F0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95656F"/>
    <w:multiLevelType w:val="multilevel"/>
    <w:tmpl w:val="5DA64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5B20E2"/>
    <w:multiLevelType w:val="hybridMultilevel"/>
    <w:tmpl w:val="BE2E7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8929B9"/>
    <w:multiLevelType w:val="hybridMultilevel"/>
    <w:tmpl w:val="9062A0EA"/>
    <w:lvl w:ilvl="0" w:tplc="D4E01670">
      <w:start w:val="1"/>
      <w:numFmt w:val="bullet"/>
      <w:lvlText w:val=""/>
      <w:lvlJc w:val="left"/>
      <w:pPr>
        <w:ind w:left="720" w:hanging="360"/>
      </w:pPr>
      <w:rPr>
        <w:rFonts w:ascii="Symbol" w:hAnsi="Symbol" w:hint="default"/>
      </w:rPr>
    </w:lvl>
    <w:lvl w:ilvl="1" w:tplc="335CD02E">
      <w:start w:val="1"/>
      <w:numFmt w:val="bullet"/>
      <w:lvlText w:val="o"/>
      <w:lvlJc w:val="left"/>
      <w:pPr>
        <w:ind w:left="1440" w:hanging="360"/>
      </w:pPr>
      <w:rPr>
        <w:rFonts w:ascii="Courier New" w:hAnsi="Courier New" w:cs="Courier New" w:hint="default"/>
      </w:rPr>
    </w:lvl>
    <w:lvl w:ilvl="2" w:tplc="F7CCF23A">
      <w:start w:val="1"/>
      <w:numFmt w:val="bullet"/>
      <w:lvlText w:val=""/>
      <w:lvlJc w:val="left"/>
      <w:pPr>
        <w:ind w:left="2160" w:hanging="360"/>
      </w:pPr>
      <w:rPr>
        <w:rFonts w:ascii="Wingdings" w:hAnsi="Wingdings" w:hint="default"/>
      </w:rPr>
    </w:lvl>
    <w:lvl w:ilvl="3" w:tplc="2064F3FE" w:tentative="1">
      <w:start w:val="1"/>
      <w:numFmt w:val="bullet"/>
      <w:lvlText w:val=""/>
      <w:lvlJc w:val="left"/>
      <w:pPr>
        <w:ind w:left="2880" w:hanging="360"/>
      </w:pPr>
      <w:rPr>
        <w:rFonts w:ascii="Symbol" w:hAnsi="Symbol" w:hint="default"/>
      </w:rPr>
    </w:lvl>
    <w:lvl w:ilvl="4" w:tplc="14D22754" w:tentative="1">
      <w:start w:val="1"/>
      <w:numFmt w:val="bullet"/>
      <w:lvlText w:val="o"/>
      <w:lvlJc w:val="left"/>
      <w:pPr>
        <w:ind w:left="3600" w:hanging="360"/>
      </w:pPr>
      <w:rPr>
        <w:rFonts w:ascii="Courier New" w:hAnsi="Courier New" w:cs="Courier New" w:hint="default"/>
      </w:rPr>
    </w:lvl>
    <w:lvl w:ilvl="5" w:tplc="1B6C7E38" w:tentative="1">
      <w:start w:val="1"/>
      <w:numFmt w:val="bullet"/>
      <w:lvlText w:val=""/>
      <w:lvlJc w:val="left"/>
      <w:pPr>
        <w:ind w:left="4320" w:hanging="360"/>
      </w:pPr>
      <w:rPr>
        <w:rFonts w:ascii="Wingdings" w:hAnsi="Wingdings" w:hint="default"/>
      </w:rPr>
    </w:lvl>
    <w:lvl w:ilvl="6" w:tplc="A0D44F0A" w:tentative="1">
      <w:start w:val="1"/>
      <w:numFmt w:val="bullet"/>
      <w:lvlText w:val=""/>
      <w:lvlJc w:val="left"/>
      <w:pPr>
        <w:ind w:left="5040" w:hanging="360"/>
      </w:pPr>
      <w:rPr>
        <w:rFonts w:ascii="Symbol" w:hAnsi="Symbol" w:hint="default"/>
      </w:rPr>
    </w:lvl>
    <w:lvl w:ilvl="7" w:tplc="86D64052" w:tentative="1">
      <w:start w:val="1"/>
      <w:numFmt w:val="bullet"/>
      <w:lvlText w:val="o"/>
      <w:lvlJc w:val="left"/>
      <w:pPr>
        <w:ind w:left="5760" w:hanging="360"/>
      </w:pPr>
      <w:rPr>
        <w:rFonts w:ascii="Courier New" w:hAnsi="Courier New" w:cs="Courier New" w:hint="default"/>
      </w:rPr>
    </w:lvl>
    <w:lvl w:ilvl="8" w:tplc="D71830F8" w:tentative="1">
      <w:start w:val="1"/>
      <w:numFmt w:val="bullet"/>
      <w:lvlText w:val=""/>
      <w:lvlJc w:val="left"/>
      <w:pPr>
        <w:ind w:left="6480" w:hanging="360"/>
      </w:pPr>
      <w:rPr>
        <w:rFonts w:ascii="Wingdings" w:hAnsi="Wingdings" w:hint="default"/>
      </w:rPr>
    </w:lvl>
  </w:abstractNum>
  <w:abstractNum w:abstractNumId="15" w15:restartNumberingAfterBreak="0">
    <w:nsid w:val="16F60BD4"/>
    <w:multiLevelType w:val="hybridMultilevel"/>
    <w:tmpl w:val="2C088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322C4E"/>
    <w:multiLevelType w:val="hybridMultilevel"/>
    <w:tmpl w:val="57A6E8A8"/>
    <w:lvl w:ilvl="0" w:tplc="3064B5B4">
      <w:start w:val="1"/>
      <w:numFmt w:val="upperLetter"/>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D5D5D"/>
    <w:multiLevelType w:val="multilevel"/>
    <w:tmpl w:val="428EA7E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C6D452C"/>
    <w:multiLevelType w:val="multilevel"/>
    <w:tmpl w:val="D640DF3E"/>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432FC6"/>
    <w:multiLevelType w:val="multilevel"/>
    <w:tmpl w:val="A16E6FBA"/>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BB5E1C"/>
    <w:multiLevelType w:val="multilevel"/>
    <w:tmpl w:val="9326B5F8"/>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5500284"/>
    <w:multiLevelType w:val="hybridMultilevel"/>
    <w:tmpl w:val="E32C9446"/>
    <w:lvl w:ilvl="0" w:tplc="D318B82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F632C"/>
    <w:multiLevelType w:val="multilevel"/>
    <w:tmpl w:val="C77A1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E0D3DAC"/>
    <w:multiLevelType w:val="multilevel"/>
    <w:tmpl w:val="7072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DB7461"/>
    <w:multiLevelType w:val="hybridMultilevel"/>
    <w:tmpl w:val="6F8E1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D58E2"/>
    <w:multiLevelType w:val="hybridMultilevel"/>
    <w:tmpl w:val="D312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03534"/>
    <w:multiLevelType w:val="multilevel"/>
    <w:tmpl w:val="9ED4CA72"/>
    <w:lvl w:ilvl="0">
      <w:start w:val="1"/>
      <w:numFmt w:val="upperLetter"/>
      <w:lvlText w:val="%1."/>
      <w:lvlJc w:val="left"/>
      <w:pPr>
        <w:ind w:left="720" w:hanging="360"/>
      </w:pPr>
      <w:rPr>
        <w:u w:val="none"/>
      </w:rPr>
    </w:lvl>
    <w:lvl w:ilvl="1">
      <w:start w:val="1"/>
      <w:numFmt w:val="bullet"/>
      <w:lvlText w:val=""/>
      <w:lvlJc w:val="left"/>
      <w:pPr>
        <w:ind w:left="1440" w:hanging="360"/>
      </w:pPr>
      <w:rPr>
        <w:rFonts w:ascii="Symbol" w:hAnsi="Symbol" w:hint="default"/>
        <w:color w:val="042B39"/>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893022F"/>
    <w:multiLevelType w:val="hybridMultilevel"/>
    <w:tmpl w:val="D57C6D9C"/>
    <w:lvl w:ilvl="0" w:tplc="3D206B5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EF3446"/>
    <w:multiLevelType w:val="multilevel"/>
    <w:tmpl w:val="5E6022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4C106DC"/>
    <w:multiLevelType w:val="hybridMultilevel"/>
    <w:tmpl w:val="17A45544"/>
    <w:lvl w:ilvl="0" w:tplc="1FDEED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1213F"/>
    <w:multiLevelType w:val="hybridMultilevel"/>
    <w:tmpl w:val="39CE264A"/>
    <w:lvl w:ilvl="0" w:tplc="710A3032">
      <w:start w:val="1"/>
      <w:numFmt w:val="upperLetter"/>
      <w:lvlText w:val="(%1)"/>
      <w:lvlJc w:val="left"/>
      <w:pPr>
        <w:ind w:left="360" w:hanging="360"/>
      </w:pPr>
      <w:rPr>
        <w:rFonts w:hint="default"/>
      </w:rPr>
    </w:lvl>
    <w:lvl w:ilvl="1" w:tplc="6DB8B1BA" w:tentative="1">
      <w:start w:val="1"/>
      <w:numFmt w:val="lowerLetter"/>
      <w:lvlText w:val="%2."/>
      <w:lvlJc w:val="left"/>
      <w:pPr>
        <w:ind w:left="1080" w:hanging="360"/>
      </w:pPr>
    </w:lvl>
    <w:lvl w:ilvl="2" w:tplc="E01AFC32" w:tentative="1">
      <w:start w:val="1"/>
      <w:numFmt w:val="lowerRoman"/>
      <w:lvlText w:val="%3."/>
      <w:lvlJc w:val="right"/>
      <w:pPr>
        <w:ind w:left="1800" w:hanging="180"/>
      </w:pPr>
    </w:lvl>
    <w:lvl w:ilvl="3" w:tplc="9F5043A8" w:tentative="1">
      <w:start w:val="1"/>
      <w:numFmt w:val="decimal"/>
      <w:lvlText w:val="%4."/>
      <w:lvlJc w:val="left"/>
      <w:pPr>
        <w:ind w:left="2520" w:hanging="360"/>
      </w:pPr>
    </w:lvl>
    <w:lvl w:ilvl="4" w:tplc="D9A64BC8" w:tentative="1">
      <w:start w:val="1"/>
      <w:numFmt w:val="lowerLetter"/>
      <w:lvlText w:val="%5."/>
      <w:lvlJc w:val="left"/>
      <w:pPr>
        <w:ind w:left="3240" w:hanging="360"/>
      </w:pPr>
    </w:lvl>
    <w:lvl w:ilvl="5" w:tplc="B328A8DA" w:tentative="1">
      <w:start w:val="1"/>
      <w:numFmt w:val="lowerRoman"/>
      <w:lvlText w:val="%6."/>
      <w:lvlJc w:val="right"/>
      <w:pPr>
        <w:ind w:left="3960" w:hanging="180"/>
      </w:pPr>
    </w:lvl>
    <w:lvl w:ilvl="6" w:tplc="2D88402A" w:tentative="1">
      <w:start w:val="1"/>
      <w:numFmt w:val="decimal"/>
      <w:lvlText w:val="%7."/>
      <w:lvlJc w:val="left"/>
      <w:pPr>
        <w:ind w:left="4680" w:hanging="360"/>
      </w:pPr>
    </w:lvl>
    <w:lvl w:ilvl="7" w:tplc="E6029090" w:tentative="1">
      <w:start w:val="1"/>
      <w:numFmt w:val="lowerLetter"/>
      <w:lvlText w:val="%8."/>
      <w:lvlJc w:val="left"/>
      <w:pPr>
        <w:ind w:left="5400" w:hanging="360"/>
      </w:pPr>
    </w:lvl>
    <w:lvl w:ilvl="8" w:tplc="819E182C" w:tentative="1">
      <w:start w:val="1"/>
      <w:numFmt w:val="lowerRoman"/>
      <w:lvlText w:val="%9."/>
      <w:lvlJc w:val="right"/>
      <w:pPr>
        <w:ind w:left="6120" w:hanging="180"/>
      </w:pPr>
    </w:lvl>
  </w:abstractNum>
  <w:abstractNum w:abstractNumId="32" w15:restartNumberingAfterBreak="0">
    <w:nsid w:val="6F7C48BB"/>
    <w:multiLevelType w:val="hybridMultilevel"/>
    <w:tmpl w:val="BA54D2BE"/>
    <w:lvl w:ilvl="0" w:tplc="72FEE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16FDF"/>
    <w:multiLevelType w:val="hybridMultilevel"/>
    <w:tmpl w:val="B748C708"/>
    <w:lvl w:ilvl="0" w:tplc="111A8802">
      <w:start w:val="1"/>
      <w:numFmt w:val="lowerRoman"/>
      <w:lvlText w:val="(%1)"/>
      <w:lvlJc w:val="left"/>
      <w:pPr>
        <w:ind w:left="1440" w:hanging="720"/>
      </w:pPr>
      <w:rPr>
        <w:rFonts w:hint="default"/>
      </w:rPr>
    </w:lvl>
    <w:lvl w:ilvl="1" w:tplc="14486480" w:tentative="1">
      <w:start w:val="1"/>
      <w:numFmt w:val="lowerLetter"/>
      <w:lvlText w:val="%2."/>
      <w:lvlJc w:val="left"/>
      <w:pPr>
        <w:ind w:left="1800" w:hanging="360"/>
      </w:pPr>
    </w:lvl>
    <w:lvl w:ilvl="2" w:tplc="2292AE3A" w:tentative="1">
      <w:start w:val="1"/>
      <w:numFmt w:val="lowerRoman"/>
      <w:lvlText w:val="%3."/>
      <w:lvlJc w:val="right"/>
      <w:pPr>
        <w:ind w:left="2520" w:hanging="180"/>
      </w:pPr>
    </w:lvl>
    <w:lvl w:ilvl="3" w:tplc="7A3CF60C" w:tentative="1">
      <w:start w:val="1"/>
      <w:numFmt w:val="decimal"/>
      <w:lvlText w:val="%4."/>
      <w:lvlJc w:val="left"/>
      <w:pPr>
        <w:ind w:left="3240" w:hanging="360"/>
      </w:pPr>
    </w:lvl>
    <w:lvl w:ilvl="4" w:tplc="B95A43E2" w:tentative="1">
      <w:start w:val="1"/>
      <w:numFmt w:val="lowerLetter"/>
      <w:lvlText w:val="%5."/>
      <w:lvlJc w:val="left"/>
      <w:pPr>
        <w:ind w:left="3960" w:hanging="360"/>
      </w:pPr>
    </w:lvl>
    <w:lvl w:ilvl="5" w:tplc="BB1A7E48" w:tentative="1">
      <w:start w:val="1"/>
      <w:numFmt w:val="lowerRoman"/>
      <w:lvlText w:val="%6."/>
      <w:lvlJc w:val="right"/>
      <w:pPr>
        <w:ind w:left="4680" w:hanging="180"/>
      </w:pPr>
    </w:lvl>
    <w:lvl w:ilvl="6" w:tplc="09C8BC92" w:tentative="1">
      <w:start w:val="1"/>
      <w:numFmt w:val="decimal"/>
      <w:lvlText w:val="%7."/>
      <w:lvlJc w:val="left"/>
      <w:pPr>
        <w:ind w:left="5400" w:hanging="360"/>
      </w:pPr>
    </w:lvl>
    <w:lvl w:ilvl="7" w:tplc="DBC22DBC" w:tentative="1">
      <w:start w:val="1"/>
      <w:numFmt w:val="lowerLetter"/>
      <w:lvlText w:val="%8."/>
      <w:lvlJc w:val="left"/>
      <w:pPr>
        <w:ind w:left="6120" w:hanging="360"/>
      </w:pPr>
    </w:lvl>
    <w:lvl w:ilvl="8" w:tplc="143CA508" w:tentative="1">
      <w:start w:val="1"/>
      <w:numFmt w:val="lowerRoman"/>
      <w:lvlText w:val="%9."/>
      <w:lvlJc w:val="right"/>
      <w:pPr>
        <w:ind w:left="6840" w:hanging="180"/>
      </w:pPr>
    </w:lvl>
  </w:abstractNum>
  <w:abstractNum w:abstractNumId="34" w15:restartNumberingAfterBreak="0">
    <w:nsid w:val="74150A03"/>
    <w:multiLevelType w:val="hybridMultilevel"/>
    <w:tmpl w:val="B5003220"/>
    <w:lvl w:ilvl="0" w:tplc="B8FC4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C4C28"/>
    <w:multiLevelType w:val="multilevel"/>
    <w:tmpl w:val="9ED4CA72"/>
    <w:lvl w:ilvl="0">
      <w:start w:val="1"/>
      <w:numFmt w:val="upperLetter"/>
      <w:lvlText w:val="%1."/>
      <w:lvlJc w:val="left"/>
      <w:pPr>
        <w:ind w:left="720" w:hanging="360"/>
      </w:pPr>
      <w:rPr>
        <w:u w:val="none"/>
      </w:rPr>
    </w:lvl>
    <w:lvl w:ilvl="1">
      <w:start w:val="1"/>
      <w:numFmt w:val="bullet"/>
      <w:lvlText w:val=""/>
      <w:lvlJc w:val="left"/>
      <w:pPr>
        <w:ind w:left="1440" w:hanging="360"/>
      </w:pPr>
      <w:rPr>
        <w:rFonts w:ascii="Symbol" w:hAnsi="Symbol" w:hint="default"/>
        <w:color w:val="042B39"/>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A1A1110"/>
    <w:multiLevelType w:val="hybridMultilevel"/>
    <w:tmpl w:val="57A6E8A8"/>
    <w:lvl w:ilvl="0" w:tplc="FFFFFFFF">
      <w:start w:val="1"/>
      <w:numFmt w:val="upperLetter"/>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51542">
    <w:abstractNumId w:val="21"/>
  </w:num>
  <w:num w:numId="2" w16cid:durableId="19863359">
    <w:abstractNumId w:val="21"/>
  </w:num>
  <w:num w:numId="3" w16cid:durableId="1190531261">
    <w:abstractNumId w:val="21"/>
  </w:num>
  <w:num w:numId="4" w16cid:durableId="1488666285">
    <w:abstractNumId w:val="21"/>
  </w:num>
  <w:num w:numId="5" w16cid:durableId="1397821549">
    <w:abstractNumId w:val="21"/>
  </w:num>
  <w:num w:numId="6" w16cid:durableId="845746787">
    <w:abstractNumId w:val="9"/>
  </w:num>
  <w:num w:numId="7" w16cid:durableId="1303001110">
    <w:abstractNumId w:val="7"/>
  </w:num>
  <w:num w:numId="8" w16cid:durableId="364603768">
    <w:abstractNumId w:val="6"/>
  </w:num>
  <w:num w:numId="9" w16cid:durableId="794367023">
    <w:abstractNumId w:val="5"/>
  </w:num>
  <w:num w:numId="10" w16cid:durableId="1516460927">
    <w:abstractNumId w:val="4"/>
  </w:num>
  <w:num w:numId="11" w16cid:durableId="327295304">
    <w:abstractNumId w:val="8"/>
  </w:num>
  <w:num w:numId="12" w16cid:durableId="161043753">
    <w:abstractNumId w:val="3"/>
  </w:num>
  <w:num w:numId="13" w16cid:durableId="105465954">
    <w:abstractNumId w:val="2"/>
  </w:num>
  <w:num w:numId="14" w16cid:durableId="820316806">
    <w:abstractNumId w:val="1"/>
  </w:num>
  <w:num w:numId="15" w16cid:durableId="785349679">
    <w:abstractNumId w:val="0"/>
  </w:num>
  <w:num w:numId="16" w16cid:durableId="594440846">
    <w:abstractNumId w:val="14"/>
  </w:num>
  <w:num w:numId="17" w16cid:durableId="883056475">
    <w:abstractNumId w:val="11"/>
  </w:num>
  <w:num w:numId="18" w16cid:durableId="573971302">
    <w:abstractNumId w:val="12"/>
  </w:num>
  <w:num w:numId="19" w16cid:durableId="1201476090">
    <w:abstractNumId w:val="29"/>
  </w:num>
  <w:num w:numId="20" w16cid:durableId="228736435">
    <w:abstractNumId w:val="18"/>
  </w:num>
  <w:num w:numId="21" w16cid:durableId="2043894806">
    <w:abstractNumId w:val="10"/>
  </w:num>
  <w:num w:numId="22" w16cid:durableId="2067559818">
    <w:abstractNumId w:val="19"/>
  </w:num>
  <w:num w:numId="23" w16cid:durableId="625622863">
    <w:abstractNumId w:val="26"/>
  </w:num>
  <w:num w:numId="24" w16cid:durableId="245503604">
    <w:abstractNumId w:val="24"/>
  </w:num>
  <w:num w:numId="25" w16cid:durableId="7678120">
    <w:abstractNumId w:val="28"/>
  </w:num>
  <w:num w:numId="26" w16cid:durableId="1929729499">
    <w:abstractNumId w:val="23"/>
  </w:num>
  <w:num w:numId="27" w16cid:durableId="1659772956">
    <w:abstractNumId w:val="35"/>
  </w:num>
  <w:num w:numId="28" w16cid:durableId="10109483">
    <w:abstractNumId w:val="22"/>
  </w:num>
  <w:num w:numId="29" w16cid:durableId="188833736">
    <w:abstractNumId w:val="27"/>
  </w:num>
  <w:num w:numId="30" w16cid:durableId="541984129">
    <w:abstractNumId w:val="20"/>
  </w:num>
  <w:num w:numId="31" w16cid:durableId="713508525">
    <w:abstractNumId w:val="31"/>
  </w:num>
  <w:num w:numId="32" w16cid:durableId="730083399">
    <w:abstractNumId w:val="33"/>
  </w:num>
  <w:num w:numId="33" w16cid:durableId="1704790834">
    <w:abstractNumId w:val="32"/>
  </w:num>
  <w:num w:numId="34" w16cid:durableId="1094860343">
    <w:abstractNumId w:val="30"/>
  </w:num>
  <w:num w:numId="35" w16cid:durableId="2112846851">
    <w:abstractNumId w:val="34"/>
  </w:num>
  <w:num w:numId="36" w16cid:durableId="314797949">
    <w:abstractNumId w:val="17"/>
  </w:num>
  <w:num w:numId="37" w16cid:durableId="63987818">
    <w:abstractNumId w:val="15"/>
  </w:num>
  <w:num w:numId="38" w16cid:durableId="486408894">
    <w:abstractNumId w:val="13"/>
  </w:num>
  <w:num w:numId="39" w16cid:durableId="949896491">
    <w:abstractNumId w:val="25"/>
  </w:num>
  <w:num w:numId="40" w16cid:durableId="1270821162">
    <w:abstractNumId w:val="16"/>
  </w:num>
  <w:num w:numId="41" w16cid:durableId="12868867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357CB"/>
    <w:rsid w:val="00084486"/>
    <w:rsid w:val="00084889"/>
    <w:rsid w:val="00092CC2"/>
    <w:rsid w:val="000B3A93"/>
    <w:rsid w:val="000F368D"/>
    <w:rsid w:val="001050CB"/>
    <w:rsid w:val="0012230F"/>
    <w:rsid w:val="00177D40"/>
    <w:rsid w:val="001A0955"/>
    <w:rsid w:val="001B63CC"/>
    <w:rsid w:val="001F117C"/>
    <w:rsid w:val="0020372A"/>
    <w:rsid w:val="00251677"/>
    <w:rsid w:val="0025530A"/>
    <w:rsid w:val="00274CA1"/>
    <w:rsid w:val="002770AF"/>
    <w:rsid w:val="00294D08"/>
    <w:rsid w:val="002A6A9B"/>
    <w:rsid w:val="002C00B0"/>
    <w:rsid w:val="002C12F8"/>
    <w:rsid w:val="002D1CDF"/>
    <w:rsid w:val="002F5324"/>
    <w:rsid w:val="00306504"/>
    <w:rsid w:val="003228C3"/>
    <w:rsid w:val="0033343A"/>
    <w:rsid w:val="003444D7"/>
    <w:rsid w:val="00351454"/>
    <w:rsid w:val="00374DCD"/>
    <w:rsid w:val="00377D10"/>
    <w:rsid w:val="00387E60"/>
    <w:rsid w:val="00395921"/>
    <w:rsid w:val="00397778"/>
    <w:rsid w:val="003C163B"/>
    <w:rsid w:val="003D051D"/>
    <w:rsid w:val="003D7B78"/>
    <w:rsid w:val="004308BB"/>
    <w:rsid w:val="0044777E"/>
    <w:rsid w:val="00465745"/>
    <w:rsid w:val="004A3368"/>
    <w:rsid w:val="004B4873"/>
    <w:rsid w:val="004C014B"/>
    <w:rsid w:val="004D197A"/>
    <w:rsid w:val="00593FC2"/>
    <w:rsid w:val="005A3372"/>
    <w:rsid w:val="005A3817"/>
    <w:rsid w:val="005C076C"/>
    <w:rsid w:val="005C4D54"/>
    <w:rsid w:val="005D3E5F"/>
    <w:rsid w:val="006053AF"/>
    <w:rsid w:val="006427B5"/>
    <w:rsid w:val="0069065B"/>
    <w:rsid w:val="006E5CD7"/>
    <w:rsid w:val="006F5332"/>
    <w:rsid w:val="00710CE6"/>
    <w:rsid w:val="00734015"/>
    <w:rsid w:val="00740B6E"/>
    <w:rsid w:val="0075044C"/>
    <w:rsid w:val="007727ED"/>
    <w:rsid w:val="0078530B"/>
    <w:rsid w:val="007C38D5"/>
    <w:rsid w:val="007C65CF"/>
    <w:rsid w:val="007D223E"/>
    <w:rsid w:val="0080379B"/>
    <w:rsid w:val="008337FC"/>
    <w:rsid w:val="00837A89"/>
    <w:rsid w:val="008447E2"/>
    <w:rsid w:val="0085491E"/>
    <w:rsid w:val="00861B9C"/>
    <w:rsid w:val="008B5E53"/>
    <w:rsid w:val="008F746C"/>
    <w:rsid w:val="00906F39"/>
    <w:rsid w:val="00925E5A"/>
    <w:rsid w:val="009446D7"/>
    <w:rsid w:val="0096142F"/>
    <w:rsid w:val="00974609"/>
    <w:rsid w:val="009806C9"/>
    <w:rsid w:val="00985850"/>
    <w:rsid w:val="009B37F5"/>
    <w:rsid w:val="009F104F"/>
    <w:rsid w:val="00A0393B"/>
    <w:rsid w:val="00A45AF3"/>
    <w:rsid w:val="00A75264"/>
    <w:rsid w:val="00A95AEF"/>
    <w:rsid w:val="00A974E2"/>
    <w:rsid w:val="00AA1655"/>
    <w:rsid w:val="00AB1550"/>
    <w:rsid w:val="00AC1330"/>
    <w:rsid w:val="00AC347E"/>
    <w:rsid w:val="00AD0734"/>
    <w:rsid w:val="00AE73B8"/>
    <w:rsid w:val="00B11182"/>
    <w:rsid w:val="00B168C7"/>
    <w:rsid w:val="00B25613"/>
    <w:rsid w:val="00B40829"/>
    <w:rsid w:val="00B5228B"/>
    <w:rsid w:val="00B77630"/>
    <w:rsid w:val="00BB417C"/>
    <w:rsid w:val="00BC0499"/>
    <w:rsid w:val="00BD3B1D"/>
    <w:rsid w:val="00BE0214"/>
    <w:rsid w:val="00C2015A"/>
    <w:rsid w:val="00C20F6F"/>
    <w:rsid w:val="00C213A1"/>
    <w:rsid w:val="00C21814"/>
    <w:rsid w:val="00C41742"/>
    <w:rsid w:val="00C434DC"/>
    <w:rsid w:val="00C84AAC"/>
    <w:rsid w:val="00C922B8"/>
    <w:rsid w:val="00C92E0A"/>
    <w:rsid w:val="00CC6977"/>
    <w:rsid w:val="00CE12BC"/>
    <w:rsid w:val="00D0102B"/>
    <w:rsid w:val="00D51C45"/>
    <w:rsid w:val="00D57E15"/>
    <w:rsid w:val="00D64F98"/>
    <w:rsid w:val="00D85F8F"/>
    <w:rsid w:val="00D87FE0"/>
    <w:rsid w:val="00DA6298"/>
    <w:rsid w:val="00DB1C83"/>
    <w:rsid w:val="00E033B7"/>
    <w:rsid w:val="00E41133"/>
    <w:rsid w:val="00E472C6"/>
    <w:rsid w:val="00E50E60"/>
    <w:rsid w:val="00E511EF"/>
    <w:rsid w:val="00E75142"/>
    <w:rsid w:val="00E76D8B"/>
    <w:rsid w:val="00ED5E38"/>
    <w:rsid w:val="00EE6E8E"/>
    <w:rsid w:val="00EF0961"/>
    <w:rsid w:val="00F013FB"/>
    <w:rsid w:val="00F15506"/>
    <w:rsid w:val="00F179BA"/>
    <w:rsid w:val="00F2091D"/>
    <w:rsid w:val="00F36B7B"/>
    <w:rsid w:val="00F47278"/>
    <w:rsid w:val="00F473EA"/>
    <w:rsid w:val="00FC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5881"/>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7C"/>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FC0A2C"/>
    <w:pPr>
      <w:keepNext/>
      <w:keepLines/>
      <w:spacing w:before="120" w:after="60"/>
      <w:outlineLvl w:val="1"/>
    </w:pPr>
    <w:rPr>
      <w:rFonts w:cs="Calibri"/>
      <w:b/>
      <w:bCs/>
      <w:color w:val="1374A9" w:themeColor="background1"/>
      <w:sz w:val="34"/>
      <w:szCs w:val="34"/>
    </w:rPr>
  </w:style>
  <w:style w:type="paragraph" w:styleId="Heading3">
    <w:name w:val="heading 3"/>
    <w:basedOn w:val="Heading2"/>
    <w:link w:val="Heading3Char"/>
    <w:qFormat/>
    <w:rsid w:val="00FC0A2C"/>
    <w:pPr>
      <w:outlineLvl w:val="2"/>
    </w:pPr>
    <w:rPr>
      <w:color w:val="000000"/>
      <w:sz w:val="28"/>
      <w:szCs w:val="28"/>
    </w:rPr>
  </w:style>
  <w:style w:type="paragraph" w:styleId="Heading4">
    <w:name w:val="heading 4"/>
    <w:basedOn w:val="Heading3"/>
    <w:link w:val="Heading4Char"/>
    <w:qFormat/>
    <w:rsid w:val="00FC0A2C"/>
    <w:pPr>
      <w:outlineLvl w:val="3"/>
    </w:pPr>
    <w:rPr>
      <w:sz w:val="22"/>
      <w:szCs w:val="22"/>
    </w:rPr>
  </w:style>
  <w:style w:type="paragraph" w:styleId="Heading5">
    <w:name w:val="heading 5"/>
    <w:basedOn w:val="Normal"/>
    <w:link w:val="Heading5Char"/>
    <w:qFormat/>
    <w:rsid w:val="0080379B"/>
    <w:pPr>
      <w:numPr>
        <w:ilvl w:val="4"/>
        <w:numId w:val="5"/>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FC0A2C"/>
    <w:rPr>
      <w:rFonts w:ascii="Calibri" w:hAnsi="Calibri" w:cs="Calibri"/>
      <w:b/>
      <w:bCs/>
      <w:color w:val="1374A9" w:themeColor="background1"/>
      <w:sz w:val="34"/>
      <w:szCs w:val="34"/>
    </w:rPr>
  </w:style>
  <w:style w:type="character" w:customStyle="1" w:styleId="Heading3Char">
    <w:name w:val="Heading 3 Char"/>
    <w:basedOn w:val="DefaultParagraphFont"/>
    <w:link w:val="Heading3"/>
    <w:rsid w:val="00FC0A2C"/>
    <w:rPr>
      <w:rFonts w:ascii="Calibri" w:hAnsi="Calibri" w:cs="Calibri"/>
      <w:b/>
      <w:bCs/>
      <w:color w:val="000000"/>
      <w:sz w:val="28"/>
      <w:szCs w:val="28"/>
    </w:rPr>
  </w:style>
  <w:style w:type="character" w:customStyle="1" w:styleId="Heading4Char">
    <w:name w:val="Heading 4 Char"/>
    <w:basedOn w:val="DefaultParagraphFont"/>
    <w:link w:val="Heading4"/>
    <w:rsid w:val="00FC0A2C"/>
    <w:rPr>
      <w:rFonts w:ascii="Calibri" w:hAnsi="Calibri" w:cs="Calibri"/>
      <w:b/>
      <w:bCs/>
      <w:color w:val="000000"/>
      <w:sz w:val="22"/>
      <w:szCs w:val="22"/>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paragraph" w:customStyle="1" w:styleId="DocID">
    <w:name w:val="Doc ID"/>
    <w:basedOn w:val="Normal"/>
    <w:link w:val="DocIDChar"/>
    <w:rsid w:val="003444D7"/>
    <w:pPr>
      <w:tabs>
        <w:tab w:val="right" w:pos="9360"/>
      </w:tabs>
      <w:spacing w:line="200" w:lineRule="exact"/>
    </w:pPr>
    <w:rPr>
      <w:bCs/>
      <w:sz w:val="16"/>
    </w:rPr>
  </w:style>
  <w:style w:type="character" w:customStyle="1" w:styleId="DocIDChar">
    <w:name w:val="Doc ID Char"/>
    <w:basedOn w:val="DefaultParagraphFont"/>
    <w:link w:val="DocID"/>
    <w:rsid w:val="003444D7"/>
    <w:rPr>
      <w:bCs/>
      <w:sz w:val="16"/>
      <w:szCs w:val="24"/>
    </w:rPr>
  </w:style>
  <w:style w:type="paragraph" w:styleId="FootnoteText">
    <w:name w:val="footnote text"/>
    <w:basedOn w:val="Normal"/>
    <w:link w:val="FootnoteTextChar"/>
    <w:semiHidden/>
    <w:unhideWhenUsed/>
    <w:rsid w:val="003228C3"/>
    <w:rPr>
      <w:rFonts w:eastAsia="Calibri"/>
      <w:sz w:val="20"/>
      <w:szCs w:val="20"/>
    </w:rPr>
  </w:style>
  <w:style w:type="character" w:customStyle="1" w:styleId="FootnoteTextChar">
    <w:name w:val="Footnote Text Char"/>
    <w:basedOn w:val="DefaultParagraphFont"/>
    <w:link w:val="FootnoteText"/>
    <w:semiHidden/>
    <w:rsid w:val="003228C3"/>
    <w:rPr>
      <w:rFonts w:ascii="Calibri" w:eastAsia="Calibri" w:hAnsi="Calibri"/>
    </w:rPr>
  </w:style>
  <w:style w:type="character" w:styleId="FootnoteReference">
    <w:name w:val="footnote reference"/>
    <w:basedOn w:val="DefaultParagraphFont"/>
    <w:semiHidden/>
    <w:unhideWhenUsed/>
    <w:rsid w:val="003228C3"/>
    <w:rPr>
      <w:vertAlign w:val="superscript"/>
    </w:rPr>
  </w:style>
  <w:style w:type="paragraph" w:styleId="ListParagraph">
    <w:name w:val="List Paragraph"/>
    <w:basedOn w:val="Normal"/>
    <w:uiPriority w:val="34"/>
    <w:qFormat/>
    <w:rsid w:val="003228C3"/>
    <w:pPr>
      <w:ind w:left="720"/>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qFormat/>
    <w:rsid w:val="00B5228B"/>
    <w:pPr>
      <w:ind w:left="163"/>
    </w:pPr>
  </w:style>
  <w:style w:type="paragraph" w:customStyle="1" w:styleId="Level2">
    <w:name w:val="Level 2"/>
    <w:basedOn w:val="Tabletext"/>
    <w:qFormat/>
    <w:rsid w:val="00B5228B"/>
    <w:pPr>
      <w:ind w:left="343"/>
    </w:pPr>
  </w:style>
  <w:style w:type="paragraph" w:customStyle="1" w:styleId="Level4">
    <w:name w:val="Level 4"/>
    <w:basedOn w:val="Normal"/>
    <w:qFormat/>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qFormat/>
    <w:rsid w:val="004308BB"/>
    <w:rPr>
      <w:b/>
      <w:bCs/>
      <w:color w:val="1174A9"/>
    </w:rPr>
  </w:style>
  <w:style w:type="paragraph" w:customStyle="1" w:styleId="Tableheading">
    <w:name w:val="Table heading"/>
    <w:basedOn w:val="Normal"/>
    <w:qFormat/>
    <w:rsid w:val="00FC0A2C"/>
    <w:pPr>
      <w:spacing w:after="0"/>
    </w:pPr>
    <w:rPr>
      <w:b/>
      <w:bCs/>
      <w:color w:val="FFFFFF"/>
      <w:sz w:val="24"/>
    </w:rPr>
  </w:style>
  <w:style w:type="paragraph" w:customStyle="1" w:styleId="Boxedtext">
    <w:name w:val="Boxed text"/>
    <w:basedOn w:val="Normal"/>
    <w:qFormat/>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paragraph" w:styleId="NormalWeb">
    <w:name w:val="Normal (Web)"/>
    <w:basedOn w:val="Normal"/>
    <w:uiPriority w:val="99"/>
    <w:semiHidden/>
    <w:unhideWhenUsed/>
    <w:rsid w:val="00395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B37F5"/>
    <w:rPr>
      <w:rFonts w:ascii="Segoe UI" w:hAnsi="Segoe UI" w:cs="Segoe UI" w:hint="default"/>
      <w:sz w:val="18"/>
      <w:szCs w:val="18"/>
    </w:rPr>
  </w:style>
  <w:style w:type="paragraph" w:styleId="EndnoteText">
    <w:name w:val="endnote text"/>
    <w:basedOn w:val="Normal"/>
    <w:link w:val="EndnoteTextChar"/>
    <w:semiHidden/>
    <w:unhideWhenUsed/>
    <w:rsid w:val="00084486"/>
    <w:pPr>
      <w:spacing w:after="0" w:line="240" w:lineRule="auto"/>
    </w:pPr>
    <w:rPr>
      <w:sz w:val="20"/>
      <w:szCs w:val="20"/>
    </w:rPr>
  </w:style>
  <w:style w:type="character" w:customStyle="1" w:styleId="EndnoteTextChar">
    <w:name w:val="Endnote Text Char"/>
    <w:basedOn w:val="DefaultParagraphFont"/>
    <w:link w:val="EndnoteText"/>
    <w:semiHidden/>
    <w:rsid w:val="00084486"/>
    <w:rPr>
      <w:rFonts w:asciiTheme="minorHAnsi" w:eastAsiaTheme="minorHAnsi" w:hAnsiTheme="minorHAnsi" w:cstheme="minorBidi"/>
    </w:rPr>
  </w:style>
  <w:style w:type="character" w:styleId="EndnoteReference">
    <w:name w:val="endnote reference"/>
    <w:basedOn w:val="DefaultParagraphFont"/>
    <w:semiHidden/>
    <w:unhideWhenUsed/>
    <w:rsid w:val="00084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765">
      <w:bodyDiv w:val="1"/>
      <w:marLeft w:val="0"/>
      <w:marRight w:val="0"/>
      <w:marTop w:val="0"/>
      <w:marBottom w:val="0"/>
      <w:divBdr>
        <w:top w:val="none" w:sz="0" w:space="0" w:color="auto"/>
        <w:left w:val="none" w:sz="0" w:space="0" w:color="auto"/>
        <w:bottom w:val="none" w:sz="0" w:space="0" w:color="auto"/>
        <w:right w:val="none" w:sz="0" w:space="0" w:color="auto"/>
      </w:divBdr>
    </w:div>
    <w:div w:id="678390830">
      <w:bodyDiv w:val="1"/>
      <w:marLeft w:val="0"/>
      <w:marRight w:val="0"/>
      <w:marTop w:val="0"/>
      <w:marBottom w:val="0"/>
      <w:divBdr>
        <w:top w:val="none" w:sz="0" w:space="0" w:color="auto"/>
        <w:left w:val="none" w:sz="0" w:space="0" w:color="auto"/>
        <w:bottom w:val="none" w:sz="0" w:space="0" w:color="auto"/>
        <w:right w:val="none" w:sz="0" w:space="0" w:color="auto"/>
      </w:divBdr>
    </w:div>
    <w:div w:id="1989162446">
      <w:bodyDiv w:val="1"/>
      <w:marLeft w:val="0"/>
      <w:marRight w:val="0"/>
      <w:marTop w:val="0"/>
      <w:marBottom w:val="0"/>
      <w:divBdr>
        <w:top w:val="none" w:sz="0" w:space="0" w:color="auto"/>
        <w:left w:val="none" w:sz="0" w:space="0" w:color="auto"/>
        <w:bottom w:val="none" w:sz="0" w:space="0" w:color="auto"/>
        <w:right w:val="none" w:sz="0" w:space="0" w:color="auto"/>
      </w:divBdr>
    </w:div>
    <w:div w:id="20147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06E4-CFBC-43C3-BBB0-76691D42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2022 Housing Element Statutory Provisions Checklist</vt:lpstr>
    </vt:vector>
  </TitlesOfParts>
  <Manager/>
  <Company/>
  <LinksUpToDate>false</LinksUpToDate>
  <CharactersWithSpaces>4957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Housing Element Statutory Provisions Checklist</dc:title>
  <dc:subject/>
  <dc:creator>Regional Housing Technical Assistance Program</dc:creator>
  <cp:keywords/>
  <dc:description/>
  <cp:lastModifiedBy>Clair A. McDevitt</cp:lastModifiedBy>
  <cp:revision>2</cp:revision>
  <dcterms:created xsi:type="dcterms:W3CDTF">2023-05-16T23:41:00Z</dcterms:created>
  <dcterms:modified xsi:type="dcterms:W3CDTF">2023-05-16T23:41:00Z</dcterms:modified>
  <cp:category/>
</cp:coreProperties>
</file>