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7D0E4976" w:rsidR="00C14DA3" w:rsidRDefault="000F4B68" w:rsidP="00C14DA3">
      <w:pPr>
        <w:pStyle w:val="Heading1"/>
        <w:rPr>
          <w:rFonts w:eastAsia="Times New Roman"/>
        </w:rPr>
      </w:pPr>
      <w:bookmarkStart w:id="0" w:name="_Hlk111644412"/>
      <w:bookmarkStart w:id="1" w:name="_Toc9167119"/>
      <w:bookmarkStart w:id="2" w:name="_Hlk9169165"/>
      <w:r>
        <w:rPr>
          <w:rFonts w:eastAsia="Times New Roman"/>
        </w:rPr>
        <w:t>VMT Fee</w:t>
      </w:r>
      <w:r w:rsidR="00057D6C">
        <w:rPr>
          <w:rFonts w:eastAsia="Times New Roman"/>
        </w:rPr>
        <w:t xml:space="preserve"> </w:t>
      </w:r>
      <w:r w:rsidR="006263A0">
        <w:rPr>
          <w:rFonts w:eastAsia="Times New Roman"/>
        </w:rPr>
        <w:t>Policy Development Guide</w:t>
      </w:r>
    </w:p>
    <w:p w14:paraId="244463B8" w14:textId="6078B222" w:rsidR="000C2235" w:rsidRDefault="000C2235" w:rsidP="00BD7C31">
      <w:r>
        <w:t xml:space="preserve">This step-by-step guide is intended to support city/county staff in taking steps to </w:t>
      </w:r>
      <w:r w:rsidR="00CB4064">
        <w:t>develop</w:t>
      </w:r>
      <w:r w:rsidR="00BD41AF">
        <w:t xml:space="preserve"> a </w:t>
      </w:r>
      <w:r w:rsidR="00600BB4">
        <w:t>VMT fee</w:t>
      </w:r>
      <w:r w:rsidR="000F4B68">
        <w:t xml:space="preserve"> </w:t>
      </w:r>
      <w:r w:rsidR="00CB4064">
        <w:t>either by staff o</w:t>
      </w:r>
      <w:r w:rsidR="00F91B09">
        <w:t>r</w:t>
      </w:r>
      <w:r w:rsidR="00CB4064">
        <w:t xml:space="preserve"> with</w:t>
      </w:r>
      <w:r>
        <w:t xml:space="preserve"> consultant</w:t>
      </w:r>
      <w:r w:rsidR="001F7705">
        <w:t xml:space="preserve"> assistance</w:t>
      </w:r>
      <w:r>
        <w:t>.</w:t>
      </w:r>
    </w:p>
    <w:p w14:paraId="4B0994F9" w14:textId="6608FC49" w:rsidR="003128CB" w:rsidRDefault="000F4B68" w:rsidP="00BD7C31">
      <w:pPr>
        <w:pStyle w:val="Heading4"/>
        <w:numPr>
          <w:ilvl w:val="0"/>
          <w:numId w:val="0"/>
        </w:numPr>
        <w:rPr>
          <w:rFonts w:eastAsia="Times New Roman"/>
        </w:rPr>
      </w:pPr>
      <w:r>
        <w:rPr>
          <w:rFonts w:eastAsia="Times New Roman"/>
        </w:rPr>
        <w:t xml:space="preserve">What is a </w:t>
      </w:r>
      <w:r w:rsidR="00600BB4">
        <w:rPr>
          <w:rFonts w:eastAsia="Times New Roman"/>
        </w:rPr>
        <w:t>VMT fee</w:t>
      </w:r>
      <w:r>
        <w:rPr>
          <w:rFonts w:eastAsia="Times New Roman"/>
        </w:rPr>
        <w:t>?</w:t>
      </w:r>
    </w:p>
    <w:bookmarkEnd w:id="0"/>
    <w:p w14:paraId="5AD0ACC6" w14:textId="5AB59509" w:rsidR="00A92AF8" w:rsidRDefault="00A92AF8" w:rsidP="00A92AF8">
      <w:pPr>
        <w:jc w:val="both"/>
      </w:pPr>
      <w:r>
        <w:t xml:space="preserve">Vehicle Miles Traveled (VMT) fees on land use developments provide jurisdictions a method of collecting funds for the mitigation of </w:t>
      </w:r>
      <w:r w:rsidR="001F7705">
        <w:t>V</w:t>
      </w:r>
      <w:r>
        <w:t xml:space="preserve">MT-related transportation impacts which can be used to fund transportation infrastructure projects that will reduce the growth of VMT. Depending on the structure of the fee that is implemented, VMT fees may also offer a VMT mitigation option consistent with SB 743. VMT fees may be applied to a designated capital improvement program (CIP) inclusive of transit, bicycle, and pedestrian projects identified to mitigate development impacts on the transportation system by reducing the jurisdiction’s VMT. CIP projects may include project-adjacent spot improvements as well as corridor-wide improvements. Fees can be applied to a wider swath of CIP projects if deemed appropriate after completion of a nexus study. These programs also offer the opportunity to align mitigation of development impacts with other goals, such as improved safety, mobility, and equitable access to affordable multimodal transportation systems. </w:t>
      </w:r>
    </w:p>
    <w:p w14:paraId="1281219E" w14:textId="77777777" w:rsidR="00A92AF8" w:rsidRDefault="00A92AF8" w:rsidP="00A92AF8">
      <w:pPr>
        <w:jc w:val="both"/>
      </w:pPr>
      <w:r>
        <w:t xml:space="preserve">A VMT fee may take the form of a traditional </w:t>
      </w:r>
      <w:r w:rsidRPr="00E13F1F">
        <w:t xml:space="preserve">development </w:t>
      </w:r>
      <w:r w:rsidRPr="00C6223B">
        <w:rPr>
          <w:i/>
          <w:iCs/>
        </w:rPr>
        <w:t>impact fee</w:t>
      </w:r>
      <w:r w:rsidRPr="00E13F1F">
        <w:t xml:space="preserve"> pursuant to the Mitigation Fee Act</w:t>
      </w:r>
      <w:r>
        <w:t xml:space="preserve"> (AB 1600). These fees may apply to all development in a jurisdiction to fund identified projects, but payment of the fee would not serve as mitigation for a significant CEQA VMT impact. Alternatively, </w:t>
      </w:r>
      <w:r w:rsidRPr="00E13F1F">
        <w:t>agencies may establish</w:t>
      </w:r>
      <w:r>
        <w:t xml:space="preserve"> an</w:t>
      </w:r>
      <w:r w:rsidRPr="00E13F1F">
        <w:t xml:space="preserve"> </w:t>
      </w:r>
      <w:r w:rsidRPr="00C6223B">
        <w:rPr>
          <w:i/>
          <w:iCs/>
        </w:rPr>
        <w:t>in-lieu fee</w:t>
      </w:r>
      <w:r w:rsidRPr="00E13F1F">
        <w:t xml:space="preserve"> program that</w:t>
      </w:r>
      <w:r>
        <w:t xml:space="preserve"> </w:t>
      </w:r>
      <w:r w:rsidRPr="00E13F1F">
        <w:t>provide</w:t>
      </w:r>
      <w:r>
        <w:t>s</w:t>
      </w:r>
      <w:r w:rsidRPr="00E13F1F">
        <w:t xml:space="preserve"> a mechanism for applicants to offset significant </w:t>
      </w:r>
      <w:r>
        <w:t xml:space="preserve">CEQA VMT </w:t>
      </w:r>
      <w:r w:rsidRPr="00E13F1F">
        <w:t>impacts</w:t>
      </w:r>
      <w:r>
        <w:t>; however, only projects with a significant CEQA VMT impact would pay the fee</w:t>
      </w:r>
      <w:r w:rsidRPr="00E13F1F">
        <w:t>.</w:t>
      </w:r>
      <w:r>
        <w:t xml:space="preserve"> </w:t>
      </w:r>
      <w:r w:rsidRPr="00E13F1F">
        <w:t>There is</w:t>
      </w:r>
      <w:r>
        <w:t xml:space="preserve"> </w:t>
      </w:r>
      <w:r w:rsidRPr="00E13F1F">
        <w:t>no state statute outlining specific requirements for in-lieu fee programs</w:t>
      </w:r>
      <w:r>
        <w:t>, but such programs should demonstrate that the CIP projects funded through the program have a linkage to VMT reduction</w:t>
      </w:r>
      <w:r w:rsidRPr="00E13F1F">
        <w:t>.</w:t>
      </w:r>
    </w:p>
    <w:p w14:paraId="7EF35D45" w14:textId="1BC2D63C" w:rsidR="00A92AF8" w:rsidRPr="00C6223B" w:rsidRDefault="00A92AF8" w:rsidP="00A92AF8">
      <w:pPr>
        <w:jc w:val="both"/>
        <w:rPr>
          <w:i/>
          <w:iCs/>
        </w:rPr>
      </w:pPr>
      <w:r>
        <w:t xml:space="preserve">Other VMT mitigation options that may be considered by jurisdictions include establishing a VMT mitigation exchange or VMT mitigation bank. For a full description of tradeoffs to consider related to development of various VMT mitigation options, see the report </w:t>
      </w:r>
      <w:r w:rsidRPr="00ED59DB">
        <w:rPr>
          <w:i/>
          <w:iCs/>
          <w:highlight w:val="cyan"/>
        </w:rPr>
        <w:t>VMT Mitigation Through Fees, Banks, &amp; Exchanges</w:t>
      </w:r>
      <w:r w:rsidRPr="00C6223B">
        <w:t>.</w:t>
      </w:r>
      <w:r w:rsidRPr="00E13F1F">
        <w:t xml:space="preserve"> </w:t>
      </w:r>
      <w:r>
        <w:t xml:space="preserve">Consultation with the City Attorney or County Counsel is essential to the development of a fee program that aligns with the jurisdiction’s goals and with legal requirements. </w:t>
      </w:r>
    </w:p>
    <w:p w14:paraId="594E2D15" w14:textId="77777777" w:rsidR="00A92AF8" w:rsidRPr="00457894" w:rsidRDefault="00A92AF8" w:rsidP="00A92AF8">
      <w:pPr>
        <w:jc w:val="both"/>
        <w:rPr>
          <w:szCs w:val="20"/>
        </w:rPr>
      </w:pPr>
      <w:r w:rsidRPr="001700D2">
        <w:rPr>
          <w:szCs w:val="20"/>
        </w:rPr>
        <w:t>Jurisdictions interested in pursuing a Connected Community Priority Development Area (CC</w:t>
      </w:r>
      <w:r>
        <w:rPr>
          <w:szCs w:val="20"/>
        </w:rPr>
        <w:t>-</w:t>
      </w:r>
      <w:r w:rsidRPr="001700D2">
        <w:rPr>
          <w:szCs w:val="20"/>
        </w:rPr>
        <w:t>PDA) designation may use a VMT fee for off-site improvements and</w:t>
      </w:r>
      <w:r>
        <w:rPr>
          <w:szCs w:val="20"/>
        </w:rPr>
        <w:t xml:space="preserve"> a</w:t>
      </w:r>
      <w:r w:rsidRPr="001700D2">
        <w:rPr>
          <w:szCs w:val="20"/>
        </w:rPr>
        <w:t xml:space="preserve"> complementary PTDM plan to satisfy the VMT reduction planning requirements for CC</w:t>
      </w:r>
      <w:r>
        <w:rPr>
          <w:szCs w:val="20"/>
        </w:rPr>
        <w:t>-</w:t>
      </w:r>
      <w:r w:rsidRPr="001700D2">
        <w:rPr>
          <w:szCs w:val="20"/>
        </w:rPr>
        <w:t>PDAs.</w:t>
      </w:r>
    </w:p>
    <w:p w14:paraId="60E06714" w14:textId="4F66D6F6" w:rsidR="00B102E4" w:rsidRDefault="003128CB" w:rsidP="00BD7C31">
      <w:pPr>
        <w:pStyle w:val="Heading4"/>
        <w:rPr>
          <w:rFonts w:eastAsia="Times New Roman"/>
        </w:rPr>
      </w:pPr>
      <w:r>
        <w:rPr>
          <w:rFonts w:eastAsia="Times New Roman"/>
        </w:rPr>
        <w:lastRenderedPageBreak/>
        <w:t>Checklist of Recommended Actions</w:t>
      </w:r>
    </w:p>
    <w:p w14:paraId="30460612" w14:textId="29578D57" w:rsidR="002138DB" w:rsidRDefault="002138DB" w:rsidP="002138DB">
      <w:pPr>
        <w:pStyle w:val="TableTitle"/>
      </w:pPr>
      <w:r>
        <w:t xml:space="preserve">Best Practices for </w:t>
      </w:r>
      <w:r w:rsidR="00600BB4">
        <w:t xml:space="preserve">VMT </w:t>
      </w:r>
      <w:r w:rsidR="00CB4064">
        <w:t>F</w:t>
      </w:r>
      <w:r w:rsidR="00600BB4">
        <w:t>ee</w:t>
      </w:r>
      <w:r>
        <w:t xml:space="preserve"> Development</w:t>
      </w:r>
    </w:p>
    <w:tbl>
      <w:tblPr>
        <w:tblStyle w:val="FPTable19"/>
        <w:tblW w:w="5000" w:type="pct"/>
        <w:tblLook w:val="04A0" w:firstRow="1" w:lastRow="0" w:firstColumn="1" w:lastColumn="0" w:noHBand="0" w:noVBand="1"/>
      </w:tblPr>
      <w:tblGrid>
        <w:gridCol w:w="3510"/>
        <w:gridCol w:w="5130"/>
      </w:tblGrid>
      <w:tr w:rsidR="002C6FBB" w14:paraId="2BD7485A" w14:textId="77777777" w:rsidTr="002C6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tcPr>
          <w:p w14:paraId="020EDDCF" w14:textId="1346F8A8" w:rsidR="002C6FBB" w:rsidRDefault="002C6FBB" w:rsidP="00787AD4">
            <w:pPr>
              <w:pStyle w:val="TableColumnHeading"/>
              <w:jc w:val="center"/>
            </w:pPr>
            <w:r>
              <w:t>Focus Area</w:t>
            </w:r>
          </w:p>
        </w:tc>
        <w:tc>
          <w:tcPr>
            <w:tcW w:w="2969" w:type="pct"/>
          </w:tcPr>
          <w:p w14:paraId="0302B2A4" w14:textId="07C740D5" w:rsidR="002C6FBB" w:rsidRDefault="002C6FBB" w:rsidP="00787AD4">
            <w:pPr>
              <w:pStyle w:val="TableColumnHeading"/>
              <w:jc w:val="center"/>
              <w:cnfStyle w:val="100000000000" w:firstRow="1" w:lastRow="0" w:firstColumn="0" w:lastColumn="0" w:oddVBand="0" w:evenVBand="0" w:oddHBand="0" w:evenHBand="0" w:firstRowFirstColumn="0" w:firstRowLastColumn="0" w:lastRowFirstColumn="0" w:lastRowLastColumn="0"/>
            </w:pPr>
            <w:r>
              <w:t>Action</w:t>
            </w:r>
          </w:p>
        </w:tc>
      </w:tr>
      <w:tr w:rsidR="003128CB" w14:paraId="223719BF" w14:textId="77777777" w:rsidTr="002C6FBB">
        <w:tc>
          <w:tcPr>
            <w:cnfStyle w:val="001000000000" w:firstRow="0" w:lastRow="0" w:firstColumn="1" w:lastColumn="0" w:oddVBand="0" w:evenVBand="0" w:oddHBand="0" w:evenHBand="0" w:firstRowFirstColumn="0" w:firstRowLastColumn="0" w:lastRowFirstColumn="0" w:lastRowLastColumn="0"/>
            <w:tcW w:w="2031" w:type="pct"/>
            <w:vMerge w:val="restart"/>
            <w:tcBorders>
              <w:top w:val="nil"/>
            </w:tcBorders>
            <w:shd w:val="clear" w:color="auto" w:fill="auto"/>
          </w:tcPr>
          <w:p w14:paraId="72946B5A" w14:textId="28AD8E62" w:rsidR="003128CB" w:rsidRDefault="003128CB" w:rsidP="009735B2">
            <w:pPr>
              <w:pStyle w:val="TableText"/>
              <w:numPr>
                <w:ilvl w:val="0"/>
                <w:numId w:val="43"/>
              </w:numPr>
            </w:pPr>
            <w:r>
              <w:t>Establish Leadership</w:t>
            </w:r>
            <w:r w:rsidR="00CA7ADE">
              <w:t xml:space="preserve"> </w:t>
            </w:r>
            <w:r w:rsidR="00600BB4">
              <w:t>and</w:t>
            </w:r>
            <w:r w:rsidR="00CA7ADE">
              <w:t xml:space="preserve"> Clarify</w:t>
            </w:r>
            <w:r w:rsidR="00631489">
              <w:t xml:space="preserve"> Program</w:t>
            </w:r>
            <w:r w:rsidR="00CA7ADE">
              <w:t xml:space="preserve"> Objectives</w:t>
            </w:r>
            <w:r w:rsidR="00600BB4">
              <w:t xml:space="preserve"> </w:t>
            </w:r>
            <w:r>
              <w:t xml:space="preserve">(page </w:t>
            </w:r>
            <w:r>
              <w:fldChar w:fldCharType="begin"/>
            </w:r>
            <w:r>
              <w:instrText xml:space="preserve"> PAGEREF _Ref111540490 \h </w:instrText>
            </w:r>
            <w:r>
              <w:fldChar w:fldCharType="separate"/>
            </w:r>
            <w:r>
              <w:rPr>
                <w:noProof/>
              </w:rPr>
              <w:t>2</w:t>
            </w:r>
            <w:r>
              <w:fldChar w:fldCharType="end"/>
            </w:r>
            <w:r>
              <w:t>)</w:t>
            </w:r>
          </w:p>
        </w:tc>
        <w:tc>
          <w:tcPr>
            <w:tcW w:w="2969" w:type="pct"/>
            <w:tcBorders>
              <w:top w:val="nil"/>
            </w:tcBorders>
            <w:shd w:val="clear" w:color="auto" w:fill="auto"/>
          </w:tcPr>
          <w:p w14:paraId="7CFF80DB" w14:textId="0F600B0B" w:rsidR="003128CB" w:rsidRDefault="003128CB" w:rsidP="003128CB">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Identify a Champion</w:t>
            </w:r>
          </w:p>
        </w:tc>
      </w:tr>
      <w:tr w:rsidR="003128CB" w14:paraId="5F65A562" w14:textId="77777777" w:rsidTr="002C6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41A90DB2" w14:textId="77777777" w:rsidR="003128CB" w:rsidRDefault="003128CB" w:rsidP="009735B2">
            <w:pPr>
              <w:pStyle w:val="TableText"/>
              <w:numPr>
                <w:ilvl w:val="0"/>
                <w:numId w:val="41"/>
              </w:numPr>
            </w:pPr>
          </w:p>
        </w:tc>
        <w:tc>
          <w:tcPr>
            <w:tcW w:w="2969" w:type="pct"/>
            <w:shd w:val="clear" w:color="auto" w:fill="auto"/>
          </w:tcPr>
          <w:p w14:paraId="36E38A08" w14:textId="42E7620B" w:rsidR="003128CB" w:rsidRDefault="003128CB" w:rsidP="003128CB">
            <w:pPr>
              <w:pStyle w:val="TableText"/>
              <w:numPr>
                <w:ilvl w:val="0"/>
                <w:numId w:val="41"/>
              </w:numPr>
              <w:cnfStyle w:val="000000010000" w:firstRow="0" w:lastRow="0" w:firstColumn="0" w:lastColumn="0" w:oddVBand="0" w:evenVBand="0" w:oddHBand="0" w:evenHBand="1" w:firstRowFirstColumn="0" w:firstRowLastColumn="0" w:lastRowFirstColumn="0" w:lastRowLastColumn="0"/>
            </w:pPr>
            <w:r>
              <w:t>Convene a Working Group</w:t>
            </w:r>
          </w:p>
        </w:tc>
      </w:tr>
      <w:tr w:rsidR="003128CB" w14:paraId="15F56F08" w14:textId="77777777" w:rsidTr="002C6FBB">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67C7D19C" w14:textId="77777777" w:rsidR="003128CB" w:rsidRDefault="003128CB" w:rsidP="009735B2">
            <w:pPr>
              <w:pStyle w:val="TableText"/>
              <w:numPr>
                <w:ilvl w:val="0"/>
                <w:numId w:val="41"/>
              </w:numPr>
            </w:pPr>
          </w:p>
        </w:tc>
        <w:tc>
          <w:tcPr>
            <w:tcW w:w="2969" w:type="pct"/>
            <w:shd w:val="clear" w:color="auto" w:fill="auto"/>
          </w:tcPr>
          <w:p w14:paraId="598695F0" w14:textId="0D7F4D5E" w:rsidR="003128CB" w:rsidRDefault="003128CB" w:rsidP="003128CB">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Identify and Contact Stakeholders</w:t>
            </w:r>
          </w:p>
        </w:tc>
      </w:tr>
      <w:tr w:rsidR="00F43AF2" w14:paraId="1FA15427" w14:textId="77777777" w:rsidTr="002C6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15B6642C" w14:textId="77777777" w:rsidR="00F43AF2" w:rsidRDefault="00F43AF2" w:rsidP="009735B2">
            <w:pPr>
              <w:pStyle w:val="TableText"/>
              <w:numPr>
                <w:ilvl w:val="0"/>
                <w:numId w:val="41"/>
              </w:numPr>
            </w:pPr>
          </w:p>
        </w:tc>
        <w:tc>
          <w:tcPr>
            <w:tcW w:w="2969" w:type="pct"/>
            <w:shd w:val="clear" w:color="auto" w:fill="auto"/>
          </w:tcPr>
          <w:p w14:paraId="112DA861" w14:textId="2A3A0F9D" w:rsidR="00F43AF2" w:rsidRDefault="00F43AF2" w:rsidP="003128CB">
            <w:pPr>
              <w:pStyle w:val="TableText"/>
              <w:numPr>
                <w:ilvl w:val="0"/>
                <w:numId w:val="41"/>
              </w:numPr>
              <w:cnfStyle w:val="000000010000" w:firstRow="0" w:lastRow="0" w:firstColumn="0" w:lastColumn="0" w:oddVBand="0" w:evenVBand="0" w:oddHBand="0" w:evenHBand="1" w:firstRowFirstColumn="0" w:firstRowLastColumn="0" w:lastRowFirstColumn="0" w:lastRowLastColumn="0"/>
            </w:pPr>
            <w:r>
              <w:t>Decide What Kind of Fee Type to Develop</w:t>
            </w:r>
          </w:p>
        </w:tc>
      </w:tr>
      <w:tr w:rsidR="003128CB" w14:paraId="7A47445D" w14:textId="77777777" w:rsidTr="00596B5A">
        <w:tc>
          <w:tcPr>
            <w:cnfStyle w:val="001000000000" w:firstRow="0" w:lastRow="0" w:firstColumn="1" w:lastColumn="0" w:oddVBand="0" w:evenVBand="0" w:oddHBand="0" w:evenHBand="0" w:firstRowFirstColumn="0" w:firstRowLastColumn="0" w:lastRowFirstColumn="0" w:lastRowLastColumn="0"/>
            <w:tcW w:w="2031" w:type="pct"/>
            <w:vMerge w:val="restart"/>
            <w:shd w:val="clear" w:color="auto" w:fill="F1F5F3" w:themeFill="background2" w:themeFillTint="33"/>
          </w:tcPr>
          <w:p w14:paraId="153B7F0E" w14:textId="15B2A73D" w:rsidR="003128CB" w:rsidRDefault="00CA7ADE" w:rsidP="009735B2">
            <w:pPr>
              <w:pStyle w:val="TableText"/>
              <w:numPr>
                <w:ilvl w:val="0"/>
                <w:numId w:val="43"/>
              </w:numPr>
            </w:pPr>
            <w:r>
              <w:t>Solicit Consultant Services</w:t>
            </w:r>
            <w:r w:rsidR="00600BB4">
              <w:t xml:space="preserve"> </w:t>
            </w:r>
            <w:r w:rsidR="00B4332F">
              <w:t>(optional)</w:t>
            </w:r>
            <w:r w:rsidR="00600BB4">
              <w:t xml:space="preserve"> </w:t>
            </w:r>
            <w:r>
              <w:t>(pa</w:t>
            </w:r>
            <w:r w:rsidRPr="00200FD3">
              <w:t xml:space="preserve">ge </w:t>
            </w:r>
            <w:r w:rsidR="00073F1C" w:rsidRPr="00200FD3">
              <w:fldChar w:fldCharType="begin"/>
            </w:r>
            <w:r w:rsidR="00073F1C" w:rsidRPr="00200FD3">
              <w:instrText xml:space="preserve"> PAGEREF _Ref113636763 \h </w:instrText>
            </w:r>
            <w:r w:rsidR="00073F1C" w:rsidRPr="00200FD3">
              <w:fldChar w:fldCharType="separate"/>
            </w:r>
            <w:r w:rsidR="00073F1C" w:rsidRPr="00200FD3">
              <w:rPr>
                <w:noProof/>
              </w:rPr>
              <w:t>3</w:t>
            </w:r>
            <w:r w:rsidR="00073F1C" w:rsidRPr="00200FD3">
              <w:fldChar w:fldCharType="end"/>
            </w:r>
            <w:r w:rsidRPr="00BD7C31">
              <w:t>)</w:t>
            </w:r>
          </w:p>
        </w:tc>
        <w:tc>
          <w:tcPr>
            <w:tcW w:w="2969" w:type="pct"/>
            <w:shd w:val="clear" w:color="auto" w:fill="F1F5F3" w:themeFill="background2" w:themeFillTint="33"/>
          </w:tcPr>
          <w:p w14:paraId="2685E8F8" w14:textId="46882FB9" w:rsidR="003128CB" w:rsidRDefault="00CA7ADE" w:rsidP="003128CB">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Develop and Release an RFP</w:t>
            </w:r>
          </w:p>
        </w:tc>
      </w:tr>
      <w:tr w:rsidR="003128CB" w14:paraId="69C8AAA8" w14:textId="77777777" w:rsidTr="00596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F1F5F3" w:themeFill="background2" w:themeFillTint="33"/>
          </w:tcPr>
          <w:p w14:paraId="1B168E90" w14:textId="77777777" w:rsidR="003128CB" w:rsidRDefault="003128CB" w:rsidP="003128CB">
            <w:pPr>
              <w:pStyle w:val="TableText"/>
              <w:numPr>
                <w:ilvl w:val="0"/>
                <w:numId w:val="41"/>
              </w:numPr>
            </w:pPr>
          </w:p>
        </w:tc>
        <w:tc>
          <w:tcPr>
            <w:tcW w:w="2969" w:type="pct"/>
            <w:shd w:val="clear" w:color="auto" w:fill="F1F5F3" w:themeFill="background2" w:themeFillTint="33"/>
          </w:tcPr>
          <w:p w14:paraId="4B67D7A5" w14:textId="7B67B9BB" w:rsidR="003128CB" w:rsidRDefault="0033003D" w:rsidP="003128CB">
            <w:pPr>
              <w:pStyle w:val="TableText"/>
              <w:numPr>
                <w:ilvl w:val="0"/>
                <w:numId w:val="41"/>
              </w:numPr>
              <w:cnfStyle w:val="000000010000" w:firstRow="0" w:lastRow="0" w:firstColumn="0" w:lastColumn="0" w:oddVBand="0" w:evenVBand="0" w:oddHBand="0" w:evenHBand="1" w:firstRowFirstColumn="0" w:firstRowLastColumn="0" w:lastRowFirstColumn="0" w:lastRowLastColumn="0"/>
            </w:pPr>
            <w:r>
              <w:t>Review Proposals</w:t>
            </w:r>
            <w:r w:rsidR="00CA7ADE">
              <w:t xml:space="preserve"> and </w:t>
            </w:r>
            <w:r w:rsidR="00697653">
              <w:t xml:space="preserve">Select </w:t>
            </w:r>
            <w:r w:rsidR="00CA7ADE">
              <w:t>a Consultant</w:t>
            </w:r>
          </w:p>
        </w:tc>
      </w:tr>
      <w:tr w:rsidR="003128CB" w14:paraId="6917AA5A" w14:textId="77777777" w:rsidTr="00596B5A">
        <w:tc>
          <w:tcPr>
            <w:cnfStyle w:val="001000000000" w:firstRow="0" w:lastRow="0" w:firstColumn="1" w:lastColumn="0" w:oddVBand="0" w:evenVBand="0" w:oddHBand="0" w:evenHBand="0" w:firstRowFirstColumn="0" w:firstRowLastColumn="0" w:lastRowFirstColumn="0" w:lastRowLastColumn="0"/>
            <w:tcW w:w="2031" w:type="pct"/>
            <w:vMerge/>
            <w:shd w:val="clear" w:color="auto" w:fill="F1F5F3" w:themeFill="background2" w:themeFillTint="33"/>
          </w:tcPr>
          <w:p w14:paraId="5247E771" w14:textId="77777777" w:rsidR="003128CB" w:rsidRDefault="003128CB" w:rsidP="003128CB">
            <w:pPr>
              <w:pStyle w:val="TableText"/>
              <w:numPr>
                <w:ilvl w:val="0"/>
                <w:numId w:val="41"/>
              </w:numPr>
            </w:pPr>
          </w:p>
        </w:tc>
        <w:tc>
          <w:tcPr>
            <w:tcW w:w="2969" w:type="pct"/>
            <w:shd w:val="clear" w:color="auto" w:fill="F1F5F3" w:themeFill="background2" w:themeFillTint="33"/>
          </w:tcPr>
          <w:p w14:paraId="2B86AFEC" w14:textId="12DB76D5" w:rsidR="003128CB" w:rsidRDefault="005F7D01" w:rsidP="003128CB">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Finalize the Contract</w:t>
            </w:r>
            <w:r w:rsidR="00CA7ADE">
              <w:t xml:space="preserve"> </w:t>
            </w:r>
          </w:p>
        </w:tc>
      </w:tr>
      <w:tr w:rsidR="00596B5A" w14:paraId="14407749" w14:textId="77777777" w:rsidTr="00596B5A">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31" w:type="pct"/>
            <w:vMerge w:val="restart"/>
            <w:shd w:val="clear" w:color="auto" w:fill="auto"/>
          </w:tcPr>
          <w:p w14:paraId="755BCB43" w14:textId="083FC5A0" w:rsidR="00596B5A" w:rsidRDefault="00596B5A" w:rsidP="009735B2">
            <w:pPr>
              <w:pStyle w:val="TableText"/>
              <w:numPr>
                <w:ilvl w:val="0"/>
                <w:numId w:val="43"/>
              </w:numPr>
            </w:pPr>
            <w:r>
              <w:t>Develop the Fee Program (</w:t>
            </w:r>
            <w:r w:rsidRPr="00200FD3">
              <w:t xml:space="preserve">page </w:t>
            </w:r>
            <w:r w:rsidRPr="00200FD3">
              <w:fldChar w:fldCharType="begin"/>
            </w:r>
            <w:r w:rsidRPr="00200FD3">
              <w:instrText xml:space="preserve"> PAGEREF _Ref113636769 \h </w:instrText>
            </w:r>
            <w:r w:rsidRPr="00200FD3">
              <w:fldChar w:fldCharType="separate"/>
            </w:r>
            <w:r w:rsidRPr="00200FD3">
              <w:rPr>
                <w:noProof/>
              </w:rPr>
              <w:t>3</w:t>
            </w:r>
            <w:r w:rsidRPr="00200FD3">
              <w:fldChar w:fldCharType="end"/>
            </w:r>
            <w:r w:rsidRPr="00200FD3">
              <w:t>)</w:t>
            </w:r>
          </w:p>
        </w:tc>
        <w:tc>
          <w:tcPr>
            <w:tcW w:w="2969" w:type="pct"/>
            <w:shd w:val="clear" w:color="auto" w:fill="auto"/>
          </w:tcPr>
          <w:p w14:paraId="03B36543" w14:textId="4A730210" w:rsidR="00596B5A" w:rsidRDefault="00596B5A" w:rsidP="003128CB">
            <w:pPr>
              <w:pStyle w:val="TableText"/>
              <w:numPr>
                <w:ilvl w:val="0"/>
                <w:numId w:val="42"/>
              </w:numPr>
              <w:ind w:left="946"/>
              <w:cnfStyle w:val="000000010000" w:firstRow="0" w:lastRow="0" w:firstColumn="0" w:lastColumn="0" w:oddVBand="0" w:evenVBand="0" w:oddHBand="0" w:evenHBand="1" w:firstRowFirstColumn="0" w:firstRowLastColumn="0" w:lastRowFirstColumn="0" w:lastRowLastColumn="0"/>
            </w:pPr>
            <w:r>
              <w:t>Collect Data and/or Facilitate Access to Data Sources</w:t>
            </w:r>
          </w:p>
        </w:tc>
      </w:tr>
      <w:tr w:rsidR="005F7D01" w14:paraId="6A1385D3" w14:textId="77777777" w:rsidTr="00394745">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62F04B01" w14:textId="77777777" w:rsidR="005F7D01" w:rsidRDefault="005F7D01" w:rsidP="003128CB">
            <w:pPr>
              <w:pStyle w:val="TableText"/>
              <w:jc w:val="center"/>
            </w:pPr>
          </w:p>
        </w:tc>
        <w:tc>
          <w:tcPr>
            <w:tcW w:w="2969" w:type="pct"/>
            <w:shd w:val="clear" w:color="auto" w:fill="auto"/>
          </w:tcPr>
          <w:p w14:paraId="377A4E1D" w14:textId="4B55CECB" w:rsidR="005F7D01" w:rsidRDefault="005F7D01" w:rsidP="003128CB">
            <w:pPr>
              <w:pStyle w:val="TableText"/>
              <w:numPr>
                <w:ilvl w:val="0"/>
                <w:numId w:val="42"/>
              </w:numPr>
              <w:ind w:left="946"/>
              <w:cnfStyle w:val="000000000000" w:firstRow="0" w:lastRow="0" w:firstColumn="0" w:lastColumn="0" w:oddVBand="0" w:evenVBand="0" w:oddHBand="0" w:evenHBand="0" w:firstRowFirstColumn="0" w:firstRowLastColumn="0" w:lastRowFirstColumn="0" w:lastRowLastColumn="0"/>
            </w:pPr>
            <w:r>
              <w:t>Review Existing Plans and Policies</w:t>
            </w:r>
          </w:p>
        </w:tc>
      </w:tr>
      <w:tr w:rsidR="00596B5A" w14:paraId="08DB9B7B" w14:textId="77777777" w:rsidTr="00394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4EB5B814" w14:textId="77777777" w:rsidR="00596B5A" w:rsidRDefault="00596B5A" w:rsidP="003128CB">
            <w:pPr>
              <w:pStyle w:val="TableText"/>
              <w:jc w:val="center"/>
            </w:pPr>
          </w:p>
        </w:tc>
        <w:tc>
          <w:tcPr>
            <w:tcW w:w="2969" w:type="pct"/>
            <w:shd w:val="clear" w:color="auto" w:fill="auto"/>
          </w:tcPr>
          <w:p w14:paraId="2C63B9CC" w14:textId="150F57BB" w:rsidR="00596B5A" w:rsidRDefault="00596B5A" w:rsidP="003128CB">
            <w:pPr>
              <w:pStyle w:val="TableText"/>
              <w:numPr>
                <w:ilvl w:val="0"/>
                <w:numId w:val="42"/>
              </w:numPr>
              <w:ind w:left="946"/>
              <w:cnfStyle w:val="000000010000" w:firstRow="0" w:lastRow="0" w:firstColumn="0" w:lastColumn="0" w:oddVBand="0" w:evenVBand="0" w:oddHBand="0" w:evenHBand="1" w:firstRowFirstColumn="0" w:firstRowLastColumn="0" w:lastRowFirstColumn="0" w:lastRowLastColumn="0"/>
            </w:pPr>
            <w:r>
              <w:t>Determine Applicability of the Fee Program</w:t>
            </w:r>
          </w:p>
        </w:tc>
      </w:tr>
      <w:tr w:rsidR="00911C9E" w14:paraId="6AED4800" w14:textId="77777777" w:rsidTr="00394745">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5F1BEF6D" w14:textId="77777777" w:rsidR="00911C9E" w:rsidRDefault="00911C9E" w:rsidP="003128CB">
            <w:pPr>
              <w:pStyle w:val="TableText"/>
              <w:jc w:val="center"/>
            </w:pPr>
          </w:p>
        </w:tc>
        <w:tc>
          <w:tcPr>
            <w:tcW w:w="2969" w:type="pct"/>
            <w:shd w:val="clear" w:color="auto" w:fill="auto"/>
          </w:tcPr>
          <w:p w14:paraId="4DBD1C23" w14:textId="422D3119" w:rsidR="00911C9E" w:rsidRDefault="00596B5A" w:rsidP="003128CB">
            <w:pPr>
              <w:pStyle w:val="TableText"/>
              <w:numPr>
                <w:ilvl w:val="0"/>
                <w:numId w:val="42"/>
              </w:numPr>
              <w:ind w:left="946"/>
              <w:cnfStyle w:val="000000000000" w:firstRow="0" w:lastRow="0" w:firstColumn="0" w:lastColumn="0" w:oddVBand="0" w:evenVBand="0" w:oddHBand="0" w:evenHBand="0" w:firstRowFirstColumn="0" w:firstRowLastColumn="0" w:lastRowFirstColumn="0" w:lastRowLastColumn="0"/>
            </w:pPr>
            <w:r>
              <w:t>Develop</w:t>
            </w:r>
            <w:r w:rsidR="002110D9">
              <w:t xml:space="preserve"> the </w:t>
            </w:r>
            <w:r w:rsidR="00911C9E">
              <w:t>Capital Improvement Pro</w:t>
            </w:r>
            <w:r w:rsidR="002110D9">
              <w:t>gram</w:t>
            </w:r>
          </w:p>
        </w:tc>
      </w:tr>
      <w:tr w:rsidR="00F91B09" w14:paraId="3273F562" w14:textId="77777777" w:rsidTr="003947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auto"/>
          </w:tcPr>
          <w:p w14:paraId="1EE3CFF4" w14:textId="77777777" w:rsidR="00F91B09" w:rsidRDefault="00F91B09" w:rsidP="003128CB">
            <w:pPr>
              <w:pStyle w:val="TableText"/>
              <w:jc w:val="center"/>
            </w:pPr>
          </w:p>
        </w:tc>
        <w:tc>
          <w:tcPr>
            <w:tcW w:w="2969" w:type="pct"/>
            <w:shd w:val="clear" w:color="auto" w:fill="auto"/>
          </w:tcPr>
          <w:p w14:paraId="24AD9683" w14:textId="521B0BAC" w:rsidR="00F91B09" w:rsidRDefault="00596B5A" w:rsidP="003128CB">
            <w:pPr>
              <w:pStyle w:val="TableText"/>
              <w:numPr>
                <w:ilvl w:val="0"/>
                <w:numId w:val="42"/>
              </w:numPr>
              <w:ind w:left="946"/>
              <w:cnfStyle w:val="000000010000" w:firstRow="0" w:lastRow="0" w:firstColumn="0" w:lastColumn="0" w:oddVBand="0" w:evenVBand="0" w:oddHBand="0" w:evenHBand="1" w:firstRowFirstColumn="0" w:firstRowLastColumn="0" w:lastRowFirstColumn="0" w:lastRowLastColumn="0"/>
            </w:pPr>
            <w:r>
              <w:t>Conduct a</w:t>
            </w:r>
            <w:r w:rsidR="00F91B09">
              <w:t xml:space="preserve"> Nexus Analysis and </w:t>
            </w:r>
            <w:r>
              <w:t xml:space="preserve">Develop the </w:t>
            </w:r>
            <w:r w:rsidR="00F91B09">
              <w:t>Fee Schedule</w:t>
            </w:r>
          </w:p>
        </w:tc>
      </w:tr>
      <w:tr w:rsidR="00F91B09" w14:paraId="26191C7D" w14:textId="77777777" w:rsidTr="00596B5A">
        <w:tc>
          <w:tcPr>
            <w:cnfStyle w:val="001000000000" w:firstRow="0" w:lastRow="0" w:firstColumn="1" w:lastColumn="0" w:oddVBand="0" w:evenVBand="0" w:oddHBand="0" w:evenHBand="0" w:firstRowFirstColumn="0" w:firstRowLastColumn="0" w:lastRowFirstColumn="0" w:lastRowLastColumn="0"/>
            <w:tcW w:w="2031" w:type="pct"/>
            <w:vMerge w:val="restart"/>
            <w:shd w:val="clear" w:color="auto" w:fill="F1F5F3" w:themeFill="background2" w:themeFillTint="33"/>
          </w:tcPr>
          <w:p w14:paraId="532FEC2E" w14:textId="2FA899CF" w:rsidR="00F91B09" w:rsidRDefault="00F91B09" w:rsidP="00F91B09">
            <w:pPr>
              <w:pStyle w:val="TableText"/>
              <w:numPr>
                <w:ilvl w:val="0"/>
                <w:numId w:val="43"/>
              </w:numPr>
            </w:pPr>
            <w:r>
              <w:t xml:space="preserve">Implement the </w:t>
            </w:r>
            <w:r w:rsidR="00596B5A">
              <w:t>Fee Program</w:t>
            </w:r>
            <w:r>
              <w:t xml:space="preserve"> (page </w:t>
            </w:r>
            <w:r>
              <w:fldChar w:fldCharType="begin"/>
            </w:r>
            <w:r>
              <w:instrText xml:space="preserve"> PAGEREF _Ref113636777 \h </w:instrText>
            </w:r>
            <w:r>
              <w:fldChar w:fldCharType="separate"/>
            </w:r>
            <w:r>
              <w:rPr>
                <w:noProof/>
              </w:rPr>
              <w:t>4</w:t>
            </w:r>
            <w:r>
              <w:fldChar w:fldCharType="end"/>
            </w:r>
            <w:r>
              <w:t>)</w:t>
            </w:r>
          </w:p>
        </w:tc>
        <w:tc>
          <w:tcPr>
            <w:tcW w:w="2969" w:type="pct"/>
            <w:shd w:val="clear" w:color="auto" w:fill="F1F5F3" w:themeFill="background2" w:themeFillTint="33"/>
          </w:tcPr>
          <w:p w14:paraId="70847F6B" w14:textId="4C8F514C" w:rsidR="00F91B09" w:rsidRDefault="00F91B09" w:rsidP="00F91B09">
            <w:pPr>
              <w:pStyle w:val="TableText"/>
              <w:numPr>
                <w:ilvl w:val="0"/>
                <w:numId w:val="41"/>
              </w:numPr>
              <w:cnfStyle w:val="000000000000" w:firstRow="0" w:lastRow="0" w:firstColumn="0" w:lastColumn="0" w:oddVBand="0" w:evenVBand="0" w:oddHBand="0" w:evenHBand="0" w:firstRowFirstColumn="0" w:firstRowLastColumn="0" w:lastRowFirstColumn="0" w:lastRowLastColumn="0"/>
            </w:pPr>
            <w:r>
              <w:t>Draft Staff Reports to Support Council Action</w:t>
            </w:r>
          </w:p>
        </w:tc>
      </w:tr>
      <w:tr w:rsidR="00F91B09" w14:paraId="4CC29964" w14:textId="77777777" w:rsidTr="00596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vMerge/>
            <w:shd w:val="clear" w:color="auto" w:fill="F1F5F3" w:themeFill="background2" w:themeFillTint="33"/>
          </w:tcPr>
          <w:p w14:paraId="0BA03518" w14:textId="77777777" w:rsidR="00F91B09" w:rsidRDefault="00F91B09" w:rsidP="00F91B09">
            <w:pPr>
              <w:pStyle w:val="TableText"/>
              <w:numPr>
                <w:ilvl w:val="0"/>
                <w:numId w:val="41"/>
              </w:numPr>
              <w:jc w:val="center"/>
            </w:pPr>
          </w:p>
        </w:tc>
        <w:tc>
          <w:tcPr>
            <w:tcW w:w="2969" w:type="pct"/>
            <w:shd w:val="clear" w:color="auto" w:fill="F1F5F3" w:themeFill="background2" w:themeFillTint="33"/>
          </w:tcPr>
          <w:p w14:paraId="1C21839B" w14:textId="6D2B1C2C" w:rsidR="00F91B09" w:rsidRDefault="00F91B09" w:rsidP="00F91B09">
            <w:pPr>
              <w:pStyle w:val="TableText"/>
              <w:numPr>
                <w:ilvl w:val="0"/>
                <w:numId w:val="41"/>
              </w:numPr>
              <w:cnfStyle w:val="000000010000" w:firstRow="0" w:lastRow="0" w:firstColumn="0" w:lastColumn="0" w:oddVBand="0" w:evenVBand="0" w:oddHBand="0" w:evenHBand="1" w:firstRowFirstColumn="0" w:firstRowLastColumn="0" w:lastRowFirstColumn="0" w:lastRowLastColumn="0"/>
            </w:pPr>
            <w:r>
              <w:t>Fulfill Annual Reporting Requirements</w:t>
            </w:r>
          </w:p>
        </w:tc>
      </w:tr>
    </w:tbl>
    <w:p w14:paraId="1D55AE35" w14:textId="77777777" w:rsidR="00342989" w:rsidRDefault="00342989" w:rsidP="00C14DA3">
      <w:pPr>
        <w:pStyle w:val="ListBullet"/>
        <w:numPr>
          <w:ilvl w:val="0"/>
          <w:numId w:val="0"/>
        </w:numPr>
      </w:pPr>
    </w:p>
    <w:p w14:paraId="3D4A74FF" w14:textId="77777777" w:rsidR="00954D87" w:rsidRDefault="00954D87" w:rsidP="00C14DA3">
      <w:pPr>
        <w:pStyle w:val="ListBullet"/>
        <w:numPr>
          <w:ilvl w:val="0"/>
          <w:numId w:val="0"/>
        </w:numPr>
      </w:pPr>
    </w:p>
    <w:p w14:paraId="6DDBCDF7" w14:textId="77777777" w:rsidR="00954D87" w:rsidRDefault="00954D87" w:rsidP="00C14DA3">
      <w:pPr>
        <w:spacing w:after="0"/>
      </w:pPr>
    </w:p>
    <w:p w14:paraId="407D97C5" w14:textId="12635286" w:rsidR="00954D87" w:rsidRPr="00954D87" w:rsidRDefault="00C14DA3" w:rsidP="00AF205A">
      <w:pPr>
        <w:pStyle w:val="Subheading"/>
        <w:numPr>
          <w:ilvl w:val="0"/>
          <w:numId w:val="37"/>
        </w:numPr>
      </w:pPr>
      <w:bookmarkStart w:id="3" w:name="_Ref111540490"/>
      <w:bookmarkEnd w:id="1"/>
      <w:r>
        <w:t>Establish Leadership</w:t>
      </w:r>
      <w:bookmarkEnd w:id="3"/>
      <w:r w:rsidR="00954D87">
        <w:t xml:space="preserve"> </w:t>
      </w:r>
      <w:r w:rsidR="00600BB4">
        <w:t>and Clarify</w:t>
      </w:r>
      <w:r w:rsidR="00631489">
        <w:t xml:space="preserve"> Program</w:t>
      </w:r>
      <w:r w:rsidR="00600BB4">
        <w:t xml:space="preserve"> Objectives</w:t>
      </w:r>
    </w:p>
    <w:tbl>
      <w:tblPr>
        <w:tblStyle w:val="FPTable19"/>
        <w:tblW w:w="5000" w:type="pct"/>
        <w:tblLook w:val="04A0" w:firstRow="1" w:lastRow="0" w:firstColumn="1" w:lastColumn="0" w:noHBand="0" w:noVBand="1"/>
      </w:tblPr>
      <w:tblGrid>
        <w:gridCol w:w="2250"/>
        <w:gridCol w:w="6390"/>
      </w:tblGrid>
      <w:tr w:rsidR="008B5D2B" w14:paraId="40DEE6D5" w14:textId="77777777" w:rsidTr="00BD7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2" w:type="pct"/>
          </w:tcPr>
          <w:p w14:paraId="2B475B49" w14:textId="5D650DAA" w:rsidR="008B5D2B" w:rsidRDefault="008B5D2B" w:rsidP="00422C7F">
            <w:pPr>
              <w:pStyle w:val="TableColumnHeading"/>
              <w:jc w:val="center"/>
            </w:pPr>
            <w:r>
              <w:t>Action</w:t>
            </w:r>
          </w:p>
        </w:tc>
        <w:tc>
          <w:tcPr>
            <w:tcW w:w="3698" w:type="pct"/>
          </w:tcPr>
          <w:p w14:paraId="6B85B730" w14:textId="18465508" w:rsidR="008B5D2B" w:rsidRDefault="008B5D2B" w:rsidP="00422C7F">
            <w:pPr>
              <w:pStyle w:val="TableColumnHeading"/>
              <w:jc w:val="center"/>
              <w:cnfStyle w:val="100000000000" w:firstRow="1" w:lastRow="0" w:firstColumn="0" w:lastColumn="0" w:oddVBand="0" w:evenVBand="0" w:oddHBand="0" w:evenHBand="0" w:firstRowFirstColumn="0" w:firstRowLastColumn="0" w:lastRowFirstColumn="0" w:lastRowLastColumn="0"/>
            </w:pPr>
            <w:r>
              <w:t>Description</w:t>
            </w:r>
          </w:p>
        </w:tc>
      </w:tr>
      <w:tr w:rsidR="008B5D2B" w14:paraId="21713BE3" w14:textId="77777777" w:rsidTr="00BD7C31">
        <w:tc>
          <w:tcPr>
            <w:cnfStyle w:val="001000000000" w:firstRow="0" w:lastRow="0" w:firstColumn="1" w:lastColumn="0" w:oddVBand="0" w:evenVBand="0" w:oddHBand="0" w:evenHBand="0" w:firstRowFirstColumn="0" w:firstRowLastColumn="0" w:lastRowFirstColumn="0" w:lastRowLastColumn="0"/>
            <w:tcW w:w="1302" w:type="pct"/>
            <w:tcBorders>
              <w:top w:val="nil"/>
            </w:tcBorders>
          </w:tcPr>
          <w:p w14:paraId="424A43EF" w14:textId="01CEA029" w:rsidR="008B5D2B" w:rsidRDefault="008B5D2B" w:rsidP="001A7AEF">
            <w:pPr>
              <w:pStyle w:val="TableText"/>
              <w:ind w:left="225"/>
            </w:pPr>
            <w:r>
              <w:t>Identify a Champion</w:t>
            </w:r>
          </w:p>
        </w:tc>
        <w:tc>
          <w:tcPr>
            <w:tcW w:w="3698" w:type="pct"/>
            <w:tcBorders>
              <w:top w:val="nil"/>
            </w:tcBorders>
          </w:tcPr>
          <w:p w14:paraId="361CF766" w14:textId="07E184C9" w:rsidR="008B5D2B" w:rsidRDefault="00833449" w:rsidP="00422C7F">
            <w:pPr>
              <w:pStyle w:val="TableText"/>
              <w:cnfStyle w:val="000000000000" w:firstRow="0" w:lastRow="0" w:firstColumn="0" w:lastColumn="0" w:oddVBand="0" w:evenVBand="0" w:oddHBand="0" w:evenHBand="0" w:firstRowFirstColumn="0" w:firstRowLastColumn="0" w:lastRowFirstColumn="0" w:lastRowLastColumn="0"/>
            </w:pPr>
            <w:r w:rsidRPr="00954D87">
              <w:t xml:space="preserve">The champion is </w:t>
            </w:r>
            <w:r>
              <w:t>someone with decision-making power and/or influence believes in the need for a policy and can help advance the project from inception through final adoption. Examples include a City Manager or Mayor’s Office representative</w:t>
            </w:r>
            <w:r w:rsidR="00066135">
              <w:t>,</w:t>
            </w:r>
            <w:r>
              <w:t xml:space="preserve"> or po</w:t>
            </w:r>
            <w:r w:rsidR="00066135">
              <w:t>tentially</w:t>
            </w:r>
            <w:r>
              <w:t xml:space="preserve"> a Public Works or Transportation Department head. It is</w:t>
            </w:r>
            <w:r w:rsidR="00066135">
              <w:t xml:space="preserve"> critical</w:t>
            </w:r>
            <w:r>
              <w:t xml:space="preserve"> for this person to</w:t>
            </w:r>
            <w:r w:rsidR="00A4762A">
              <w:t xml:space="preserve"> be familiar with the </w:t>
            </w:r>
            <w:r w:rsidR="00066135">
              <w:t xml:space="preserve">key </w:t>
            </w:r>
            <w:r w:rsidR="00A4762A">
              <w:t>transportation issues</w:t>
            </w:r>
            <w:r w:rsidR="00066135">
              <w:t>, as well as</w:t>
            </w:r>
            <w:r w:rsidR="00A4762A">
              <w:t xml:space="preserve"> the City’s existing development fee programs and</w:t>
            </w:r>
            <w:r w:rsidR="00066135">
              <w:t xml:space="preserve"> related</w:t>
            </w:r>
            <w:r w:rsidR="00A4762A">
              <w:t xml:space="preserve"> legal implications.</w:t>
            </w:r>
          </w:p>
        </w:tc>
      </w:tr>
      <w:tr w:rsidR="008B5D2B" w14:paraId="02B005E4" w14:textId="77777777" w:rsidTr="00BD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1013461D" w14:textId="54BDEEF7" w:rsidR="008B5D2B" w:rsidRDefault="008B5D2B" w:rsidP="001A7AEF">
            <w:pPr>
              <w:pStyle w:val="TableText"/>
              <w:ind w:left="225"/>
            </w:pPr>
            <w:r>
              <w:lastRenderedPageBreak/>
              <w:t>Convene a Working Group</w:t>
            </w:r>
          </w:p>
        </w:tc>
        <w:tc>
          <w:tcPr>
            <w:tcW w:w="3698" w:type="pct"/>
          </w:tcPr>
          <w:p w14:paraId="6E9B4E05" w14:textId="28F3103D" w:rsidR="008B5D2B" w:rsidRDefault="008B5D2B" w:rsidP="00422C7F">
            <w:pPr>
              <w:pStyle w:val="TableText"/>
              <w:cnfStyle w:val="000000010000" w:firstRow="0" w:lastRow="0" w:firstColumn="0" w:lastColumn="0" w:oddVBand="0" w:evenVBand="0" w:oddHBand="0" w:evenHBand="1" w:firstRowFirstColumn="0" w:firstRowLastColumn="0" w:lastRowFirstColumn="0" w:lastRowLastColumn="0"/>
            </w:pPr>
            <w:r w:rsidRPr="00954D87">
              <w:t xml:space="preserve">The working group is the original team responsible for </w:t>
            </w:r>
            <w:r w:rsidR="004848EE">
              <w:t>working closely with the consultant and/or special advisors to guide and develop t</w:t>
            </w:r>
            <w:r w:rsidRPr="00954D87">
              <w:t xml:space="preserve">he </w:t>
            </w:r>
            <w:r w:rsidR="00600BB4">
              <w:t>VMT fee</w:t>
            </w:r>
            <w:r w:rsidRPr="00954D87">
              <w:t xml:space="preserve">. This group is smaller than the larger stakeholder pool, consisting primarily of </w:t>
            </w:r>
            <w:r w:rsidR="004848EE">
              <w:t>internal jurisdiction</w:t>
            </w:r>
            <w:r w:rsidRPr="00954D87">
              <w:t xml:space="preserve"> staff, and takes on greater implementation and decision-making responsibility. </w:t>
            </w:r>
            <w:r w:rsidR="004848EE">
              <w:t xml:space="preserve">Some departments to involve in the working group include Planning, Transportation, Public Works, the City Council. </w:t>
            </w:r>
            <w:r w:rsidRPr="00954D87">
              <w:t>A kickoff meeting is the best way to initialize and</w:t>
            </w:r>
            <w:r>
              <w:t xml:space="preserve"> </w:t>
            </w:r>
            <w:r w:rsidRPr="00954D87">
              <w:t>formalize the roles and responsibilities.</w:t>
            </w:r>
          </w:p>
          <w:p w14:paraId="27F39EF4" w14:textId="77777777" w:rsidR="00911C9E" w:rsidRDefault="00911C9E" w:rsidP="00422C7F">
            <w:pPr>
              <w:pStyle w:val="TableText"/>
              <w:cnfStyle w:val="000000010000" w:firstRow="0" w:lastRow="0" w:firstColumn="0" w:lastColumn="0" w:oddVBand="0" w:evenVBand="0" w:oddHBand="0" w:evenHBand="1" w:firstRowFirstColumn="0" w:firstRowLastColumn="0" w:lastRowFirstColumn="0" w:lastRowLastColumn="0"/>
            </w:pPr>
          </w:p>
          <w:p w14:paraId="4E75876C" w14:textId="253C1FE4" w:rsidR="00911C9E" w:rsidRDefault="00911C9E" w:rsidP="00911C9E">
            <w:pPr>
              <w:pStyle w:val="TableText"/>
              <w:cnfStyle w:val="000000010000" w:firstRow="0" w:lastRow="0" w:firstColumn="0" w:lastColumn="0" w:oddVBand="0" w:evenVBand="0" w:oddHBand="0" w:evenHBand="1" w:firstRowFirstColumn="0" w:firstRowLastColumn="0" w:lastRowFirstColumn="0" w:lastRowLastColumn="0"/>
            </w:pPr>
            <w:r>
              <w:t xml:space="preserve">Given the specificity and complexity of legal requirements pertaining to impact fees, </w:t>
            </w:r>
            <w:r w:rsidR="005E1515">
              <w:t>the working group should include legal counsel</w:t>
            </w:r>
            <w:r>
              <w:t xml:space="preserve"> </w:t>
            </w:r>
            <w:r w:rsidR="005E1515">
              <w:t xml:space="preserve">so </w:t>
            </w:r>
            <w:r>
              <w:t>a clear understanding of nexus requirements and the implications of fee schedule designs</w:t>
            </w:r>
            <w:r w:rsidR="005E1515">
              <w:t xml:space="preserve"> can be provided/achieved throughout the planning process.</w:t>
            </w:r>
          </w:p>
        </w:tc>
      </w:tr>
      <w:tr w:rsidR="008B5D2B" w14:paraId="5A09D35E" w14:textId="77777777" w:rsidTr="00BD7C31">
        <w:tc>
          <w:tcPr>
            <w:cnfStyle w:val="001000000000" w:firstRow="0" w:lastRow="0" w:firstColumn="1" w:lastColumn="0" w:oddVBand="0" w:evenVBand="0" w:oddHBand="0" w:evenHBand="0" w:firstRowFirstColumn="0" w:firstRowLastColumn="0" w:lastRowFirstColumn="0" w:lastRowLastColumn="0"/>
            <w:tcW w:w="1302" w:type="pct"/>
          </w:tcPr>
          <w:p w14:paraId="35DEB620" w14:textId="3B7B31AB" w:rsidR="008B5D2B" w:rsidRDefault="008B5D2B" w:rsidP="001A7AEF">
            <w:pPr>
              <w:pStyle w:val="TableText"/>
              <w:ind w:left="225"/>
            </w:pPr>
            <w:r>
              <w:t>Identify and Contact Stakeholders</w:t>
            </w:r>
          </w:p>
        </w:tc>
        <w:tc>
          <w:tcPr>
            <w:tcW w:w="3698" w:type="pct"/>
          </w:tcPr>
          <w:p w14:paraId="56057312" w14:textId="77777777" w:rsidR="00833449" w:rsidRDefault="008B5D2B" w:rsidP="00422C7F">
            <w:pPr>
              <w:pStyle w:val="TableText"/>
              <w:cnfStyle w:val="000000000000" w:firstRow="0" w:lastRow="0" w:firstColumn="0" w:lastColumn="0" w:oddVBand="0" w:evenVBand="0" w:oddHBand="0" w:evenHBand="0" w:firstRowFirstColumn="0" w:firstRowLastColumn="0" w:lastRowFirstColumn="0" w:lastRowLastColumn="0"/>
            </w:pPr>
            <w:r w:rsidRPr="00954D87">
              <w:t>One of the working group’s first action items should be to</w:t>
            </w:r>
            <w:r w:rsidR="005E1515" w:rsidRPr="005E1515">
              <w:t xml:space="preserve"> better understand existing concerns and needs </w:t>
            </w:r>
            <w:r w:rsidR="00631489">
              <w:t xml:space="preserve">related to a </w:t>
            </w:r>
            <w:r w:rsidR="00600BB4">
              <w:t>VMT fee</w:t>
            </w:r>
            <w:r w:rsidR="00631489">
              <w:t xml:space="preserve"> program</w:t>
            </w:r>
            <w:r w:rsidR="005E1515">
              <w:t xml:space="preserve"> by seeking</w:t>
            </w:r>
            <w:r w:rsidR="005E1515" w:rsidRPr="005E1515">
              <w:t xml:space="preserve"> stakeholder input. Depending on the planning context, stakeholder engagement may include a series of advisory team meetings or focus groups with businesses and institutions.</w:t>
            </w:r>
            <w:r w:rsidR="00833449">
              <w:t xml:space="preserve"> Some members of the working group may be involved in crafting stakeholder outreach, but stakeholders should include individuals not involved in other elements of policy development so outreach supports collection of new input and perspectives.</w:t>
            </w:r>
          </w:p>
          <w:p w14:paraId="0313D810" w14:textId="77777777" w:rsidR="00833449" w:rsidRDefault="00833449" w:rsidP="00422C7F">
            <w:pPr>
              <w:pStyle w:val="TableText"/>
              <w:cnfStyle w:val="000000000000" w:firstRow="0" w:lastRow="0" w:firstColumn="0" w:lastColumn="0" w:oddVBand="0" w:evenVBand="0" w:oddHBand="0" w:evenHBand="0" w:firstRowFirstColumn="0" w:firstRowLastColumn="0" w:lastRowFirstColumn="0" w:lastRowLastColumn="0"/>
            </w:pPr>
          </w:p>
          <w:p w14:paraId="3BFDA93E" w14:textId="35F10BFA" w:rsidR="00833449" w:rsidRDefault="00833449" w:rsidP="00422C7F">
            <w:pPr>
              <w:pStyle w:val="TableText"/>
              <w:cnfStyle w:val="000000000000" w:firstRow="0" w:lastRow="0" w:firstColumn="0" w:lastColumn="0" w:oddVBand="0" w:evenVBand="0" w:oddHBand="0" w:evenHBand="0" w:firstRowFirstColumn="0" w:firstRowLastColumn="0" w:lastRowFirstColumn="0" w:lastRowLastColumn="0"/>
            </w:pPr>
            <w:r w:rsidRPr="00833449">
              <w:t xml:space="preserve">Due to the highly technical nature of </w:t>
            </w:r>
            <w:r>
              <w:t>VMT</w:t>
            </w:r>
            <w:r w:rsidR="00066135">
              <w:t xml:space="preserve"> fee</w:t>
            </w:r>
            <w:r w:rsidRPr="00833449">
              <w:t xml:space="preserve"> studies, outreach activities geared toward the general public typically result in modest levels of engagement. As such, </w:t>
            </w:r>
            <w:r>
              <w:t>outreach should</w:t>
            </w:r>
            <w:r w:rsidRPr="00833449">
              <w:t xml:space="preserve"> emphasize consensus-building with key stakeholders as well as sharing information and offering opportunities for input to city residents at large.</w:t>
            </w:r>
          </w:p>
        </w:tc>
      </w:tr>
      <w:tr w:rsidR="00F43AF2" w14:paraId="24D1FEB4" w14:textId="77777777" w:rsidTr="00350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60B4AB97" w14:textId="422A48BC" w:rsidR="00F43AF2" w:rsidRDefault="00F43AF2" w:rsidP="001A7AEF">
            <w:pPr>
              <w:pStyle w:val="TableText"/>
              <w:ind w:left="225"/>
            </w:pPr>
            <w:r w:rsidRPr="00911C9E">
              <w:t>Decide What Kind of Fee Type to Develop</w:t>
            </w:r>
          </w:p>
        </w:tc>
        <w:tc>
          <w:tcPr>
            <w:tcW w:w="3698" w:type="pct"/>
          </w:tcPr>
          <w:p w14:paraId="0E27B832" w14:textId="4A8AE920" w:rsidR="00F43AF2" w:rsidRPr="00954D87" w:rsidRDefault="00911C9E" w:rsidP="00422C7F">
            <w:pPr>
              <w:pStyle w:val="TableText"/>
              <w:cnfStyle w:val="000000010000" w:firstRow="0" w:lastRow="0" w:firstColumn="0" w:lastColumn="0" w:oddVBand="0" w:evenVBand="0" w:oddHBand="0" w:evenHBand="1" w:firstRowFirstColumn="0" w:firstRowLastColumn="0" w:lastRowFirstColumn="0" w:lastRowLastColumn="0"/>
            </w:pPr>
            <w:r w:rsidRPr="00911C9E">
              <w:t xml:space="preserve">VMT fee programs may be structured as an impact fee under the Mitigation Fee Act (AB 1600). Alternatively, the program could be designed as an in-lieu fee program in which development projects that trigger a VMT impact can pay the fee in lieu of applying on-site mitigation strategies. Consultation with the City Attorney or County Counsel is essential to development of a fee program that aligns with the jurisdiction’s goals and with legal requirements. </w:t>
            </w:r>
          </w:p>
        </w:tc>
      </w:tr>
    </w:tbl>
    <w:p w14:paraId="05331BF9" w14:textId="77777777" w:rsidR="003500EE" w:rsidRDefault="003500EE" w:rsidP="00BD7C31">
      <w:bookmarkStart w:id="4" w:name="_Ref111541508"/>
    </w:p>
    <w:p w14:paraId="1451FC12" w14:textId="2072767C" w:rsidR="00E118C2" w:rsidRDefault="00E118C2" w:rsidP="00AF205A">
      <w:pPr>
        <w:pStyle w:val="Subheading"/>
        <w:numPr>
          <w:ilvl w:val="0"/>
          <w:numId w:val="37"/>
        </w:numPr>
      </w:pPr>
      <w:bookmarkStart w:id="5" w:name="_Ref113636763"/>
      <w:r>
        <w:t>Solicit Consultant Services</w:t>
      </w:r>
      <w:bookmarkEnd w:id="5"/>
      <w:r w:rsidR="00600BB4">
        <w:t xml:space="preserve"> </w:t>
      </w:r>
      <w:r w:rsidR="00B4332F">
        <w:t>(optional)</w:t>
      </w:r>
    </w:p>
    <w:tbl>
      <w:tblPr>
        <w:tblStyle w:val="FPTable19"/>
        <w:tblW w:w="5000" w:type="pct"/>
        <w:tblLook w:val="04A0" w:firstRow="1" w:lastRow="0" w:firstColumn="1" w:lastColumn="0" w:noHBand="0" w:noVBand="1"/>
      </w:tblPr>
      <w:tblGrid>
        <w:gridCol w:w="2250"/>
        <w:gridCol w:w="6390"/>
      </w:tblGrid>
      <w:tr w:rsidR="003500EE" w14:paraId="0EBE0CED" w14:textId="77777777" w:rsidTr="0035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22CB0750" w14:textId="77777777" w:rsidR="00E118C2" w:rsidRDefault="00E118C2" w:rsidP="00FC2668">
            <w:pPr>
              <w:pStyle w:val="TableColumnHeading"/>
              <w:jc w:val="center"/>
            </w:pPr>
            <w:r>
              <w:t>Action</w:t>
            </w:r>
          </w:p>
        </w:tc>
        <w:tc>
          <w:tcPr>
            <w:tcW w:w="3698" w:type="pct"/>
          </w:tcPr>
          <w:p w14:paraId="61E44F2B" w14:textId="77777777" w:rsidR="00E118C2" w:rsidRDefault="00E118C2"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Description</w:t>
            </w:r>
          </w:p>
        </w:tc>
      </w:tr>
      <w:tr w:rsidR="003500EE" w14:paraId="6F5A0978" w14:textId="77777777" w:rsidTr="003500EE">
        <w:tc>
          <w:tcPr>
            <w:cnfStyle w:val="001000000000" w:firstRow="0" w:lastRow="0" w:firstColumn="1" w:lastColumn="0" w:oddVBand="0" w:evenVBand="0" w:oddHBand="0" w:evenHBand="0" w:firstRowFirstColumn="0" w:firstRowLastColumn="0" w:lastRowFirstColumn="0" w:lastRowLastColumn="0"/>
            <w:tcW w:w="1302" w:type="pct"/>
          </w:tcPr>
          <w:p w14:paraId="33D4E553" w14:textId="60D13E50" w:rsidR="00E118C2" w:rsidRDefault="00E118C2" w:rsidP="00FC2668">
            <w:pPr>
              <w:pStyle w:val="TableText"/>
              <w:ind w:left="225"/>
            </w:pPr>
            <w:r>
              <w:t>Develop and Release an RFP</w:t>
            </w:r>
          </w:p>
        </w:tc>
        <w:tc>
          <w:tcPr>
            <w:tcW w:w="3698" w:type="pct"/>
          </w:tcPr>
          <w:p w14:paraId="096E8110" w14:textId="1AC695AC" w:rsidR="00E118C2" w:rsidRDefault="00BF235F" w:rsidP="00FC2668">
            <w:pPr>
              <w:pStyle w:val="TableText"/>
              <w:cnfStyle w:val="000000000000" w:firstRow="0" w:lastRow="0" w:firstColumn="0" w:lastColumn="0" w:oddVBand="0" w:evenVBand="0" w:oddHBand="0" w:evenHBand="0" w:firstRowFirstColumn="0" w:firstRowLastColumn="0" w:lastRowFirstColumn="0" w:lastRowLastColumn="0"/>
            </w:pPr>
            <w:r>
              <w:t xml:space="preserve">Work in consultation with city/county staff and champions to develop an RFP that reflects the </w:t>
            </w:r>
            <w:r w:rsidR="00A3617D">
              <w:t>work and budget necessary to achieve desired outcomes</w:t>
            </w:r>
            <w:r w:rsidR="00CE3C18">
              <w:t>.</w:t>
            </w:r>
            <w:r w:rsidR="00631489">
              <w:t xml:space="preserve"> See </w:t>
            </w:r>
            <w:r w:rsidR="00631489" w:rsidRPr="00631489">
              <w:rPr>
                <w:highlight w:val="cyan"/>
              </w:rPr>
              <w:t>VMT Fee Request for Proposals (RFP) Template</w:t>
            </w:r>
            <w:r w:rsidR="00631489">
              <w:t>.</w:t>
            </w:r>
          </w:p>
        </w:tc>
      </w:tr>
      <w:tr w:rsidR="003500EE" w14:paraId="35785BF4" w14:textId="77777777" w:rsidTr="003500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2" w:type="pct"/>
          </w:tcPr>
          <w:p w14:paraId="6C2A2572" w14:textId="701E5D56" w:rsidR="00E118C2" w:rsidRDefault="00E118C2" w:rsidP="00FC2668">
            <w:pPr>
              <w:pStyle w:val="TableText"/>
              <w:ind w:left="225"/>
            </w:pPr>
            <w:r>
              <w:lastRenderedPageBreak/>
              <w:t xml:space="preserve">Review </w:t>
            </w:r>
            <w:r w:rsidR="0033003D">
              <w:t>Proposals</w:t>
            </w:r>
            <w:r>
              <w:t xml:space="preserve"> and </w:t>
            </w:r>
            <w:r w:rsidR="00697653">
              <w:t xml:space="preserve">Select </w:t>
            </w:r>
            <w:r>
              <w:t>a Consultant</w:t>
            </w:r>
          </w:p>
        </w:tc>
        <w:tc>
          <w:tcPr>
            <w:tcW w:w="3698" w:type="pct"/>
          </w:tcPr>
          <w:p w14:paraId="29273CF8" w14:textId="77777777" w:rsidR="00CE3C18" w:rsidRDefault="0033003D" w:rsidP="0033003D">
            <w:pPr>
              <w:pStyle w:val="TableText"/>
              <w:cnfStyle w:val="000000010000" w:firstRow="0" w:lastRow="0" w:firstColumn="0" w:lastColumn="0" w:oddVBand="0" w:evenVBand="0" w:oddHBand="0" w:evenHBand="1" w:firstRowFirstColumn="0" w:firstRowLastColumn="0" w:lastRowFirstColumn="0" w:lastRowLastColumn="0"/>
            </w:pPr>
            <w:r>
              <w:t>Review proposals with an eye toward hiring a consultant that can provide the desired services in a timely and cost-effective manner, whether that means having ample experience with specific types of</w:t>
            </w:r>
            <w:r w:rsidR="00CE3C18">
              <w:t xml:space="preserve"> development</w:t>
            </w:r>
            <w:r>
              <w:t xml:space="preserve"> </w:t>
            </w:r>
            <w:r w:rsidR="00CE3C18">
              <w:t>impact fees</w:t>
            </w:r>
            <w:r>
              <w:t>, local knowledge and experience</w:t>
            </w:r>
            <w:r w:rsidR="00CE3C18">
              <w:t xml:space="preserve"> related to development and VMT impacts</w:t>
            </w:r>
            <w:r>
              <w:t xml:space="preserve">, or access to unique tools resources that facilitate </w:t>
            </w:r>
            <w:r w:rsidR="00CE3C18">
              <w:t>program</w:t>
            </w:r>
            <w:r w:rsidR="003500EE">
              <w:t xml:space="preserve"> development.</w:t>
            </w:r>
          </w:p>
          <w:p w14:paraId="718CF678" w14:textId="77777777" w:rsidR="00CE3C18" w:rsidRDefault="00CE3C18" w:rsidP="0033003D">
            <w:pPr>
              <w:pStyle w:val="TableText"/>
              <w:cnfStyle w:val="000000010000" w:firstRow="0" w:lastRow="0" w:firstColumn="0" w:lastColumn="0" w:oddVBand="0" w:evenVBand="0" w:oddHBand="0" w:evenHBand="1" w:firstRowFirstColumn="0" w:firstRowLastColumn="0" w:lastRowFirstColumn="0" w:lastRowLastColumn="0"/>
            </w:pPr>
          </w:p>
          <w:p w14:paraId="0FF141DC" w14:textId="28491679" w:rsidR="00CE3C18" w:rsidRPr="00CE3C18" w:rsidRDefault="00CE3C18" w:rsidP="0033003D">
            <w:pPr>
              <w:pStyle w:val="TableText"/>
              <w:cnfStyle w:val="000000010000" w:firstRow="0" w:lastRow="0" w:firstColumn="0" w:lastColumn="0" w:oddVBand="0" w:evenVBand="0" w:oddHBand="0" w:evenHBand="1" w:firstRowFirstColumn="0" w:firstRowLastColumn="0" w:lastRowFirstColumn="0" w:lastRowLastColumn="0"/>
            </w:pPr>
            <w:r>
              <w:t xml:space="preserve">Given the nature of </w:t>
            </w:r>
            <w:r w:rsidR="00631489">
              <w:t>a</w:t>
            </w:r>
            <w:r>
              <w:t xml:space="preserve"> </w:t>
            </w:r>
            <w:r w:rsidR="00600BB4">
              <w:t>VMT fee</w:t>
            </w:r>
            <w:r>
              <w:t xml:space="preserve"> program, it may be beneficial to hire a transportation consultant and </w:t>
            </w:r>
            <w:r w:rsidR="009E55FB">
              <w:t xml:space="preserve">separate </w:t>
            </w:r>
            <w:r w:rsidR="005E1515">
              <w:t>consultant specializing in fee schedule development</w:t>
            </w:r>
            <w:r w:rsidR="009E55FB">
              <w:t>.</w:t>
            </w:r>
          </w:p>
        </w:tc>
      </w:tr>
      <w:tr w:rsidR="00E118C2" w14:paraId="2AF61A84" w14:textId="77777777" w:rsidTr="00BD7C31">
        <w:tc>
          <w:tcPr>
            <w:cnfStyle w:val="001000000000" w:firstRow="0" w:lastRow="0" w:firstColumn="1" w:lastColumn="0" w:oddVBand="0" w:evenVBand="0" w:oddHBand="0" w:evenHBand="0" w:firstRowFirstColumn="0" w:firstRowLastColumn="0" w:lastRowFirstColumn="0" w:lastRowLastColumn="0"/>
            <w:tcW w:w="1302" w:type="pct"/>
          </w:tcPr>
          <w:p w14:paraId="656C80F8" w14:textId="74797EA5" w:rsidR="00E118C2" w:rsidRDefault="00E118C2" w:rsidP="00FC2668">
            <w:pPr>
              <w:pStyle w:val="TableText"/>
              <w:ind w:left="225"/>
            </w:pPr>
            <w:r>
              <w:t>Finalize the Contract</w:t>
            </w:r>
            <w:r w:rsidR="003500EE">
              <w:t xml:space="preserve"> and Issue a Notice to Proceed</w:t>
            </w:r>
          </w:p>
        </w:tc>
        <w:tc>
          <w:tcPr>
            <w:tcW w:w="3698" w:type="pct"/>
          </w:tcPr>
          <w:p w14:paraId="0E9CA86D" w14:textId="14BA9E8D" w:rsidR="00E118C2" w:rsidRPr="005F7D01" w:rsidRDefault="003500EE" w:rsidP="00FC2668">
            <w:pPr>
              <w:pStyle w:val="TableText"/>
              <w:cnfStyle w:val="000000000000" w:firstRow="0" w:lastRow="0" w:firstColumn="0" w:lastColumn="0" w:oddVBand="0" w:evenVBand="0" w:oddHBand="0" w:evenHBand="0" w:firstRowFirstColumn="0" w:firstRowLastColumn="0" w:lastRowFirstColumn="0" w:lastRowLastColumn="0"/>
            </w:pPr>
            <w:r>
              <w:t>After a consultant has been selected</w:t>
            </w:r>
            <w:r w:rsidR="009E55FB">
              <w:t>,</w:t>
            </w:r>
            <w:r>
              <w:t xml:space="preserve"> finalize the contract and issue an explicit notice to proceed according to the proposed project schedule. Ensure all back-of-house resources and contacts are in place so the city/county project team and consultant are ready to </w:t>
            </w:r>
            <w:r w:rsidR="00C579EF">
              <w:t>communicate, share resources and data, and proceed with the work efficiently and effectively</w:t>
            </w:r>
            <w:r>
              <w:t>.</w:t>
            </w:r>
          </w:p>
        </w:tc>
      </w:tr>
    </w:tbl>
    <w:p w14:paraId="5F859B4F" w14:textId="77777777" w:rsidR="00E118C2" w:rsidRPr="00E118C2" w:rsidRDefault="00E118C2" w:rsidP="00BD7C31"/>
    <w:p w14:paraId="6F153D7F" w14:textId="42C6E073" w:rsidR="003500EE" w:rsidRDefault="00600BB4" w:rsidP="00AF205A">
      <w:pPr>
        <w:pStyle w:val="Subheading"/>
        <w:numPr>
          <w:ilvl w:val="0"/>
          <w:numId w:val="37"/>
        </w:numPr>
      </w:pPr>
      <w:r>
        <w:t xml:space="preserve">Develop the </w:t>
      </w:r>
      <w:r w:rsidR="002110D9">
        <w:t>Fee Program</w:t>
      </w:r>
    </w:p>
    <w:tbl>
      <w:tblPr>
        <w:tblStyle w:val="FPTable19"/>
        <w:tblW w:w="5000" w:type="pct"/>
        <w:tblLook w:val="04A0" w:firstRow="1" w:lastRow="0" w:firstColumn="1" w:lastColumn="0" w:noHBand="0" w:noVBand="1"/>
      </w:tblPr>
      <w:tblGrid>
        <w:gridCol w:w="2519"/>
        <w:gridCol w:w="6121"/>
      </w:tblGrid>
      <w:tr w:rsidR="003500EE" w14:paraId="4DB09B67" w14:textId="77777777" w:rsidTr="002110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8" w:type="pct"/>
          </w:tcPr>
          <w:p w14:paraId="64D57E1D" w14:textId="77777777" w:rsidR="003500EE" w:rsidRDefault="003500EE" w:rsidP="00FC2668">
            <w:pPr>
              <w:pStyle w:val="TableColumnHeading"/>
              <w:jc w:val="center"/>
            </w:pPr>
            <w:r>
              <w:t>Action</w:t>
            </w:r>
          </w:p>
        </w:tc>
        <w:tc>
          <w:tcPr>
            <w:tcW w:w="3542" w:type="pct"/>
          </w:tcPr>
          <w:p w14:paraId="6D5414D8" w14:textId="77777777" w:rsidR="003500EE" w:rsidRDefault="003500EE" w:rsidP="00FC2668">
            <w:pPr>
              <w:pStyle w:val="TableColumnHeading"/>
              <w:jc w:val="center"/>
              <w:cnfStyle w:val="100000000000" w:firstRow="1" w:lastRow="0" w:firstColumn="0" w:lastColumn="0" w:oddVBand="0" w:evenVBand="0" w:oddHBand="0" w:evenHBand="0" w:firstRowFirstColumn="0" w:firstRowLastColumn="0" w:lastRowFirstColumn="0" w:lastRowLastColumn="0"/>
            </w:pPr>
            <w:r>
              <w:t>Description</w:t>
            </w:r>
          </w:p>
        </w:tc>
      </w:tr>
      <w:tr w:rsidR="00C579EF" w14:paraId="478A61F3" w14:textId="77777777" w:rsidTr="00596B5A">
        <w:tc>
          <w:tcPr>
            <w:cnfStyle w:val="001000000000" w:firstRow="0" w:lastRow="0" w:firstColumn="1" w:lastColumn="0" w:oddVBand="0" w:evenVBand="0" w:oddHBand="0" w:evenHBand="0" w:firstRowFirstColumn="0" w:firstRowLastColumn="0" w:lastRowFirstColumn="0" w:lastRowLastColumn="0"/>
            <w:tcW w:w="1458" w:type="pct"/>
            <w:shd w:val="clear" w:color="auto" w:fill="auto"/>
          </w:tcPr>
          <w:p w14:paraId="6E2356BB" w14:textId="1A98FA95" w:rsidR="00C579EF" w:rsidRDefault="00631489" w:rsidP="00C579EF">
            <w:pPr>
              <w:pStyle w:val="TableText"/>
              <w:ind w:left="225"/>
            </w:pPr>
            <w:r>
              <w:t xml:space="preserve">Collect Data and/or </w:t>
            </w:r>
            <w:r w:rsidR="00C579EF">
              <w:t>Facilitate Access to Data Sources</w:t>
            </w:r>
          </w:p>
        </w:tc>
        <w:tc>
          <w:tcPr>
            <w:tcW w:w="3542" w:type="pct"/>
            <w:shd w:val="clear" w:color="auto" w:fill="auto"/>
          </w:tcPr>
          <w:p w14:paraId="21E10067" w14:textId="7DEF5554" w:rsidR="00052FF2" w:rsidRDefault="00C579EF" w:rsidP="00C579EF">
            <w:pPr>
              <w:pStyle w:val="TableText"/>
              <w:cnfStyle w:val="000000000000" w:firstRow="0" w:lastRow="0" w:firstColumn="0" w:lastColumn="0" w:oddVBand="0" w:evenVBand="0" w:oddHBand="0" w:evenHBand="0" w:firstRowFirstColumn="0" w:firstRowLastColumn="0" w:lastRowFirstColumn="0" w:lastRowLastColumn="0"/>
            </w:pPr>
            <w:r>
              <w:t xml:space="preserve">As needed, serve as liaison between the consultant and other city/county departments to ensure access to information in a timely fashion. </w:t>
            </w:r>
            <w:r w:rsidR="002500D4">
              <w:t xml:space="preserve">Required data and/or information may include existing development fees and their structures, a list of potential VMT-reducing capital improvement projects, the analyzed transportation impacts of past development projects of all sizes, </w:t>
            </w:r>
            <w:r w:rsidR="00066135">
              <w:t xml:space="preserve">and the </w:t>
            </w:r>
            <w:r w:rsidR="00D33176">
              <w:t xml:space="preserve">baseline cumulated VMT and VMT per capita for the jurisdiction. </w:t>
            </w:r>
          </w:p>
          <w:p w14:paraId="7733F25A" w14:textId="77777777" w:rsidR="00052FF2" w:rsidRDefault="00052FF2" w:rsidP="00C579EF">
            <w:pPr>
              <w:pStyle w:val="TableText"/>
              <w:cnfStyle w:val="000000000000" w:firstRow="0" w:lastRow="0" w:firstColumn="0" w:lastColumn="0" w:oddVBand="0" w:evenVBand="0" w:oddHBand="0" w:evenHBand="0" w:firstRowFirstColumn="0" w:firstRowLastColumn="0" w:lastRowFirstColumn="0" w:lastRowLastColumn="0"/>
            </w:pPr>
          </w:p>
          <w:p w14:paraId="5CC3330D" w14:textId="18D193CD" w:rsidR="00C579EF" w:rsidRPr="0033003D" w:rsidRDefault="00D33176" w:rsidP="00C579EF">
            <w:pPr>
              <w:pStyle w:val="TableText"/>
              <w:cnfStyle w:val="000000000000" w:firstRow="0" w:lastRow="0" w:firstColumn="0" w:lastColumn="0" w:oddVBand="0" w:evenVBand="0" w:oddHBand="0" w:evenHBand="0" w:firstRowFirstColumn="0" w:firstRowLastColumn="0" w:lastRowFirstColumn="0" w:lastRowLastColumn="0"/>
            </w:pPr>
            <w:r>
              <w:t xml:space="preserve">See the </w:t>
            </w:r>
            <w:r w:rsidRPr="00066135">
              <w:rPr>
                <w:highlight w:val="cyan"/>
              </w:rPr>
              <w:t>VMT</w:t>
            </w:r>
            <w:r w:rsidR="00066135">
              <w:rPr>
                <w:highlight w:val="cyan"/>
              </w:rPr>
              <w:t xml:space="preserve"> Fee</w:t>
            </w:r>
            <w:r w:rsidRPr="00066135">
              <w:rPr>
                <w:highlight w:val="cyan"/>
              </w:rPr>
              <w:t xml:space="preserve"> RFP</w:t>
            </w:r>
            <w:r w:rsidR="00066135" w:rsidRPr="00066135">
              <w:rPr>
                <w:highlight w:val="cyan"/>
              </w:rPr>
              <w:t xml:space="preserve"> Template</w:t>
            </w:r>
            <w:r>
              <w:t xml:space="preserve"> for </w:t>
            </w:r>
            <w:r w:rsidR="00052FF2">
              <w:t xml:space="preserve">a </w:t>
            </w:r>
            <w:r>
              <w:t xml:space="preserve">more </w:t>
            </w:r>
            <w:r w:rsidR="00052FF2">
              <w:t>detailed list of data needs.</w:t>
            </w:r>
          </w:p>
        </w:tc>
      </w:tr>
      <w:tr w:rsidR="00C579EF" w14:paraId="427D2F62" w14:textId="77777777" w:rsidTr="00596B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pct"/>
            <w:shd w:val="clear" w:color="auto" w:fill="F1F5F3" w:themeFill="background2" w:themeFillTint="33"/>
          </w:tcPr>
          <w:p w14:paraId="22DC7428" w14:textId="01BCC7AF" w:rsidR="00C579EF" w:rsidRDefault="00C579EF" w:rsidP="00C579EF">
            <w:pPr>
              <w:pStyle w:val="TableText"/>
              <w:ind w:left="225"/>
            </w:pPr>
            <w:r>
              <w:t>Review Existing Plans and Policies</w:t>
            </w:r>
          </w:p>
        </w:tc>
        <w:tc>
          <w:tcPr>
            <w:tcW w:w="3542" w:type="pct"/>
            <w:shd w:val="clear" w:color="auto" w:fill="F1F5F3" w:themeFill="background2" w:themeFillTint="33"/>
          </w:tcPr>
          <w:p w14:paraId="7E60E3F1" w14:textId="2E7E5B9E" w:rsidR="009E55FB" w:rsidRPr="005F7D01" w:rsidRDefault="002110D9" w:rsidP="002110D9">
            <w:pPr>
              <w:pStyle w:val="TableText"/>
              <w:cnfStyle w:val="000000010000" w:firstRow="0" w:lastRow="0" w:firstColumn="0" w:lastColumn="0" w:oddVBand="0" w:evenVBand="0" w:oddHBand="0" w:evenHBand="1" w:firstRowFirstColumn="0" w:firstRowLastColumn="0" w:lastRowFirstColumn="0" w:lastRowLastColumn="0"/>
            </w:pPr>
            <w:r>
              <w:t>I</w:t>
            </w:r>
            <w:r w:rsidR="00C579EF">
              <w:t xml:space="preserve">dentify all plans and policies </w:t>
            </w:r>
            <w:r w:rsidR="00026AAB">
              <w:t xml:space="preserve">that need to be reviewed in preparation for </w:t>
            </w:r>
            <w:r>
              <w:t>program</w:t>
            </w:r>
            <w:r w:rsidR="00026AAB">
              <w:t xml:space="preserve"> development.</w:t>
            </w:r>
            <w:r>
              <w:t xml:space="preserve"> </w:t>
            </w:r>
            <w:r w:rsidR="00066135">
              <w:t>To</w:t>
            </w:r>
            <w:r w:rsidR="00D33176">
              <w:t xml:space="preserve"> support holistic, relevant planning, items reviewed should include relevant</w:t>
            </w:r>
            <w:r w:rsidR="00D33176">
              <w:rPr>
                <w:rStyle w:val="cf01"/>
              </w:rPr>
              <w:t xml:space="preserve"> state laws (e.g., SB 743) and jurisdiction-specific plans (e.g., climate action plans, general plans, and housing element updates). </w:t>
            </w:r>
            <w:r w:rsidR="00D33176">
              <w:t xml:space="preserve">Additionally, given </w:t>
            </w:r>
            <w:r w:rsidR="009E55FB">
              <w:t>the legal nexus requirements of development impact fees, ensure legal counsel is available throughout the project to confirm the import of existing policies and weigh in on the legal implications of program choices.</w:t>
            </w:r>
          </w:p>
        </w:tc>
      </w:tr>
      <w:tr w:rsidR="002110D9" w14:paraId="5ED58C71" w14:textId="77777777" w:rsidTr="00596B5A">
        <w:tc>
          <w:tcPr>
            <w:cnfStyle w:val="001000000000" w:firstRow="0" w:lastRow="0" w:firstColumn="1" w:lastColumn="0" w:oddVBand="0" w:evenVBand="0" w:oddHBand="0" w:evenHBand="0" w:firstRowFirstColumn="0" w:firstRowLastColumn="0" w:lastRowFirstColumn="0" w:lastRowLastColumn="0"/>
            <w:tcW w:w="1458" w:type="pct"/>
            <w:shd w:val="clear" w:color="auto" w:fill="auto"/>
          </w:tcPr>
          <w:p w14:paraId="6B128D19" w14:textId="40138C83" w:rsidR="002110D9" w:rsidRDefault="002110D9" w:rsidP="00C579EF">
            <w:pPr>
              <w:pStyle w:val="TableText"/>
              <w:ind w:left="225"/>
            </w:pPr>
            <w:r>
              <w:t>Determine Applicability of the Fee</w:t>
            </w:r>
            <w:r w:rsidR="00596B5A">
              <w:t xml:space="preserve"> Program</w:t>
            </w:r>
          </w:p>
        </w:tc>
        <w:tc>
          <w:tcPr>
            <w:tcW w:w="3542" w:type="pct"/>
            <w:shd w:val="clear" w:color="auto" w:fill="auto"/>
          </w:tcPr>
          <w:p w14:paraId="41BBDB36" w14:textId="38BCD94D" w:rsidR="002110D9" w:rsidRDefault="002328B7" w:rsidP="00911C9E">
            <w:pPr>
              <w:pStyle w:val="TableText"/>
              <w:cnfStyle w:val="000000000000" w:firstRow="0" w:lastRow="0" w:firstColumn="0" w:lastColumn="0" w:oddVBand="0" w:evenVBand="0" w:oddHBand="0" w:evenHBand="0" w:firstRowFirstColumn="0" w:firstRowLastColumn="0" w:lastRowFirstColumn="0" w:lastRowLastColumn="0"/>
            </w:pPr>
            <w:r>
              <w:t>Identify criteria that determine which projects would be subject to the VMT fee.</w:t>
            </w:r>
          </w:p>
        </w:tc>
      </w:tr>
      <w:tr w:rsidR="00911C9E" w14:paraId="5F98FF84" w14:textId="77777777" w:rsidTr="002110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pct"/>
            <w:shd w:val="clear" w:color="auto" w:fill="F1F5F3" w:themeFill="background2" w:themeFillTint="33"/>
          </w:tcPr>
          <w:p w14:paraId="07BDC406" w14:textId="5737AB81" w:rsidR="00911C9E" w:rsidRDefault="002110D9" w:rsidP="00C579EF">
            <w:pPr>
              <w:pStyle w:val="TableText"/>
              <w:ind w:left="225"/>
            </w:pPr>
            <w:r>
              <w:lastRenderedPageBreak/>
              <w:t xml:space="preserve">Develop the </w:t>
            </w:r>
            <w:r w:rsidR="00911C9E">
              <w:t>Capital Improvement Pro</w:t>
            </w:r>
            <w:r>
              <w:t>gram</w:t>
            </w:r>
          </w:p>
        </w:tc>
        <w:tc>
          <w:tcPr>
            <w:tcW w:w="3542" w:type="pct"/>
          </w:tcPr>
          <w:p w14:paraId="093A7C6C" w14:textId="3C4481FD" w:rsidR="00911C9E" w:rsidRDefault="00911C9E" w:rsidP="00911C9E">
            <w:pPr>
              <w:pStyle w:val="TableText"/>
              <w:cnfStyle w:val="000000010000" w:firstRow="0" w:lastRow="0" w:firstColumn="0" w:lastColumn="0" w:oddVBand="0" w:evenVBand="0" w:oddHBand="0" w:evenHBand="1" w:firstRowFirstColumn="0" w:firstRowLastColumn="0" w:lastRowFirstColumn="0" w:lastRowLastColumn="0"/>
            </w:pPr>
            <w:r>
              <w:t>One core component of a VMT fee program is a capital improvement program (CIP) consisting largely of transit, bicycle, and pedestrian projects designed to mitigate the increased VMT anticipated from new development. The selection of projects for inclusion in a CIP must reflect the unique land use context and existing transportation infrastructure as well as the following:</w:t>
            </w:r>
          </w:p>
          <w:p w14:paraId="23C3ECFD" w14:textId="499783A1" w:rsidR="00911C9E" w:rsidRDefault="00911C9E" w:rsidP="00911C9E">
            <w:pPr>
              <w:pStyle w:val="TableText"/>
              <w:ind w:left="151"/>
              <w:cnfStyle w:val="000000010000" w:firstRow="0" w:lastRow="0" w:firstColumn="0" w:lastColumn="0" w:oddVBand="0" w:evenVBand="0" w:oddHBand="0" w:evenHBand="1" w:firstRowFirstColumn="0" w:firstRowLastColumn="0" w:lastRowFirstColumn="0" w:lastRowLastColumn="0"/>
            </w:pPr>
            <w:r>
              <w:t>• Projects must be fully funded and implemented via the VMT fee program and other reasonably foreseeable funding;</w:t>
            </w:r>
          </w:p>
          <w:p w14:paraId="2E6770C4" w14:textId="54683FA9" w:rsidR="00911C9E" w:rsidRDefault="00911C9E" w:rsidP="00911C9E">
            <w:pPr>
              <w:pStyle w:val="TableText"/>
              <w:ind w:left="151"/>
              <w:cnfStyle w:val="000000010000" w:firstRow="0" w:lastRow="0" w:firstColumn="0" w:lastColumn="0" w:oddVBand="0" w:evenVBand="0" w:oddHBand="0" w:evenHBand="1" w:firstRowFirstColumn="0" w:firstRowLastColumn="0" w:lastRowFirstColumn="0" w:lastRowLastColumn="0"/>
            </w:pPr>
            <w:r>
              <w:t>• Projects must be proven to achieve VMT reductions;</w:t>
            </w:r>
          </w:p>
          <w:p w14:paraId="515DD449" w14:textId="63F551D1" w:rsidR="00911C9E" w:rsidRDefault="00911C9E" w:rsidP="00911C9E">
            <w:pPr>
              <w:pStyle w:val="TableText"/>
              <w:ind w:left="151"/>
              <w:cnfStyle w:val="000000010000" w:firstRow="0" w:lastRow="0" w:firstColumn="0" w:lastColumn="0" w:oddVBand="0" w:evenVBand="0" w:oddHBand="0" w:evenHBand="1" w:firstRowFirstColumn="0" w:firstRowLastColumn="0" w:lastRowFirstColumn="0" w:lastRowLastColumn="0"/>
            </w:pPr>
            <w:r>
              <w:t xml:space="preserve">• Projects must be accompanied by estimates of the net effects they will have on VMT; </w:t>
            </w:r>
          </w:p>
          <w:p w14:paraId="17A5E07E" w14:textId="1066045A" w:rsidR="00911C9E" w:rsidRDefault="00911C9E" w:rsidP="00911C9E">
            <w:pPr>
              <w:pStyle w:val="TableText"/>
              <w:ind w:left="151"/>
              <w:cnfStyle w:val="000000010000" w:firstRow="0" w:lastRow="0" w:firstColumn="0" w:lastColumn="0" w:oddVBand="0" w:evenVBand="0" w:oddHBand="0" w:evenHBand="1" w:firstRowFirstColumn="0" w:firstRowLastColumn="0" w:lastRowFirstColumn="0" w:lastRowLastColumn="0"/>
            </w:pPr>
            <w:r>
              <w:t>• Projects must be accompanied by cost estimates.</w:t>
            </w:r>
          </w:p>
          <w:p w14:paraId="7AD452CD" w14:textId="3957E593" w:rsidR="00596B5A" w:rsidRDefault="00911C9E" w:rsidP="00911C9E">
            <w:pPr>
              <w:pStyle w:val="TableText"/>
              <w:cnfStyle w:val="000000010000" w:firstRow="0" w:lastRow="0" w:firstColumn="0" w:lastColumn="0" w:oddVBand="0" w:evenVBand="0" w:oddHBand="0" w:evenHBand="1" w:firstRowFirstColumn="0" w:firstRowLastColumn="0" w:lastRowFirstColumn="0" w:lastRowLastColumn="0"/>
            </w:pPr>
            <w:r>
              <w:t xml:space="preserve">This stage of work should result in a CIP </w:t>
            </w:r>
            <w:r w:rsidR="00E500F3">
              <w:t xml:space="preserve">designed to support VMT reductions. </w:t>
            </w:r>
            <w:r w:rsidR="00596B5A">
              <w:t xml:space="preserve">See </w:t>
            </w:r>
            <w:r w:rsidR="00596B5A" w:rsidRPr="00596B5A">
              <w:rPr>
                <w:highlight w:val="cyan"/>
              </w:rPr>
              <w:t>VMT Fee Project Selection Worksheet</w:t>
            </w:r>
            <w:r w:rsidR="00596B5A">
              <w:t>.</w:t>
            </w:r>
          </w:p>
          <w:p w14:paraId="4A8D16B1" w14:textId="77777777" w:rsidR="00E500F3" w:rsidRDefault="00E500F3" w:rsidP="00911C9E">
            <w:pPr>
              <w:pStyle w:val="TableText"/>
              <w:cnfStyle w:val="000000010000" w:firstRow="0" w:lastRow="0" w:firstColumn="0" w:lastColumn="0" w:oddVBand="0" w:evenVBand="0" w:oddHBand="0" w:evenHBand="1" w:firstRowFirstColumn="0" w:firstRowLastColumn="0" w:lastRowFirstColumn="0" w:lastRowLastColumn="0"/>
            </w:pPr>
          </w:p>
          <w:p w14:paraId="1615DBAB" w14:textId="5D1432C5" w:rsidR="00E500F3" w:rsidRDefault="00E500F3" w:rsidP="00911C9E">
            <w:pPr>
              <w:pStyle w:val="TableText"/>
              <w:cnfStyle w:val="000000010000" w:firstRow="0" w:lastRow="0" w:firstColumn="0" w:lastColumn="0" w:oddVBand="0" w:evenVBand="0" w:oddHBand="0" w:evenHBand="1" w:firstRowFirstColumn="0" w:firstRowLastColumn="0" w:lastRowFirstColumn="0" w:lastRowLastColumn="0"/>
            </w:pPr>
            <w:r>
              <w:t xml:space="preserve">When the CIP list is complete, </w:t>
            </w:r>
            <w:r w:rsidR="00DB764E">
              <w:t>the</w:t>
            </w:r>
            <w:r>
              <w:t xml:space="preserve"> Consultant </w:t>
            </w:r>
            <w:r w:rsidR="00D41F64">
              <w:t>should</w:t>
            </w:r>
            <w:r>
              <w:t xml:space="preserve"> apply best practices to calculate VMT reduction estimates for the full slate of projects. See the </w:t>
            </w:r>
            <w:r w:rsidR="00D41F64" w:rsidRPr="00D41F64">
              <w:rPr>
                <w:highlight w:val="cyan"/>
              </w:rPr>
              <w:t>S</w:t>
            </w:r>
            <w:r w:rsidRPr="00D41F64">
              <w:rPr>
                <w:highlight w:val="cyan"/>
              </w:rPr>
              <w:t>a</w:t>
            </w:r>
            <w:r w:rsidRPr="00066135">
              <w:rPr>
                <w:highlight w:val="cyan"/>
              </w:rPr>
              <w:t>mple VMT</w:t>
            </w:r>
            <w:r w:rsidR="00D41F64">
              <w:rPr>
                <w:highlight w:val="cyan"/>
              </w:rPr>
              <w:t xml:space="preserve"> </w:t>
            </w:r>
            <w:r w:rsidRPr="00066135">
              <w:rPr>
                <w:highlight w:val="cyan"/>
              </w:rPr>
              <w:t>F</w:t>
            </w:r>
            <w:r w:rsidR="00D41F64">
              <w:rPr>
                <w:highlight w:val="cyan"/>
              </w:rPr>
              <w:t xml:space="preserve">ee Program </w:t>
            </w:r>
            <w:r w:rsidR="00D41F64" w:rsidRPr="00D41F64">
              <w:rPr>
                <w:highlight w:val="cyan"/>
              </w:rPr>
              <w:t>Reports</w:t>
            </w:r>
            <w:r>
              <w:t xml:space="preserve"> for </w:t>
            </w:r>
            <w:r w:rsidR="00DB764E">
              <w:t>suggestions</w:t>
            </w:r>
            <w:r>
              <w:t xml:space="preserve"> on </w:t>
            </w:r>
            <w:r w:rsidR="00DB764E">
              <w:t>how to conduct such</w:t>
            </w:r>
            <w:r>
              <w:t xml:space="preserve"> analysis</w:t>
            </w:r>
            <w:r w:rsidR="00DB764E">
              <w:t>.</w:t>
            </w:r>
          </w:p>
        </w:tc>
      </w:tr>
      <w:tr w:rsidR="00631489" w14:paraId="7B63A733" w14:textId="77777777" w:rsidTr="002110D9">
        <w:tc>
          <w:tcPr>
            <w:cnfStyle w:val="001000000000" w:firstRow="0" w:lastRow="0" w:firstColumn="1" w:lastColumn="0" w:oddVBand="0" w:evenVBand="0" w:oddHBand="0" w:evenHBand="0" w:firstRowFirstColumn="0" w:firstRowLastColumn="0" w:lastRowFirstColumn="0" w:lastRowLastColumn="0"/>
            <w:tcW w:w="1458" w:type="pct"/>
            <w:shd w:val="clear" w:color="auto" w:fill="auto"/>
          </w:tcPr>
          <w:p w14:paraId="49467DC0" w14:textId="5355AFF0" w:rsidR="00631489" w:rsidRDefault="002110D9" w:rsidP="00C579EF">
            <w:pPr>
              <w:pStyle w:val="TableText"/>
              <w:ind w:left="225"/>
            </w:pPr>
            <w:r>
              <w:t>Conduct a</w:t>
            </w:r>
            <w:r w:rsidR="00631489">
              <w:t xml:space="preserve"> Nexus Analysis and</w:t>
            </w:r>
            <w:r w:rsidR="005F4FB7">
              <w:t xml:space="preserve"> Develop the</w:t>
            </w:r>
            <w:r w:rsidR="00631489">
              <w:t xml:space="preserve"> Fee Schedule</w:t>
            </w:r>
          </w:p>
        </w:tc>
        <w:tc>
          <w:tcPr>
            <w:tcW w:w="3542" w:type="pct"/>
            <w:shd w:val="clear" w:color="auto" w:fill="auto"/>
          </w:tcPr>
          <w:p w14:paraId="04904711" w14:textId="77777777" w:rsidR="00C05B3F" w:rsidRDefault="002328B7" w:rsidP="00911C9E">
            <w:pPr>
              <w:pStyle w:val="TableText"/>
              <w:cnfStyle w:val="000000000000" w:firstRow="0" w:lastRow="0" w:firstColumn="0" w:lastColumn="0" w:oddVBand="0" w:evenVBand="0" w:oddHBand="0" w:evenHBand="0" w:firstRowFirstColumn="0" w:firstRowLastColumn="0" w:lastRowFirstColumn="0" w:lastRowLastColumn="0"/>
            </w:pPr>
            <w:r>
              <w:t xml:space="preserve">Conduct a nexus analysis to </w:t>
            </w:r>
            <w:r w:rsidRPr="004258B9">
              <w:t xml:space="preserve">establish a reasonable relationship between new development, the proportion of expected VMT contribution attributable to new development by land use type, and the necessary transportation improvements that will be funded by the VMT </w:t>
            </w:r>
            <w:r>
              <w:t>fee program. Based on this analysis, develop a fee schedule that sets the maximum allowable fee level by land use.</w:t>
            </w:r>
          </w:p>
          <w:p w14:paraId="43B431BF" w14:textId="77777777" w:rsidR="00C05B3F" w:rsidRDefault="00C05B3F" w:rsidP="00911C9E">
            <w:pPr>
              <w:pStyle w:val="TableText"/>
              <w:cnfStyle w:val="000000000000" w:firstRow="0" w:lastRow="0" w:firstColumn="0" w:lastColumn="0" w:oddVBand="0" w:evenVBand="0" w:oddHBand="0" w:evenHBand="0" w:firstRowFirstColumn="0" w:firstRowLastColumn="0" w:lastRowFirstColumn="0" w:lastRowLastColumn="0"/>
            </w:pPr>
          </w:p>
          <w:p w14:paraId="3053013F" w14:textId="1F8D8CE9" w:rsidR="00C05B3F" w:rsidRDefault="00C05B3F" w:rsidP="00911C9E">
            <w:pPr>
              <w:pStyle w:val="TableText"/>
              <w:cnfStyle w:val="000000000000" w:firstRow="0" w:lastRow="0" w:firstColumn="0" w:lastColumn="0" w:oddVBand="0" w:evenVBand="0" w:oddHBand="0" w:evenHBand="0" w:firstRowFirstColumn="0" w:firstRowLastColumn="0" w:lastRowFirstColumn="0" w:lastRowLastColumn="0"/>
            </w:pPr>
            <w:r>
              <w:t xml:space="preserve">See </w:t>
            </w:r>
            <w:r w:rsidRPr="00C05B3F">
              <w:rPr>
                <w:highlight w:val="cyan"/>
              </w:rPr>
              <w:t xml:space="preserve">Sample In-Lieu Fee Implementation </w:t>
            </w:r>
            <w:r w:rsidR="00036643">
              <w:rPr>
                <w:highlight w:val="cyan"/>
              </w:rPr>
              <w:t xml:space="preserve">and </w:t>
            </w:r>
            <w:r w:rsidRPr="00C05B3F">
              <w:rPr>
                <w:highlight w:val="cyan"/>
              </w:rPr>
              <w:t>Updates</w:t>
            </w:r>
            <w:r>
              <w:t xml:space="preserve"> for a set of steps to define and update the fee program.</w:t>
            </w:r>
          </w:p>
        </w:tc>
      </w:tr>
    </w:tbl>
    <w:p w14:paraId="077836B0" w14:textId="77777777" w:rsidR="003500EE" w:rsidRPr="003500EE" w:rsidRDefault="003500EE" w:rsidP="00BD7C31"/>
    <w:bookmarkEnd w:id="4"/>
    <w:p w14:paraId="400B71F7" w14:textId="3604DB2A" w:rsidR="00AF205A" w:rsidRPr="00C14DA3" w:rsidRDefault="00600BB4" w:rsidP="00AF205A">
      <w:pPr>
        <w:pStyle w:val="Subheading"/>
        <w:numPr>
          <w:ilvl w:val="0"/>
          <w:numId w:val="37"/>
        </w:numPr>
      </w:pPr>
      <w:r>
        <w:t xml:space="preserve">Implement the </w:t>
      </w:r>
      <w:r w:rsidR="002110D9">
        <w:t>Fee Program</w:t>
      </w:r>
      <w:r>
        <w:t xml:space="preserve"> </w:t>
      </w:r>
    </w:p>
    <w:tbl>
      <w:tblPr>
        <w:tblStyle w:val="FPTable19"/>
        <w:tblW w:w="5000" w:type="pct"/>
        <w:tblLook w:val="04A0" w:firstRow="1" w:lastRow="0" w:firstColumn="1" w:lastColumn="0" w:noHBand="0" w:noVBand="1"/>
      </w:tblPr>
      <w:tblGrid>
        <w:gridCol w:w="2609"/>
        <w:gridCol w:w="6031"/>
      </w:tblGrid>
      <w:tr w:rsidR="008B5D2B" w14:paraId="17049842" w14:textId="77777777" w:rsidTr="00211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pct"/>
          </w:tcPr>
          <w:p w14:paraId="59E5B5D5" w14:textId="77777777" w:rsidR="008B5D2B" w:rsidRDefault="008B5D2B" w:rsidP="00787AD4">
            <w:pPr>
              <w:pStyle w:val="TableColumnHeading"/>
              <w:jc w:val="center"/>
            </w:pPr>
            <w:r>
              <w:t>Action</w:t>
            </w:r>
          </w:p>
        </w:tc>
        <w:tc>
          <w:tcPr>
            <w:tcW w:w="3490" w:type="pct"/>
          </w:tcPr>
          <w:p w14:paraId="5C7D92F4" w14:textId="77777777" w:rsidR="008B5D2B" w:rsidRDefault="008B5D2B" w:rsidP="00787AD4">
            <w:pPr>
              <w:pStyle w:val="TableColumnHeading"/>
              <w:jc w:val="center"/>
              <w:cnfStyle w:val="100000000000" w:firstRow="1" w:lastRow="0" w:firstColumn="0" w:lastColumn="0" w:oddVBand="0" w:evenVBand="0" w:oddHBand="0" w:evenHBand="0" w:firstRowFirstColumn="0" w:firstRowLastColumn="0" w:lastRowFirstColumn="0" w:lastRowLastColumn="0"/>
            </w:pPr>
            <w:r>
              <w:t>Description</w:t>
            </w:r>
          </w:p>
        </w:tc>
      </w:tr>
      <w:tr w:rsidR="00631489" w14:paraId="58080132" w14:textId="77777777" w:rsidTr="002110D9">
        <w:tc>
          <w:tcPr>
            <w:cnfStyle w:val="001000000000" w:firstRow="0" w:lastRow="0" w:firstColumn="1" w:lastColumn="0" w:oddVBand="0" w:evenVBand="0" w:oddHBand="0" w:evenHBand="0" w:firstRowFirstColumn="0" w:firstRowLastColumn="0" w:lastRowFirstColumn="0" w:lastRowLastColumn="0"/>
            <w:tcW w:w="1510" w:type="pct"/>
            <w:tcBorders>
              <w:top w:val="nil"/>
            </w:tcBorders>
          </w:tcPr>
          <w:p w14:paraId="11991AD5" w14:textId="63DB8CF3" w:rsidR="00631489" w:rsidRDefault="00631489" w:rsidP="00631489">
            <w:pPr>
              <w:pStyle w:val="TableText"/>
              <w:ind w:left="225"/>
            </w:pPr>
            <w:r>
              <w:t>Draft Staff Reports to Support Council Action</w:t>
            </w:r>
          </w:p>
        </w:tc>
        <w:tc>
          <w:tcPr>
            <w:tcW w:w="3490" w:type="pct"/>
            <w:tcBorders>
              <w:top w:val="nil"/>
            </w:tcBorders>
          </w:tcPr>
          <w:p w14:paraId="39A708C3" w14:textId="1018242E" w:rsidR="00631489" w:rsidRPr="001A7AEF" w:rsidRDefault="00631489" w:rsidP="00631489">
            <w:pPr>
              <w:pStyle w:val="TableText"/>
              <w:cnfStyle w:val="000000000000" w:firstRow="0" w:lastRow="0" w:firstColumn="0" w:lastColumn="0" w:oddVBand="0" w:evenVBand="0" w:oddHBand="0" w:evenHBand="0" w:firstRowFirstColumn="0" w:firstRowLastColumn="0" w:lastRowFirstColumn="0" w:lastRowLastColumn="0"/>
            </w:pPr>
            <w:r>
              <w:t xml:space="preserve">Draft staff reports that provide Councilmembers with the information they need to review and </w:t>
            </w:r>
            <w:r w:rsidR="00596B5A">
              <w:t>make decisio</w:t>
            </w:r>
            <w:r w:rsidR="00513F75">
              <w:t>ns</w:t>
            </w:r>
            <w:r w:rsidR="00596B5A">
              <w:t xml:space="preserve"> related to the VMT fee</w:t>
            </w:r>
            <w:r w:rsidR="00513F75">
              <w:t xml:space="preserve"> and adopt </w:t>
            </w:r>
            <w:r w:rsidR="00D41F64">
              <w:t>the ordinance</w:t>
            </w:r>
            <w:r w:rsidR="00513F75">
              <w:t xml:space="preserve"> implementing the VMT fee</w:t>
            </w:r>
            <w:r>
              <w:t>.</w:t>
            </w:r>
            <w:r w:rsidR="00596B5A">
              <w:t xml:space="preserve"> See </w:t>
            </w:r>
            <w:r w:rsidR="00596B5A">
              <w:rPr>
                <w:highlight w:val="cyan"/>
              </w:rPr>
              <w:t>VMT Fee Sample Staff Report</w:t>
            </w:r>
            <w:r w:rsidR="00513F75">
              <w:t xml:space="preserve"> and </w:t>
            </w:r>
            <w:r w:rsidR="00513F75" w:rsidRPr="00513F75">
              <w:rPr>
                <w:highlight w:val="cyan"/>
              </w:rPr>
              <w:t>VMT Fee Sample Ordinance</w:t>
            </w:r>
            <w:r w:rsidR="00513F75">
              <w:t>.</w:t>
            </w:r>
          </w:p>
        </w:tc>
      </w:tr>
      <w:tr w:rsidR="00631489" w14:paraId="6E58AB50" w14:textId="77777777" w:rsidTr="002110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pct"/>
          </w:tcPr>
          <w:p w14:paraId="21640747" w14:textId="71358EE0" w:rsidR="00631489" w:rsidRDefault="00513F75" w:rsidP="00631489">
            <w:pPr>
              <w:pStyle w:val="TableText"/>
              <w:ind w:left="225"/>
            </w:pPr>
            <w:r>
              <w:lastRenderedPageBreak/>
              <w:t>Fulfill Annual Reporting Requirements</w:t>
            </w:r>
          </w:p>
        </w:tc>
        <w:tc>
          <w:tcPr>
            <w:tcW w:w="3490" w:type="pct"/>
          </w:tcPr>
          <w:p w14:paraId="06F0C97F" w14:textId="082ED694" w:rsidR="00631489" w:rsidRDefault="00596B5A" w:rsidP="00631489">
            <w:pPr>
              <w:pStyle w:val="TableText"/>
              <w:cnfStyle w:val="000000010000" w:firstRow="0" w:lastRow="0" w:firstColumn="0" w:lastColumn="0" w:oddVBand="0" w:evenVBand="0" w:oddHBand="0" w:evenHBand="1" w:firstRowFirstColumn="0" w:firstRowLastColumn="0" w:lastRowFirstColumn="0" w:lastRowLastColumn="0"/>
            </w:pPr>
            <w:r>
              <w:t xml:space="preserve">Agencies that develop a VMT fee in accordance with </w:t>
            </w:r>
            <w:r w:rsidR="00631489">
              <w:t>AB 1600</w:t>
            </w:r>
            <w:r>
              <w:t xml:space="preserve"> are</w:t>
            </w:r>
            <w:r w:rsidR="00631489">
              <w:t xml:space="preserve"> require</w:t>
            </w:r>
            <w:r>
              <w:t>d</w:t>
            </w:r>
            <w:r w:rsidR="00631489">
              <w:t xml:space="preserve"> to prepare an annual report. Additionally, the law requires that a given fee’s purpose, nexus, and budget be reevaluated and described in the report on a five-year basis. </w:t>
            </w:r>
            <w:r>
              <w:t xml:space="preserve">See </w:t>
            </w:r>
            <w:r w:rsidRPr="00596B5A">
              <w:rPr>
                <w:highlight w:val="cyan"/>
              </w:rPr>
              <w:t>Sample AB 1600 Impact Fee Annual Reports</w:t>
            </w:r>
            <w:r>
              <w:t>.</w:t>
            </w:r>
          </w:p>
          <w:p w14:paraId="79C6B9E5" w14:textId="77777777" w:rsidR="00631489" w:rsidRDefault="00631489" w:rsidP="00631489">
            <w:pPr>
              <w:pStyle w:val="TableText"/>
              <w:cnfStyle w:val="000000010000" w:firstRow="0" w:lastRow="0" w:firstColumn="0" w:lastColumn="0" w:oddVBand="0" w:evenVBand="0" w:oddHBand="0" w:evenHBand="1" w:firstRowFirstColumn="0" w:firstRowLastColumn="0" w:lastRowFirstColumn="0" w:lastRowLastColumn="0"/>
            </w:pPr>
          </w:p>
          <w:p w14:paraId="70EE74A5" w14:textId="77777777" w:rsidR="00631489" w:rsidRDefault="00631489" w:rsidP="00631489">
            <w:pPr>
              <w:pStyle w:val="TableText"/>
              <w:cnfStyle w:val="000000010000" w:firstRow="0" w:lastRow="0" w:firstColumn="0" w:lastColumn="0" w:oddVBand="0" w:evenVBand="0" w:oddHBand="0" w:evenHBand="1" w:firstRowFirstColumn="0" w:firstRowLastColumn="0" w:lastRowFirstColumn="0" w:lastRowLastColumn="0"/>
            </w:pPr>
            <w:r>
              <w:t>Jurisdictions must prepare and make available to the public the report within 180 days after the last day of each fiscal year. The City Council must review the annual report at a regularly scheduled public meeting not less than fifteen (15) days after the information is made available to the public. The report and all supporting materials must also be published to the jurisdiction’s website in accordance with state requirements (AB 1483).</w:t>
            </w:r>
          </w:p>
          <w:p w14:paraId="7F464EDB" w14:textId="77777777" w:rsidR="00513F75" w:rsidRDefault="00513F75" w:rsidP="00631489">
            <w:pPr>
              <w:pStyle w:val="TableText"/>
              <w:cnfStyle w:val="000000010000" w:firstRow="0" w:lastRow="0" w:firstColumn="0" w:lastColumn="0" w:oddVBand="0" w:evenVBand="0" w:oddHBand="0" w:evenHBand="1" w:firstRowFirstColumn="0" w:firstRowLastColumn="0" w:lastRowFirstColumn="0" w:lastRowLastColumn="0"/>
            </w:pPr>
          </w:p>
          <w:p w14:paraId="1577E6D8" w14:textId="60B452A3" w:rsidR="00513F75" w:rsidRDefault="002328B7" w:rsidP="00631489">
            <w:pPr>
              <w:pStyle w:val="TableText"/>
              <w:cnfStyle w:val="000000010000" w:firstRow="0" w:lastRow="0" w:firstColumn="0" w:lastColumn="0" w:oddVBand="0" w:evenVBand="0" w:oddHBand="0" w:evenHBand="1" w:firstRowFirstColumn="0" w:firstRowLastColumn="0" w:lastRowFirstColumn="0" w:lastRowLastColumn="0"/>
            </w:pPr>
            <w:r>
              <w:t>Although not required by state law, a</w:t>
            </w:r>
            <w:r w:rsidR="00513F75">
              <w:t xml:space="preserve">gencies </w:t>
            </w:r>
            <w:r>
              <w:t>that develop in-lieu fees should also develop annual reports documenting inflows, outflows, fee escalations, and modifications to the CIP.</w:t>
            </w:r>
            <w:r w:rsidR="00C05B3F">
              <w:t xml:space="preserve"> </w:t>
            </w:r>
          </w:p>
        </w:tc>
      </w:tr>
    </w:tbl>
    <w:bookmarkEnd w:id="2"/>
    <w:p w14:paraId="572AF674" w14:textId="77777777" w:rsidR="00013077" w:rsidRDefault="00B71055">
      <w:r>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p>
    <w:sectPr w:rsidR="00013077" w:rsidSect="003D50D3">
      <w:headerReference w:type="default" r:id="rId8"/>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5B15" w14:textId="77777777" w:rsidR="00F4507B" w:rsidRDefault="00F4507B" w:rsidP="0032690E">
      <w:pPr>
        <w:spacing w:before="0" w:after="0" w:line="240" w:lineRule="auto"/>
      </w:pPr>
      <w:r>
        <w:separator/>
      </w:r>
    </w:p>
    <w:p w14:paraId="30F2F059" w14:textId="77777777" w:rsidR="00F4507B" w:rsidRDefault="00F4507B"/>
  </w:endnote>
  <w:endnote w:type="continuationSeparator" w:id="0">
    <w:p w14:paraId="2F4F390C" w14:textId="77777777" w:rsidR="00F4507B" w:rsidRDefault="00F4507B" w:rsidP="0032690E">
      <w:pPr>
        <w:spacing w:before="0" w:after="0" w:line="240" w:lineRule="auto"/>
      </w:pPr>
      <w:r>
        <w:continuationSeparator/>
      </w:r>
    </w:p>
    <w:p w14:paraId="0D4C5283" w14:textId="77777777" w:rsidR="00F4507B" w:rsidRDefault="00F4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F706" w14:textId="77777777" w:rsidR="00F4507B" w:rsidRPr="009C0ABF" w:rsidRDefault="00F4507B"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6395E43D" w14:textId="77777777" w:rsidR="00F4507B" w:rsidRDefault="00F4507B" w:rsidP="0032690E">
      <w:pPr>
        <w:spacing w:before="0" w:after="0" w:line="240" w:lineRule="auto"/>
      </w:pPr>
      <w:r>
        <w:continuationSeparator/>
      </w:r>
    </w:p>
    <w:p w14:paraId="0861D5F9" w14:textId="77777777" w:rsidR="00F4507B" w:rsidRDefault="00F4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8375" w14:textId="77777777" w:rsidR="000F4B68" w:rsidRDefault="000F4B68" w:rsidP="000F4B68">
    <w:pPr>
      <w:pStyle w:val="Header"/>
      <w:tabs>
        <w:tab w:val="right" w:pos="8640"/>
      </w:tabs>
    </w:pPr>
    <w:r>
      <w:t xml:space="preserve">Page </w:t>
    </w:r>
    <w:r>
      <w:fldChar w:fldCharType="begin"/>
    </w:r>
    <w:r>
      <w:instrText xml:space="preserve"> PAGE </w:instrText>
    </w:r>
    <w:r>
      <w:fldChar w:fldCharType="separate"/>
    </w:r>
    <w:r>
      <w:t>1</w:t>
    </w:r>
    <w:r>
      <w:fldChar w:fldCharType="end"/>
    </w:r>
    <w:r>
      <w:t xml:space="preserve"> of </w:t>
    </w:r>
    <w:fldSimple w:instr=" NUMPAGES ">
      <w:r>
        <w:t>6</w:t>
      </w:r>
    </w:fldSimple>
    <w:r>
      <w:t xml:space="preserve"> </w:t>
    </w:r>
    <w:r>
      <w:tab/>
      <w:t>Connected Communities PDA Toolkit</w:t>
    </w:r>
  </w:p>
  <w:p w14:paraId="65911284" w14:textId="610E737B" w:rsidR="000F4B68" w:rsidRPr="00163AA7" w:rsidRDefault="000F4B68" w:rsidP="000F4B68">
    <w:pPr>
      <w:pStyle w:val="Header"/>
      <w:tabs>
        <w:tab w:val="right" w:pos="8640"/>
      </w:tabs>
      <w:jc w:val="right"/>
    </w:pPr>
    <w:r>
      <w:t>A2. VMTF</w:t>
    </w:r>
  </w:p>
  <w:p w14:paraId="09804B31" w14:textId="77777777" w:rsidR="000F4B68" w:rsidRPr="00163AA7" w:rsidRDefault="000F4B68" w:rsidP="000F4B68">
    <w:pPr>
      <w:pStyle w:val="Header"/>
    </w:pPr>
    <w:r>
      <w:t xml:space="preserve"> </w:t>
    </w:r>
  </w:p>
  <w:p w14:paraId="5086901C" w14:textId="77777777" w:rsidR="000F4B68" w:rsidRDefault="000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EC0B39"/>
    <w:multiLevelType w:val="hybridMultilevel"/>
    <w:tmpl w:val="9A08B8AE"/>
    <w:lvl w:ilvl="0" w:tplc="B03C8490">
      <w:numFmt w:val="bullet"/>
      <w:lvlText w:val="⃣"/>
      <w:lvlJc w:val="left"/>
      <w:pPr>
        <w:ind w:left="945" w:hanging="360"/>
      </w:pPr>
      <w:rPr>
        <w:rFonts w:ascii="Segoe UI" w:eastAsiaTheme="minorHAns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F0A34"/>
    <w:multiLevelType w:val="hybridMultilevel"/>
    <w:tmpl w:val="231A1722"/>
    <w:lvl w:ilvl="0" w:tplc="6F9ACE5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60F"/>
    <w:multiLevelType w:val="hybridMultilevel"/>
    <w:tmpl w:val="B81454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6" w15:restartNumberingAfterBreak="0">
    <w:nsid w:val="2E7914DC"/>
    <w:multiLevelType w:val="hybridMultilevel"/>
    <w:tmpl w:val="D5AA66B2"/>
    <w:lvl w:ilvl="0" w:tplc="D67E5E3C">
      <w:numFmt w:val="bullet"/>
      <w:lvlText w:val=""/>
      <w:lvlJc w:val="left"/>
      <w:pPr>
        <w:ind w:left="945" w:hanging="360"/>
      </w:pPr>
      <w:rPr>
        <w:rFonts w:ascii="Symbol" w:eastAsiaTheme="minorHAnsi" w:hAnsi="Symbol" w:cstheme="minorBidi"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31280924"/>
    <w:multiLevelType w:val="hybridMultilevel"/>
    <w:tmpl w:val="8F46096A"/>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84BFB"/>
    <w:multiLevelType w:val="hybridMultilevel"/>
    <w:tmpl w:val="2AD45C90"/>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F0704"/>
    <w:multiLevelType w:val="multilevel"/>
    <w:tmpl w:val="6920690A"/>
    <w:lvl w:ilvl="0">
      <w:start w:val="1"/>
      <w:numFmt w:val="none"/>
      <w:suff w:val="nothing"/>
      <w:lvlText w:val=""/>
      <w:lvlJc w:val="left"/>
      <w:pPr>
        <w:ind w:left="0" w:firstLine="0"/>
      </w:pPr>
      <w:rPr>
        <w:rFonts w:hint="default"/>
      </w:rPr>
    </w:lvl>
    <w:lvl w:ilvl="1">
      <w:start w:val="1"/>
      <w:numFmt w:val="decimal"/>
      <w:lvlText w:val="%2."/>
      <w:lvlJc w:val="left"/>
      <w:pPr>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0580031"/>
    <w:multiLevelType w:val="hybridMultilevel"/>
    <w:tmpl w:val="3C2CB03A"/>
    <w:lvl w:ilvl="0" w:tplc="BF4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736DC"/>
    <w:multiLevelType w:val="hybridMultilevel"/>
    <w:tmpl w:val="CBD65BEA"/>
    <w:lvl w:ilvl="0" w:tplc="CB56329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7969"/>
    <w:multiLevelType w:val="hybridMultilevel"/>
    <w:tmpl w:val="AE325916"/>
    <w:lvl w:ilvl="0" w:tplc="D67E5E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43718"/>
    <w:multiLevelType w:val="hybridMultilevel"/>
    <w:tmpl w:val="DFE0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4580E"/>
    <w:multiLevelType w:val="hybridMultilevel"/>
    <w:tmpl w:val="58448D8A"/>
    <w:lvl w:ilvl="0" w:tplc="A4085FF2">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D6D91"/>
    <w:multiLevelType w:val="multilevel"/>
    <w:tmpl w:val="3D48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E138BE"/>
    <w:multiLevelType w:val="hybridMultilevel"/>
    <w:tmpl w:val="0E6A63EE"/>
    <w:lvl w:ilvl="0" w:tplc="EAFC61EA">
      <w:numFmt w:val="bullet"/>
      <w:lvlText w:val="⃣"/>
      <w:lvlJc w:val="left"/>
      <w:pPr>
        <w:ind w:left="720" w:hanging="360"/>
      </w:pPr>
      <w:rPr>
        <w:rFonts w:ascii="Segoe UI" w:eastAsiaTheme="minorHAns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07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3268664">
    <w:abstractNumId w:val="5"/>
  </w:num>
  <w:num w:numId="3" w16cid:durableId="253511258">
    <w:abstractNumId w:val="0"/>
  </w:num>
  <w:num w:numId="4" w16cid:durableId="530152292">
    <w:abstractNumId w:val="4"/>
  </w:num>
  <w:num w:numId="5" w16cid:durableId="707804011">
    <w:abstractNumId w:val="0"/>
  </w:num>
  <w:num w:numId="6" w16cid:durableId="647248175">
    <w:abstractNumId w:val="0"/>
  </w:num>
  <w:num w:numId="7" w16cid:durableId="883827937">
    <w:abstractNumId w:val="0"/>
  </w:num>
  <w:num w:numId="8" w16cid:durableId="738674087">
    <w:abstractNumId w:val="0"/>
  </w:num>
  <w:num w:numId="9" w16cid:durableId="858735568">
    <w:abstractNumId w:val="0"/>
  </w:num>
  <w:num w:numId="10" w16cid:durableId="452675086">
    <w:abstractNumId w:val="0"/>
  </w:num>
  <w:num w:numId="11" w16cid:durableId="533225901">
    <w:abstractNumId w:val="0"/>
  </w:num>
  <w:num w:numId="12" w16cid:durableId="1989746631">
    <w:abstractNumId w:val="0"/>
  </w:num>
  <w:num w:numId="13" w16cid:durableId="1556041645">
    <w:abstractNumId w:val="0"/>
  </w:num>
  <w:num w:numId="14" w16cid:durableId="543441356">
    <w:abstractNumId w:val="0"/>
  </w:num>
  <w:num w:numId="15" w16cid:durableId="1786121178">
    <w:abstractNumId w:val="0"/>
  </w:num>
  <w:num w:numId="16" w16cid:durableId="1727993471">
    <w:abstractNumId w:val="0"/>
  </w:num>
  <w:num w:numId="17" w16cid:durableId="392122365">
    <w:abstractNumId w:val="5"/>
  </w:num>
  <w:num w:numId="18" w16cid:durableId="515657841">
    <w:abstractNumId w:val="5"/>
  </w:num>
  <w:num w:numId="19" w16cid:durableId="861940362">
    <w:abstractNumId w:val="5"/>
  </w:num>
  <w:num w:numId="20" w16cid:durableId="1656030284">
    <w:abstractNumId w:val="5"/>
  </w:num>
  <w:num w:numId="21" w16cid:durableId="1619873683">
    <w:abstractNumId w:val="5"/>
  </w:num>
  <w:num w:numId="22" w16cid:durableId="890772336">
    <w:abstractNumId w:val="4"/>
  </w:num>
  <w:num w:numId="23" w16cid:durableId="1299921658">
    <w:abstractNumId w:val="4"/>
  </w:num>
  <w:num w:numId="24" w16cid:durableId="1481577297">
    <w:abstractNumId w:val="4"/>
  </w:num>
  <w:num w:numId="25" w16cid:durableId="101653292">
    <w:abstractNumId w:val="4"/>
  </w:num>
  <w:num w:numId="26" w16cid:durableId="1534226649">
    <w:abstractNumId w:val="4"/>
  </w:num>
  <w:num w:numId="27" w16cid:durableId="1081173068">
    <w:abstractNumId w:val="5"/>
  </w:num>
  <w:num w:numId="28" w16cid:durableId="1647391918">
    <w:abstractNumId w:val="0"/>
  </w:num>
  <w:num w:numId="29" w16cid:durableId="503472102">
    <w:abstractNumId w:val="4"/>
  </w:num>
  <w:num w:numId="30" w16cid:durableId="1823234438">
    <w:abstractNumId w:val="15"/>
  </w:num>
  <w:num w:numId="31" w16cid:durableId="1332219882">
    <w:abstractNumId w:val="2"/>
  </w:num>
  <w:num w:numId="32" w16cid:durableId="1141967533">
    <w:abstractNumId w:val="11"/>
  </w:num>
  <w:num w:numId="33" w16cid:durableId="754745325">
    <w:abstractNumId w:val="12"/>
  </w:num>
  <w:num w:numId="34" w16cid:durableId="1372877670">
    <w:abstractNumId w:val="16"/>
  </w:num>
  <w:num w:numId="35" w16cid:durableId="133453211">
    <w:abstractNumId w:val="10"/>
  </w:num>
  <w:num w:numId="36" w16cid:durableId="1107970500">
    <w:abstractNumId w:val="8"/>
  </w:num>
  <w:num w:numId="37" w16cid:durableId="1433086827">
    <w:abstractNumId w:val="7"/>
  </w:num>
  <w:num w:numId="38" w16cid:durableId="1523474539">
    <w:abstractNumId w:val="9"/>
  </w:num>
  <w:num w:numId="39" w16cid:durableId="462887387">
    <w:abstractNumId w:val="3"/>
  </w:num>
  <w:num w:numId="40" w16cid:durableId="2072002484">
    <w:abstractNumId w:val="6"/>
  </w:num>
  <w:num w:numId="41" w16cid:durableId="1403337327">
    <w:abstractNumId w:val="1"/>
  </w:num>
  <w:num w:numId="42" w16cid:durableId="1205141579">
    <w:abstractNumId w:val="14"/>
  </w:num>
  <w:num w:numId="43" w16cid:durableId="14071917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066F0"/>
    <w:rsid w:val="00010ECC"/>
    <w:rsid w:val="00013077"/>
    <w:rsid w:val="000138AE"/>
    <w:rsid w:val="00026AAB"/>
    <w:rsid w:val="00036643"/>
    <w:rsid w:val="000446F2"/>
    <w:rsid w:val="0004495D"/>
    <w:rsid w:val="00052FF2"/>
    <w:rsid w:val="00057D6C"/>
    <w:rsid w:val="00066103"/>
    <w:rsid w:val="00066135"/>
    <w:rsid w:val="00073F1C"/>
    <w:rsid w:val="000762B3"/>
    <w:rsid w:val="00083DA4"/>
    <w:rsid w:val="000920BD"/>
    <w:rsid w:val="000A4685"/>
    <w:rsid w:val="000B1FE7"/>
    <w:rsid w:val="000C2235"/>
    <w:rsid w:val="000D340E"/>
    <w:rsid w:val="000D4582"/>
    <w:rsid w:val="000F4200"/>
    <w:rsid w:val="000F494D"/>
    <w:rsid w:val="000F4B68"/>
    <w:rsid w:val="000F5BFE"/>
    <w:rsid w:val="001037AA"/>
    <w:rsid w:val="001121F2"/>
    <w:rsid w:val="00116207"/>
    <w:rsid w:val="001365D3"/>
    <w:rsid w:val="00150677"/>
    <w:rsid w:val="00161797"/>
    <w:rsid w:val="00163AA7"/>
    <w:rsid w:val="001661EF"/>
    <w:rsid w:val="0016718A"/>
    <w:rsid w:val="00170B8D"/>
    <w:rsid w:val="00196F1D"/>
    <w:rsid w:val="001A5202"/>
    <w:rsid w:val="001A7AEF"/>
    <w:rsid w:val="001B16CC"/>
    <w:rsid w:val="001E227E"/>
    <w:rsid w:val="001E420F"/>
    <w:rsid w:val="001F1800"/>
    <w:rsid w:val="001F7705"/>
    <w:rsid w:val="00200FD3"/>
    <w:rsid w:val="002045FD"/>
    <w:rsid w:val="002110D9"/>
    <w:rsid w:val="002138DB"/>
    <w:rsid w:val="002328B7"/>
    <w:rsid w:val="002345CD"/>
    <w:rsid w:val="002500D4"/>
    <w:rsid w:val="00267B3A"/>
    <w:rsid w:val="00271EB5"/>
    <w:rsid w:val="00276CFE"/>
    <w:rsid w:val="002824CD"/>
    <w:rsid w:val="00286E47"/>
    <w:rsid w:val="002A2148"/>
    <w:rsid w:val="002B63F7"/>
    <w:rsid w:val="002B6E68"/>
    <w:rsid w:val="002C2999"/>
    <w:rsid w:val="002C2A83"/>
    <w:rsid w:val="002C45AE"/>
    <w:rsid w:val="002C6FBB"/>
    <w:rsid w:val="002D5AF5"/>
    <w:rsid w:val="002E1ADA"/>
    <w:rsid w:val="003128CB"/>
    <w:rsid w:val="0032690E"/>
    <w:rsid w:val="00326EDE"/>
    <w:rsid w:val="0033003D"/>
    <w:rsid w:val="00333243"/>
    <w:rsid w:val="00341A13"/>
    <w:rsid w:val="00342501"/>
    <w:rsid w:val="00342989"/>
    <w:rsid w:val="003500EE"/>
    <w:rsid w:val="00354D15"/>
    <w:rsid w:val="00386BDA"/>
    <w:rsid w:val="00394745"/>
    <w:rsid w:val="00397B7D"/>
    <w:rsid w:val="003B4CB5"/>
    <w:rsid w:val="003B52E5"/>
    <w:rsid w:val="003C5193"/>
    <w:rsid w:val="003C7466"/>
    <w:rsid w:val="003D00D4"/>
    <w:rsid w:val="003D110F"/>
    <w:rsid w:val="003D50D3"/>
    <w:rsid w:val="003F1F08"/>
    <w:rsid w:val="003F745C"/>
    <w:rsid w:val="004123DC"/>
    <w:rsid w:val="004164B5"/>
    <w:rsid w:val="00416DBE"/>
    <w:rsid w:val="00422C7F"/>
    <w:rsid w:val="00427698"/>
    <w:rsid w:val="004362CD"/>
    <w:rsid w:val="004646C4"/>
    <w:rsid w:val="0047463E"/>
    <w:rsid w:val="004766EC"/>
    <w:rsid w:val="00477E16"/>
    <w:rsid w:val="004848EE"/>
    <w:rsid w:val="004A07BA"/>
    <w:rsid w:val="004A0FB5"/>
    <w:rsid w:val="004A7D2C"/>
    <w:rsid w:val="004A7F42"/>
    <w:rsid w:val="004D0752"/>
    <w:rsid w:val="004D49B6"/>
    <w:rsid w:val="004E4DA7"/>
    <w:rsid w:val="004F18AE"/>
    <w:rsid w:val="004F7B59"/>
    <w:rsid w:val="00504010"/>
    <w:rsid w:val="00513F75"/>
    <w:rsid w:val="0051517D"/>
    <w:rsid w:val="00521CDA"/>
    <w:rsid w:val="005251C4"/>
    <w:rsid w:val="00555787"/>
    <w:rsid w:val="0056685B"/>
    <w:rsid w:val="00576E24"/>
    <w:rsid w:val="0057702D"/>
    <w:rsid w:val="005861EA"/>
    <w:rsid w:val="00596B5A"/>
    <w:rsid w:val="005A0E25"/>
    <w:rsid w:val="005A3566"/>
    <w:rsid w:val="005B083E"/>
    <w:rsid w:val="005C6C56"/>
    <w:rsid w:val="005D3AEE"/>
    <w:rsid w:val="005E1515"/>
    <w:rsid w:val="005E3FE5"/>
    <w:rsid w:val="005F4FB7"/>
    <w:rsid w:val="005F7D01"/>
    <w:rsid w:val="00600BB4"/>
    <w:rsid w:val="00607D7D"/>
    <w:rsid w:val="006121A4"/>
    <w:rsid w:val="00612598"/>
    <w:rsid w:val="00617DDC"/>
    <w:rsid w:val="00623816"/>
    <w:rsid w:val="006263A0"/>
    <w:rsid w:val="006308AD"/>
    <w:rsid w:val="00631489"/>
    <w:rsid w:val="00631DB9"/>
    <w:rsid w:val="00661750"/>
    <w:rsid w:val="006648D9"/>
    <w:rsid w:val="00665BC0"/>
    <w:rsid w:val="0068264B"/>
    <w:rsid w:val="00692326"/>
    <w:rsid w:val="00697653"/>
    <w:rsid w:val="006B35C5"/>
    <w:rsid w:val="006D0CE5"/>
    <w:rsid w:val="006D1DFC"/>
    <w:rsid w:val="006F0BA4"/>
    <w:rsid w:val="006F3B12"/>
    <w:rsid w:val="006F5A9B"/>
    <w:rsid w:val="006F6B45"/>
    <w:rsid w:val="007558BA"/>
    <w:rsid w:val="00761737"/>
    <w:rsid w:val="007631D9"/>
    <w:rsid w:val="007633F0"/>
    <w:rsid w:val="00764609"/>
    <w:rsid w:val="00765814"/>
    <w:rsid w:val="007675D1"/>
    <w:rsid w:val="0077235F"/>
    <w:rsid w:val="0078022D"/>
    <w:rsid w:val="00781E96"/>
    <w:rsid w:val="00786DFC"/>
    <w:rsid w:val="007A799B"/>
    <w:rsid w:val="007C2A23"/>
    <w:rsid w:val="007D1086"/>
    <w:rsid w:val="007E0FB1"/>
    <w:rsid w:val="007F32B9"/>
    <w:rsid w:val="00804379"/>
    <w:rsid w:val="008079F8"/>
    <w:rsid w:val="008157DD"/>
    <w:rsid w:val="00833449"/>
    <w:rsid w:val="00851311"/>
    <w:rsid w:val="00867EC8"/>
    <w:rsid w:val="0087759C"/>
    <w:rsid w:val="008A119D"/>
    <w:rsid w:val="008A6FBF"/>
    <w:rsid w:val="008B4DC3"/>
    <w:rsid w:val="008B5D2B"/>
    <w:rsid w:val="008C0BED"/>
    <w:rsid w:val="008D4665"/>
    <w:rsid w:val="008E47DD"/>
    <w:rsid w:val="00907E54"/>
    <w:rsid w:val="00911C9E"/>
    <w:rsid w:val="00912215"/>
    <w:rsid w:val="00922C45"/>
    <w:rsid w:val="00924C44"/>
    <w:rsid w:val="00925A3C"/>
    <w:rsid w:val="00925F9F"/>
    <w:rsid w:val="0093607E"/>
    <w:rsid w:val="00954D87"/>
    <w:rsid w:val="00954F43"/>
    <w:rsid w:val="009735B2"/>
    <w:rsid w:val="009C0ABF"/>
    <w:rsid w:val="009C114D"/>
    <w:rsid w:val="009C17E6"/>
    <w:rsid w:val="009C2694"/>
    <w:rsid w:val="009C37AC"/>
    <w:rsid w:val="009D511C"/>
    <w:rsid w:val="009E55FB"/>
    <w:rsid w:val="009E7E1D"/>
    <w:rsid w:val="00A00CB9"/>
    <w:rsid w:val="00A06B72"/>
    <w:rsid w:val="00A11DFF"/>
    <w:rsid w:val="00A15593"/>
    <w:rsid w:val="00A23F4A"/>
    <w:rsid w:val="00A25FD2"/>
    <w:rsid w:val="00A27C04"/>
    <w:rsid w:val="00A3617D"/>
    <w:rsid w:val="00A443D7"/>
    <w:rsid w:val="00A4762A"/>
    <w:rsid w:val="00A55692"/>
    <w:rsid w:val="00A671B7"/>
    <w:rsid w:val="00A71193"/>
    <w:rsid w:val="00A85A60"/>
    <w:rsid w:val="00A91B3E"/>
    <w:rsid w:val="00A92AF8"/>
    <w:rsid w:val="00A95B9B"/>
    <w:rsid w:val="00AA2E71"/>
    <w:rsid w:val="00AA6244"/>
    <w:rsid w:val="00AB2D7B"/>
    <w:rsid w:val="00AB64C6"/>
    <w:rsid w:val="00AC56BF"/>
    <w:rsid w:val="00AC604E"/>
    <w:rsid w:val="00AC7A0A"/>
    <w:rsid w:val="00AD284E"/>
    <w:rsid w:val="00AE0F03"/>
    <w:rsid w:val="00AF1C29"/>
    <w:rsid w:val="00AF205A"/>
    <w:rsid w:val="00B04DD5"/>
    <w:rsid w:val="00B06364"/>
    <w:rsid w:val="00B102E4"/>
    <w:rsid w:val="00B332CA"/>
    <w:rsid w:val="00B334C7"/>
    <w:rsid w:val="00B36E6D"/>
    <w:rsid w:val="00B3706C"/>
    <w:rsid w:val="00B3722D"/>
    <w:rsid w:val="00B4332F"/>
    <w:rsid w:val="00B55687"/>
    <w:rsid w:val="00B603FB"/>
    <w:rsid w:val="00B60D55"/>
    <w:rsid w:val="00B71055"/>
    <w:rsid w:val="00B85D1F"/>
    <w:rsid w:val="00B85E49"/>
    <w:rsid w:val="00B86A34"/>
    <w:rsid w:val="00B93CCC"/>
    <w:rsid w:val="00BA77FC"/>
    <w:rsid w:val="00BD41AF"/>
    <w:rsid w:val="00BD7C31"/>
    <w:rsid w:val="00BE425C"/>
    <w:rsid w:val="00BE5DD6"/>
    <w:rsid w:val="00BE623F"/>
    <w:rsid w:val="00BF235F"/>
    <w:rsid w:val="00BF3653"/>
    <w:rsid w:val="00C0145E"/>
    <w:rsid w:val="00C05B3F"/>
    <w:rsid w:val="00C14DA3"/>
    <w:rsid w:val="00C22455"/>
    <w:rsid w:val="00C30E5B"/>
    <w:rsid w:val="00C579EF"/>
    <w:rsid w:val="00C60F92"/>
    <w:rsid w:val="00C669FA"/>
    <w:rsid w:val="00C77A41"/>
    <w:rsid w:val="00C85259"/>
    <w:rsid w:val="00C87E1C"/>
    <w:rsid w:val="00C87E4F"/>
    <w:rsid w:val="00C93275"/>
    <w:rsid w:val="00CA7ADE"/>
    <w:rsid w:val="00CB31B4"/>
    <w:rsid w:val="00CB4064"/>
    <w:rsid w:val="00CC1EA6"/>
    <w:rsid w:val="00CD2B86"/>
    <w:rsid w:val="00CD75C9"/>
    <w:rsid w:val="00CE3C18"/>
    <w:rsid w:val="00CE4B55"/>
    <w:rsid w:val="00CF2C67"/>
    <w:rsid w:val="00D13A61"/>
    <w:rsid w:val="00D2343D"/>
    <w:rsid w:val="00D33176"/>
    <w:rsid w:val="00D37481"/>
    <w:rsid w:val="00D41F64"/>
    <w:rsid w:val="00D65037"/>
    <w:rsid w:val="00D80BCF"/>
    <w:rsid w:val="00D87E9E"/>
    <w:rsid w:val="00DA6E4B"/>
    <w:rsid w:val="00DB764E"/>
    <w:rsid w:val="00DE05D4"/>
    <w:rsid w:val="00DE08D1"/>
    <w:rsid w:val="00DF2CD2"/>
    <w:rsid w:val="00E005F1"/>
    <w:rsid w:val="00E07C9B"/>
    <w:rsid w:val="00E1120D"/>
    <w:rsid w:val="00E1175F"/>
    <w:rsid w:val="00E118C2"/>
    <w:rsid w:val="00E140B6"/>
    <w:rsid w:val="00E22D61"/>
    <w:rsid w:val="00E24389"/>
    <w:rsid w:val="00E30742"/>
    <w:rsid w:val="00E36782"/>
    <w:rsid w:val="00E36943"/>
    <w:rsid w:val="00E376EC"/>
    <w:rsid w:val="00E37AB4"/>
    <w:rsid w:val="00E41536"/>
    <w:rsid w:val="00E500F3"/>
    <w:rsid w:val="00E6273F"/>
    <w:rsid w:val="00E656B7"/>
    <w:rsid w:val="00E66FB7"/>
    <w:rsid w:val="00E6795C"/>
    <w:rsid w:val="00E83793"/>
    <w:rsid w:val="00E947FC"/>
    <w:rsid w:val="00EB206E"/>
    <w:rsid w:val="00EB6488"/>
    <w:rsid w:val="00ED59DB"/>
    <w:rsid w:val="00EE57CF"/>
    <w:rsid w:val="00EF244E"/>
    <w:rsid w:val="00F00713"/>
    <w:rsid w:val="00F15C41"/>
    <w:rsid w:val="00F15E64"/>
    <w:rsid w:val="00F21F95"/>
    <w:rsid w:val="00F409D3"/>
    <w:rsid w:val="00F40FB1"/>
    <w:rsid w:val="00F43AF2"/>
    <w:rsid w:val="00F4507B"/>
    <w:rsid w:val="00F53E0F"/>
    <w:rsid w:val="00F560AF"/>
    <w:rsid w:val="00F639BA"/>
    <w:rsid w:val="00F64367"/>
    <w:rsid w:val="00F72422"/>
    <w:rsid w:val="00F73BC3"/>
    <w:rsid w:val="00F91B09"/>
    <w:rsid w:val="00FA0081"/>
    <w:rsid w:val="00FA2A5E"/>
    <w:rsid w:val="00FB2BC8"/>
    <w:rsid w:val="00FB5B1D"/>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28"/>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27"/>
      </w:numPr>
      <w:spacing w:before="0" w:after="120" w:line="264" w:lineRule="auto"/>
      <w:contextualSpacing/>
    </w:pPr>
  </w:style>
  <w:style w:type="numbering" w:customStyle="1" w:styleId="ListBullets">
    <w:name w:val="ListBullets"/>
    <w:uiPriority w:val="99"/>
    <w:rsid w:val="00692326"/>
    <w:pPr>
      <w:numPr>
        <w:numId w:val="2"/>
      </w:numPr>
    </w:pPr>
  </w:style>
  <w:style w:type="numbering" w:customStyle="1" w:styleId="ListNumbers">
    <w:name w:val="ListNumbers"/>
    <w:uiPriority w:val="99"/>
    <w:rsid w:val="00692326"/>
    <w:pPr>
      <w:numPr>
        <w:numId w:val="4"/>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29"/>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3"/>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66F0"/>
    <w:rPr>
      <w:sz w:val="16"/>
      <w:szCs w:val="16"/>
    </w:rPr>
  </w:style>
  <w:style w:type="paragraph" w:styleId="CommentText">
    <w:name w:val="annotation text"/>
    <w:basedOn w:val="Normal"/>
    <w:link w:val="CommentTextChar"/>
    <w:uiPriority w:val="99"/>
    <w:unhideWhenUsed/>
    <w:rsid w:val="000066F0"/>
    <w:pPr>
      <w:spacing w:line="240" w:lineRule="auto"/>
    </w:pPr>
    <w:rPr>
      <w:szCs w:val="20"/>
    </w:rPr>
  </w:style>
  <w:style w:type="character" w:customStyle="1" w:styleId="CommentTextChar">
    <w:name w:val="Comment Text Char"/>
    <w:basedOn w:val="DefaultParagraphFont"/>
    <w:link w:val="CommentText"/>
    <w:uiPriority w:val="99"/>
    <w:rsid w:val="000066F0"/>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0066F0"/>
    <w:rPr>
      <w:b/>
      <w:bCs/>
    </w:rPr>
  </w:style>
  <w:style w:type="character" w:customStyle="1" w:styleId="CommentSubjectChar">
    <w:name w:val="Comment Subject Char"/>
    <w:basedOn w:val="CommentTextChar"/>
    <w:link w:val="CommentSubject"/>
    <w:uiPriority w:val="99"/>
    <w:semiHidden/>
    <w:rsid w:val="000066F0"/>
    <w:rPr>
      <w:rFonts w:ascii="Segoe UI" w:hAnsi="Segoe UI"/>
      <w:b/>
      <w:bCs/>
      <w:sz w:val="20"/>
      <w:szCs w:val="20"/>
    </w:rPr>
  </w:style>
  <w:style w:type="paragraph" w:styleId="Revision">
    <w:name w:val="Revision"/>
    <w:hidden/>
    <w:uiPriority w:val="99"/>
    <w:semiHidden/>
    <w:rsid w:val="00477E16"/>
    <w:pPr>
      <w:spacing w:after="0" w:line="240" w:lineRule="auto"/>
    </w:pPr>
    <w:rPr>
      <w:rFonts w:ascii="Segoe UI" w:hAnsi="Segoe UI"/>
      <w:sz w:val="20"/>
    </w:rPr>
  </w:style>
  <w:style w:type="character" w:customStyle="1" w:styleId="cf01">
    <w:name w:val="cf01"/>
    <w:basedOn w:val="DefaultParagraphFont"/>
    <w:rsid w:val="00D33176"/>
    <w:rPr>
      <w:rFonts w:ascii="Segoe UI" w:hAnsi="Segoe UI" w:cs="Segoe UI" w:hint="default"/>
      <w:sz w:val="18"/>
      <w:szCs w:val="18"/>
    </w:rPr>
  </w:style>
  <w:style w:type="character" w:styleId="UnresolvedMention">
    <w:name w:val="Unresolved Mention"/>
    <w:basedOn w:val="DefaultParagraphFont"/>
    <w:uiPriority w:val="99"/>
    <w:semiHidden/>
    <w:unhideWhenUsed/>
    <w:rsid w:val="00ED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1752">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James Choe</cp:lastModifiedBy>
  <cp:revision>3</cp:revision>
  <dcterms:created xsi:type="dcterms:W3CDTF">2022-12-08T07:10:00Z</dcterms:created>
  <dcterms:modified xsi:type="dcterms:W3CDTF">2022-12-08T07:37:00Z</dcterms:modified>
</cp:coreProperties>
</file>