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341D" w14:textId="628A8233" w:rsidR="003228C3" w:rsidRDefault="003228C3" w:rsidP="00BB417C">
      <w:r w:rsidRPr="00F433B0">
        <w:rPr>
          <w:noProof/>
        </w:rPr>
        <w:drawing>
          <wp:inline distT="0" distB="0" distL="0" distR="0" wp14:anchorId="1A29DEA2" wp14:editId="5DD8D5AF">
            <wp:extent cx="6858000" cy="1713865"/>
            <wp:effectExtent l="0" t="0" r="0" b="635"/>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438" name="Graphic 1" descr="Header with ABAG logo and logo for Technical Assistance for Local Planning: Housin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858000" cy="1713865"/>
                    </a:xfrm>
                    <a:prstGeom prst="rect">
                      <a:avLst/>
                    </a:prstGeom>
                  </pic:spPr>
                </pic:pic>
              </a:graphicData>
            </a:graphic>
          </wp:inline>
        </w:drawing>
      </w:r>
    </w:p>
    <w:p w14:paraId="7C27E1F3" w14:textId="6FBD9F5A" w:rsidR="002434F2" w:rsidRPr="002434F2" w:rsidRDefault="004C014B" w:rsidP="002434F2">
      <w:pPr>
        <w:pBdr>
          <w:top w:val="single" w:sz="4" w:space="1" w:color="auto"/>
          <w:left w:val="single" w:sz="4" w:space="4" w:color="auto"/>
          <w:bottom w:val="single" w:sz="4" w:space="1" w:color="auto"/>
          <w:right w:val="single" w:sz="4" w:space="4" w:color="auto"/>
        </w:pBdr>
        <w:spacing w:line="240" w:lineRule="auto"/>
        <w:jc w:val="both"/>
        <w:rPr>
          <w:rFonts w:cstheme="minorHAnsi"/>
        </w:rPr>
      </w:pPr>
      <w:r w:rsidRPr="00E54DB4">
        <w:rPr>
          <w:b/>
          <w:bCs/>
        </w:rPr>
        <w:t xml:space="preserve">DISCLAIMER: </w:t>
      </w:r>
      <w:bookmarkStart w:id="0" w:name="_Hlk115448018"/>
      <w:r w:rsidR="002434F2" w:rsidRPr="002434F2">
        <w:rPr>
          <w:rFonts w:cstheme="minorHAnsi"/>
        </w:rPr>
        <w:t>This document is intended solely as a technical overview of new housing-related legislation. It is not intended to serve as legal advice regarding any jurisdiction's specific policies or any proposed housing development project. Local staff should consult with their city attorney or county counsel before taking any actions suggested herein.</w:t>
      </w:r>
    </w:p>
    <w:bookmarkEnd w:id="0"/>
    <w:p w14:paraId="5F5BF4AD" w14:textId="455829A9" w:rsidR="00CA3C07" w:rsidRDefault="00CA3C07" w:rsidP="00CA3C07">
      <w:pPr>
        <w:pStyle w:val="Heading1"/>
      </w:pPr>
      <w:r>
        <w:t>2022 New Housing Legislation Checklist for Staff</w:t>
      </w:r>
    </w:p>
    <w:p w14:paraId="0E2A76F5" w14:textId="45EF64E6" w:rsidR="002434F2" w:rsidRPr="00EA57B3" w:rsidRDefault="002434F2" w:rsidP="007F3169">
      <w:r w:rsidRPr="00EA57B3">
        <w:t xml:space="preserve">This checklist contains potential action steps for the most common requirements based on new housing laws passed in 2022. </w:t>
      </w:r>
      <w:r w:rsidRPr="00EA57B3">
        <w:rPr>
          <w:i/>
          <w:iCs/>
        </w:rPr>
        <w:t>There are other requirements that are not listed here, so be sure to review the laws in more detail.</w:t>
      </w:r>
      <w:r w:rsidRPr="00EA57B3">
        <w:t xml:space="preserve"> This document does not cover AB 2011/SB 6 as well as </w:t>
      </w:r>
      <w:proofErr w:type="gramStart"/>
      <w:r w:rsidRPr="00EA57B3">
        <w:t>a number of</w:t>
      </w:r>
      <w:proofErr w:type="gramEnd"/>
      <w:r w:rsidRPr="00EA57B3">
        <w:t xml:space="preserve"> bills that impact fewer jurisdictions. </w:t>
      </w:r>
      <w:r w:rsidR="00CE5BE1">
        <w:t xml:space="preserve">This checklist is meant to be used in conjunction with the </w:t>
      </w:r>
      <w:r w:rsidR="00CE5BE1" w:rsidRPr="00CE5BE1">
        <w:rPr>
          <w:i/>
          <w:iCs/>
        </w:rPr>
        <w:t>2022 New Legislation Summary</w:t>
      </w:r>
      <w:r w:rsidR="00CE5BE1">
        <w:t xml:space="preserve"> and </w:t>
      </w:r>
      <w:r w:rsidR="00CE5BE1" w:rsidRPr="00CE5BE1">
        <w:rPr>
          <w:i/>
          <w:iCs/>
        </w:rPr>
        <w:t>Action Item and Issue Spotting Chart</w:t>
      </w:r>
      <w:r w:rsidR="00CE5BE1">
        <w:t>.</w:t>
      </w:r>
    </w:p>
    <w:p w14:paraId="55547C12" w14:textId="41B8C06C" w:rsidR="002434F2" w:rsidRPr="007F3169" w:rsidRDefault="002434F2" w:rsidP="007F3169">
      <w:r w:rsidRPr="00EA57B3">
        <w:t>How to use this document:</w:t>
      </w:r>
    </w:p>
    <w:p w14:paraId="25289010" w14:textId="653D2EE5" w:rsidR="002434F2" w:rsidRPr="00EA57B3" w:rsidRDefault="002434F2" w:rsidP="007F3169">
      <w:r w:rsidRPr="007F3169">
        <w:rPr>
          <w:b/>
          <w:bCs/>
        </w:rPr>
        <w:t>Step 1:</w:t>
      </w:r>
      <w:r w:rsidRPr="00EA57B3">
        <w:t xml:space="preserve"> Review the </w:t>
      </w:r>
      <w:r w:rsidR="00AA4D38">
        <w:t>steps</w:t>
      </w:r>
      <w:r w:rsidRPr="00EA57B3">
        <w:t xml:space="preserve"> below.</w:t>
      </w:r>
    </w:p>
    <w:p w14:paraId="31BD29EC" w14:textId="29793AD6" w:rsidR="00CE5BE1" w:rsidRDefault="002434F2" w:rsidP="007F3169">
      <w:r w:rsidRPr="007F3169">
        <w:rPr>
          <w:b/>
          <w:bCs/>
        </w:rPr>
        <w:t>Step 2:</w:t>
      </w:r>
      <w:r w:rsidRPr="00EA57B3">
        <w:t xml:space="preserve"> Refer to the </w:t>
      </w:r>
      <w:hyperlink r:id="rId9" w:history="1">
        <w:r w:rsidR="00CE5BE1" w:rsidRPr="00AA4D38">
          <w:rPr>
            <w:rStyle w:val="Hyperlink"/>
            <w:rFonts w:eastAsia="Times New Roman" w:cstheme="minorHAnsi"/>
            <w:i/>
            <w:iCs/>
          </w:rPr>
          <w:t xml:space="preserve">2022 New Legislation </w:t>
        </w:r>
        <w:r w:rsidRPr="00AA4D38">
          <w:rPr>
            <w:rStyle w:val="Hyperlink"/>
            <w:rFonts w:eastAsia="Times New Roman" w:cstheme="minorHAnsi"/>
            <w:i/>
            <w:iCs/>
          </w:rPr>
          <w:t>Action Item and Issue Spotting Chart</w:t>
        </w:r>
      </w:hyperlink>
      <w:r w:rsidR="00CE5BE1">
        <w:t xml:space="preserve">. </w:t>
      </w:r>
    </w:p>
    <w:p w14:paraId="202B8144" w14:textId="16E00F85" w:rsidR="002434F2" w:rsidRPr="00EA57B3" w:rsidRDefault="00CE5BE1" w:rsidP="007F3169">
      <w:r w:rsidRPr="007F3169">
        <w:rPr>
          <w:b/>
          <w:bCs/>
        </w:rPr>
        <w:t>Step 3:</w:t>
      </w:r>
      <w:r>
        <w:t xml:space="preserve"> F</w:t>
      </w:r>
      <w:r w:rsidR="002434F2" w:rsidRPr="00EA57B3">
        <w:t xml:space="preserve">or more detailed information look at the </w:t>
      </w:r>
      <w:hyperlink r:id="rId10" w:history="1">
        <w:r w:rsidRPr="00AA4D38">
          <w:rPr>
            <w:rStyle w:val="Hyperlink"/>
            <w:rFonts w:eastAsia="Times New Roman" w:cstheme="minorHAnsi"/>
            <w:i/>
            <w:iCs/>
          </w:rPr>
          <w:t xml:space="preserve">2022 New </w:t>
        </w:r>
        <w:r w:rsidR="002434F2" w:rsidRPr="00AA4D38">
          <w:rPr>
            <w:rStyle w:val="Hyperlink"/>
            <w:rFonts w:eastAsia="Times New Roman" w:cstheme="minorHAnsi"/>
            <w:i/>
            <w:iCs/>
          </w:rPr>
          <w:t>Legislation Summary</w:t>
        </w:r>
      </w:hyperlink>
      <w:r w:rsidR="002434F2" w:rsidRPr="00EA57B3">
        <w:t>.</w:t>
      </w:r>
    </w:p>
    <w:p w14:paraId="400AE42C" w14:textId="59A87493" w:rsidR="002434F2" w:rsidRPr="00EA57B3" w:rsidRDefault="002434F2" w:rsidP="007F3169">
      <w:r w:rsidRPr="007F3169">
        <w:rPr>
          <w:b/>
          <w:bCs/>
        </w:rPr>
        <w:t xml:space="preserve">Step </w:t>
      </w:r>
      <w:r w:rsidR="007F3169" w:rsidRPr="007F3169">
        <w:rPr>
          <w:b/>
          <w:bCs/>
        </w:rPr>
        <w:t>4</w:t>
      </w:r>
      <w:r w:rsidRPr="007F3169">
        <w:rPr>
          <w:b/>
          <w:bCs/>
        </w:rPr>
        <w:t>:</w:t>
      </w:r>
      <w:r w:rsidRPr="00EA57B3">
        <w:t xml:space="preserve"> Review the text of the legislation.</w:t>
      </w:r>
    </w:p>
    <w:p w14:paraId="218BE8DC" w14:textId="2CD6DD06" w:rsidR="007D73D9" w:rsidRPr="007F3169" w:rsidRDefault="002434F2" w:rsidP="007F3169">
      <w:r w:rsidRPr="007F3169">
        <w:rPr>
          <w:b/>
          <w:bCs/>
        </w:rPr>
        <w:t xml:space="preserve">Step </w:t>
      </w:r>
      <w:r w:rsidR="007F3169" w:rsidRPr="007F3169">
        <w:rPr>
          <w:b/>
          <w:bCs/>
        </w:rPr>
        <w:t>5</w:t>
      </w:r>
      <w:r w:rsidRPr="007F3169">
        <w:rPr>
          <w:b/>
          <w:bCs/>
        </w:rPr>
        <w:t>:</w:t>
      </w:r>
      <w:r w:rsidRPr="00EA57B3">
        <w:t xml:space="preserve"> Consult with </w:t>
      </w:r>
      <w:r w:rsidR="00AA4D38">
        <w:t>the</w:t>
      </w:r>
      <w:r w:rsidRPr="00EA57B3">
        <w:t xml:space="preserve"> city attorney or county counsel.</w:t>
      </w:r>
    </w:p>
    <w:p w14:paraId="3B5399E1" w14:textId="77777777" w:rsidR="002434F2" w:rsidRPr="00EA57B3" w:rsidRDefault="002434F2" w:rsidP="002434F2">
      <w:pPr>
        <w:pStyle w:val="Heading2"/>
      </w:pPr>
      <w:bookmarkStart w:id="1" w:name="_Hlk121320906"/>
      <w:r w:rsidRPr="00EA57B3">
        <w:t>ADUs (SB 897 and AB 2221)</w:t>
      </w:r>
    </w:p>
    <w:bookmarkEnd w:id="1"/>
    <w:p w14:paraId="11433232" w14:textId="670242E0" w:rsidR="002434F2" w:rsidRPr="00EA57B3" w:rsidRDefault="002434F2" w:rsidP="00CA3C07">
      <w:pPr>
        <w:numPr>
          <w:ilvl w:val="0"/>
          <w:numId w:val="20"/>
        </w:numPr>
        <w:shd w:val="clear" w:color="auto" w:fill="FFFFFF"/>
        <w:spacing w:after="0" w:line="207" w:lineRule="atLeast"/>
        <w:rPr>
          <w:rFonts w:eastAsia="Times New Roman" w:cstheme="minorHAnsi"/>
          <w:color w:val="222222"/>
        </w:rPr>
      </w:pPr>
      <w:r w:rsidRPr="00EA57B3">
        <w:rPr>
          <w:rFonts w:eastAsia="Times New Roman" w:cstheme="minorHAnsi"/>
          <w:b/>
          <w:bCs/>
          <w:color w:val="222222"/>
        </w:rPr>
        <w:t>Update ADU ordinance</w:t>
      </w:r>
      <w:r w:rsidRPr="00EA57B3">
        <w:rPr>
          <w:rFonts w:eastAsia="Times New Roman" w:cstheme="minorHAnsi"/>
          <w:color w:val="222222"/>
        </w:rPr>
        <w:t xml:space="preserve"> (heights, front yard setbacks)</w:t>
      </w:r>
      <w:r w:rsidR="00AA4D38">
        <w:rPr>
          <w:rFonts w:eastAsia="Times New Roman" w:cstheme="minorHAnsi"/>
          <w:color w:val="222222"/>
        </w:rPr>
        <w:t>.</w:t>
      </w:r>
    </w:p>
    <w:p w14:paraId="5DD12BEB" w14:textId="413DA473" w:rsidR="002434F2" w:rsidRPr="007D73D9" w:rsidRDefault="002434F2" w:rsidP="00CA3C07">
      <w:pPr>
        <w:numPr>
          <w:ilvl w:val="0"/>
          <w:numId w:val="20"/>
        </w:numPr>
        <w:shd w:val="clear" w:color="auto" w:fill="FFFFFF"/>
        <w:spacing w:after="0" w:line="207" w:lineRule="atLeast"/>
        <w:rPr>
          <w:rFonts w:eastAsia="Times New Roman" w:cstheme="minorHAnsi"/>
          <w:color w:val="222222"/>
        </w:rPr>
      </w:pPr>
      <w:r w:rsidRPr="00EA57B3">
        <w:rPr>
          <w:rFonts w:eastAsia="Times New Roman" w:cstheme="minorHAnsi"/>
          <w:b/>
          <w:bCs/>
          <w:color w:val="222222"/>
        </w:rPr>
        <w:t>Train staff/update procedures for approving ADUs</w:t>
      </w:r>
      <w:r w:rsidRPr="00EA57B3">
        <w:rPr>
          <w:rFonts w:eastAsia="Times New Roman" w:cstheme="minorHAnsi"/>
          <w:color w:val="222222"/>
        </w:rPr>
        <w:t xml:space="preserve"> (fire rules, corrections, notice to neighbors), including </w:t>
      </w:r>
      <w:r w:rsidR="00AA4D38">
        <w:rPr>
          <w:rFonts w:eastAsia="Times New Roman" w:cstheme="minorHAnsi"/>
          <w:color w:val="222222"/>
        </w:rPr>
        <w:t xml:space="preserve">advance </w:t>
      </w:r>
      <w:r w:rsidRPr="00EA57B3">
        <w:rPr>
          <w:rFonts w:eastAsia="Times New Roman" w:cstheme="minorHAnsi"/>
          <w:color w:val="222222"/>
        </w:rPr>
        <w:t>coordination with local utilities and special districts</w:t>
      </w:r>
      <w:r w:rsidR="00AA4D38">
        <w:rPr>
          <w:rFonts w:eastAsia="Times New Roman" w:cstheme="minorHAnsi"/>
          <w:color w:val="222222"/>
        </w:rPr>
        <w:t xml:space="preserve">. Review times now </w:t>
      </w:r>
      <w:r w:rsidRPr="00EA57B3">
        <w:rPr>
          <w:rFonts w:eastAsia="Times New Roman" w:cstheme="minorHAnsi"/>
          <w:color w:val="222222"/>
        </w:rPr>
        <w:t>apply to these entities</w:t>
      </w:r>
      <w:r w:rsidR="00AA4D38">
        <w:rPr>
          <w:rFonts w:eastAsia="Times New Roman" w:cstheme="minorHAnsi"/>
          <w:color w:val="222222"/>
        </w:rPr>
        <w:t>.</w:t>
      </w:r>
      <w:r w:rsidRPr="00EA57B3">
        <w:rPr>
          <w:rFonts w:eastAsia="Times New Roman" w:cstheme="minorHAnsi"/>
          <w:color w:val="222222"/>
        </w:rPr>
        <w:t xml:space="preserve"> </w:t>
      </w:r>
    </w:p>
    <w:p w14:paraId="3C8EBFB9" w14:textId="77777777" w:rsidR="002434F2" w:rsidRPr="00EA57B3" w:rsidRDefault="002434F2" w:rsidP="002434F2">
      <w:pPr>
        <w:pStyle w:val="Heading2"/>
      </w:pPr>
      <w:r w:rsidRPr="00EA57B3">
        <w:t>Parking (AB 2097)</w:t>
      </w:r>
    </w:p>
    <w:p w14:paraId="6B2E64A3" w14:textId="7B49C867" w:rsidR="002434F2" w:rsidRPr="007D73D9" w:rsidRDefault="002434F2" w:rsidP="007D73D9">
      <w:pPr>
        <w:pStyle w:val="ListParagraph"/>
        <w:numPr>
          <w:ilvl w:val="0"/>
          <w:numId w:val="18"/>
        </w:numPr>
      </w:pPr>
      <w:r w:rsidRPr="007D73D9">
        <w:rPr>
          <w:b/>
          <w:bCs/>
        </w:rPr>
        <w:t>Eliminate or do not enforce parking requirements within ½ mile of major transit stop</w:t>
      </w:r>
      <w:r w:rsidRPr="00EA57B3">
        <w:t xml:space="preserve"> unless </w:t>
      </w:r>
      <w:r w:rsidR="00AA4D38">
        <w:t xml:space="preserve">the </w:t>
      </w:r>
      <w:r w:rsidRPr="00EA57B3">
        <w:t>required study has been done. Determine whether to complete studies to see if there are parking deficiencies near transit.</w:t>
      </w:r>
    </w:p>
    <w:p w14:paraId="6DD7B6A0" w14:textId="77777777" w:rsidR="002434F2" w:rsidRPr="00EA57B3" w:rsidRDefault="002434F2" w:rsidP="002434F2">
      <w:pPr>
        <w:pStyle w:val="Heading2"/>
      </w:pPr>
      <w:r w:rsidRPr="00EA57B3">
        <w:t>SB 35 (AB 2668)</w:t>
      </w:r>
    </w:p>
    <w:p w14:paraId="4BF42244" w14:textId="6E2B2CAF" w:rsidR="007F3169" w:rsidRPr="007F3169" w:rsidRDefault="002434F2" w:rsidP="007F3169">
      <w:pPr>
        <w:pStyle w:val="ListParagraph"/>
        <w:numPr>
          <w:ilvl w:val="0"/>
          <w:numId w:val="18"/>
        </w:numPr>
      </w:pPr>
      <w:r w:rsidRPr="007D73D9">
        <w:rPr>
          <w:b/>
          <w:bCs/>
        </w:rPr>
        <w:t>Update SB 35 procedures</w:t>
      </w:r>
      <w:r w:rsidRPr="00EA57B3">
        <w:t xml:space="preserve"> </w:t>
      </w:r>
      <w:r w:rsidR="00AA4D38">
        <w:t xml:space="preserve">including </w:t>
      </w:r>
      <w:r w:rsidRPr="00EA57B3">
        <w:t>incomplete applications, written explanations, calculating affordable units, etc.</w:t>
      </w:r>
    </w:p>
    <w:p w14:paraId="0D0CC742" w14:textId="77777777" w:rsidR="002434F2" w:rsidRPr="00EA57B3" w:rsidRDefault="002434F2" w:rsidP="002434F2">
      <w:pPr>
        <w:pStyle w:val="Heading2"/>
      </w:pPr>
      <w:r w:rsidRPr="00EA57B3">
        <w:lastRenderedPageBreak/>
        <w:t>Density Bonus (AB 2334, AB 682)</w:t>
      </w:r>
    </w:p>
    <w:p w14:paraId="72461E1B" w14:textId="6E154F80" w:rsidR="002434F2" w:rsidRPr="002434F2" w:rsidRDefault="002434F2" w:rsidP="007D73D9">
      <w:pPr>
        <w:pStyle w:val="ListParagraph"/>
        <w:numPr>
          <w:ilvl w:val="0"/>
          <w:numId w:val="18"/>
        </w:numPr>
      </w:pPr>
      <w:r w:rsidRPr="007D73D9">
        <w:rPr>
          <w:b/>
          <w:bCs/>
        </w:rPr>
        <w:t xml:space="preserve">Review density bonus ordinance to see if changes are needed.  </w:t>
      </w:r>
      <w:r w:rsidRPr="00EA57B3">
        <w:t xml:space="preserve">If using “lot area per unit” as </w:t>
      </w:r>
      <w:r w:rsidR="00AA4D38">
        <w:t xml:space="preserve">the </w:t>
      </w:r>
      <w:r w:rsidRPr="00EA57B3">
        <w:t>density standard, consider changing to “units per acre.”</w:t>
      </w:r>
      <w:r w:rsidRPr="0098375C">
        <w:t xml:space="preserve"> </w:t>
      </w:r>
      <w:r w:rsidRPr="00EA57B3">
        <w:t xml:space="preserve">If using form-based code, add requirement for a “base density study” to </w:t>
      </w:r>
      <w:r w:rsidR="00AA4D38">
        <w:t xml:space="preserve">the </w:t>
      </w:r>
      <w:r w:rsidRPr="00EA57B3">
        <w:t xml:space="preserve">application form. This study shows how to calculate density if the zoning code does not regulate it. </w:t>
      </w:r>
    </w:p>
    <w:p w14:paraId="547CCE64" w14:textId="7A438935" w:rsidR="002434F2" w:rsidRPr="007D73D9" w:rsidRDefault="002434F2" w:rsidP="007D73D9">
      <w:pPr>
        <w:pStyle w:val="ListParagraph"/>
        <w:numPr>
          <w:ilvl w:val="0"/>
          <w:numId w:val="18"/>
        </w:numPr>
      </w:pPr>
      <w:r w:rsidRPr="007D73D9">
        <w:rPr>
          <w:b/>
          <w:bCs/>
        </w:rPr>
        <w:t>Review changes to density bonus law regarding</w:t>
      </w:r>
      <w:r w:rsidRPr="00EA57B3">
        <w:t xml:space="preserve"> co-housing, unlimited density for affordable projects in low</w:t>
      </w:r>
      <w:r w:rsidR="00AA4D38">
        <w:t>-</w:t>
      </w:r>
      <w:r w:rsidRPr="00EA57B3">
        <w:t>vehicle</w:t>
      </w:r>
      <w:r w:rsidR="00AA4D38">
        <w:t>-</w:t>
      </w:r>
      <w:r w:rsidRPr="00EA57B3">
        <w:t xml:space="preserve">miles traveled areas, and commercial development provisions. If appropriate, update local ordinance, procedures, internal </w:t>
      </w:r>
      <w:proofErr w:type="gramStart"/>
      <w:r w:rsidRPr="00EA57B3">
        <w:t>checklist</w:t>
      </w:r>
      <w:proofErr w:type="gramEnd"/>
      <w:r w:rsidRPr="00EA57B3">
        <w:t xml:space="preserve"> and public guidance. </w:t>
      </w:r>
    </w:p>
    <w:p w14:paraId="5306BAC7" w14:textId="77777777" w:rsidR="002434F2" w:rsidRPr="00EA57B3" w:rsidRDefault="002434F2" w:rsidP="002434F2">
      <w:pPr>
        <w:pStyle w:val="Heading2"/>
      </w:pPr>
      <w:r w:rsidRPr="00EA57B3">
        <w:t>Emergency Shelters (AB 2339)</w:t>
      </w:r>
    </w:p>
    <w:p w14:paraId="44384613" w14:textId="2BAD999E" w:rsidR="002434F2" w:rsidRDefault="002434F2" w:rsidP="007D73D9">
      <w:pPr>
        <w:pStyle w:val="ListParagraph"/>
        <w:numPr>
          <w:ilvl w:val="0"/>
          <w:numId w:val="18"/>
        </w:numPr>
      </w:pPr>
      <w:r w:rsidRPr="007D73D9">
        <w:rPr>
          <w:b/>
          <w:bCs/>
        </w:rPr>
        <w:t>Ensure enough land is zoned for emergency shelters</w:t>
      </w:r>
      <w:r w:rsidRPr="00EA57B3">
        <w:t xml:space="preserve">. Note: </w:t>
      </w:r>
      <w:r w:rsidR="00AA4D38">
        <w:t>This w</w:t>
      </w:r>
      <w:r w:rsidRPr="00EA57B3">
        <w:t xml:space="preserve">ill apply to Seventh Cycle Housing Elements, or to Sixth Cycle Housing Elements where </w:t>
      </w:r>
      <w:r w:rsidR="00AA4D38">
        <w:t xml:space="preserve">the </w:t>
      </w:r>
      <w:r w:rsidRPr="00EA57B3">
        <w:t>first draft</w:t>
      </w:r>
      <w:r w:rsidR="00AA4D38">
        <w:t xml:space="preserve"> is</w:t>
      </w:r>
      <w:r w:rsidRPr="00EA57B3">
        <w:t xml:space="preserve"> submitted after January 31, 2023, or a draft </w:t>
      </w:r>
      <w:r w:rsidR="00AA4D38">
        <w:t xml:space="preserve">is </w:t>
      </w:r>
      <w:r w:rsidRPr="00EA57B3">
        <w:t>submitted after April 1, 2023.</w:t>
      </w:r>
    </w:p>
    <w:p w14:paraId="3DE52251" w14:textId="633988C1" w:rsidR="002434F2" w:rsidRPr="00EA57B3" w:rsidRDefault="002434F2" w:rsidP="007D73D9">
      <w:pPr>
        <w:pStyle w:val="Heading2"/>
      </w:pPr>
      <w:r w:rsidRPr="00EA57B3">
        <w:t>Annual Progress Report (AB 1743, AB 2094, AB 2011)</w:t>
      </w:r>
    </w:p>
    <w:p w14:paraId="477037C2" w14:textId="0B5C95EA" w:rsidR="002434F2" w:rsidRPr="007D73D9" w:rsidRDefault="002434F2" w:rsidP="007D73D9">
      <w:pPr>
        <w:pStyle w:val="ListParagraph"/>
        <w:numPr>
          <w:ilvl w:val="0"/>
          <w:numId w:val="18"/>
        </w:numPr>
      </w:pPr>
      <w:r w:rsidRPr="007D73D9">
        <w:rPr>
          <w:b/>
          <w:bCs/>
        </w:rPr>
        <w:t>Be ready for new APR requirements</w:t>
      </w:r>
      <w:r w:rsidRPr="00EA57B3">
        <w:t xml:space="preserve">. Update permitting and approval systems to ensure that all required information for the APR is being collected. </w:t>
      </w:r>
      <w:r w:rsidR="00AA4D38">
        <w:t xml:space="preserve">Information on the new requirements will be shared in an HCD webinar in January 2023. </w:t>
      </w:r>
    </w:p>
    <w:p w14:paraId="3717E392" w14:textId="77777777" w:rsidR="002434F2" w:rsidRPr="00EA57B3" w:rsidRDefault="002434F2" w:rsidP="002434F2">
      <w:pPr>
        <w:pStyle w:val="Heading2"/>
      </w:pPr>
      <w:r w:rsidRPr="00EA57B3">
        <w:t>Open Space Element (AB 1425)</w:t>
      </w:r>
    </w:p>
    <w:p w14:paraId="5E0E49F0" w14:textId="698FDC25" w:rsidR="002434F2" w:rsidRPr="007D73D9" w:rsidRDefault="002434F2" w:rsidP="007D73D9">
      <w:pPr>
        <w:pStyle w:val="ListParagraph"/>
        <w:numPr>
          <w:ilvl w:val="0"/>
          <w:numId w:val="18"/>
        </w:numPr>
      </w:pPr>
      <w:r w:rsidRPr="00EA57B3">
        <w:t>Update your open space element by Jan</w:t>
      </w:r>
      <w:r w:rsidR="00AA4D38">
        <w:t>uary</w:t>
      </w:r>
      <w:r w:rsidRPr="00EA57B3">
        <w:t xml:space="preserve"> 1, 2026</w:t>
      </w:r>
    </w:p>
    <w:p w14:paraId="65375E0B" w14:textId="77777777" w:rsidR="002434F2" w:rsidRPr="00EA57B3" w:rsidRDefault="002434F2" w:rsidP="002434F2">
      <w:pPr>
        <w:pStyle w:val="Heading2"/>
      </w:pPr>
      <w:r w:rsidRPr="00EA57B3">
        <w:t>Permits (AB 2234)</w:t>
      </w:r>
    </w:p>
    <w:p w14:paraId="181FAE61" w14:textId="77777777" w:rsidR="002434F2" w:rsidRPr="00EA57B3" w:rsidRDefault="002434F2" w:rsidP="007D73D9">
      <w:pPr>
        <w:pStyle w:val="ListParagraph"/>
        <w:numPr>
          <w:ilvl w:val="0"/>
          <w:numId w:val="18"/>
        </w:numPr>
      </w:pPr>
      <w:r w:rsidRPr="007D73D9">
        <w:rPr>
          <w:b/>
          <w:bCs/>
        </w:rPr>
        <w:t xml:space="preserve">Meet new permit processing deadlines. </w:t>
      </w:r>
      <w:r w:rsidRPr="00EA57B3">
        <w:t xml:space="preserve">Update building permit and other procedures to meet new, very fast, processing timelines and definitions for housing projects </w:t>
      </w:r>
    </w:p>
    <w:p w14:paraId="127185AD" w14:textId="7E431D5A" w:rsidR="002434F2" w:rsidRPr="00EA57B3" w:rsidRDefault="002434F2" w:rsidP="007D73D9">
      <w:pPr>
        <w:pStyle w:val="ListParagraph"/>
        <w:numPr>
          <w:ilvl w:val="0"/>
          <w:numId w:val="18"/>
        </w:numPr>
      </w:pPr>
      <w:r w:rsidRPr="007D73D9">
        <w:rPr>
          <w:b/>
          <w:bCs/>
        </w:rPr>
        <w:t>Do not publish copyrighted drawings or plans</w:t>
      </w:r>
      <w:r w:rsidR="004546F0">
        <w:rPr>
          <w:b/>
          <w:bCs/>
        </w:rPr>
        <w:t xml:space="preserve"> </w:t>
      </w:r>
      <w:r w:rsidR="004546F0">
        <w:t xml:space="preserve">without permission from the </w:t>
      </w:r>
      <w:r w:rsidR="00661F47">
        <w:t>architect or preparer of the document</w:t>
      </w:r>
      <w:r w:rsidRPr="00EA57B3">
        <w:t xml:space="preserve">. </w:t>
      </w:r>
    </w:p>
    <w:p w14:paraId="2821E76F" w14:textId="7BDBCA96" w:rsidR="002434F2" w:rsidRPr="00EA57B3" w:rsidRDefault="002434F2" w:rsidP="007D73D9">
      <w:pPr>
        <w:pStyle w:val="ListParagraph"/>
        <w:numPr>
          <w:ilvl w:val="0"/>
          <w:numId w:val="18"/>
        </w:numPr>
      </w:pPr>
      <w:r w:rsidRPr="007D73D9">
        <w:rPr>
          <w:b/>
          <w:bCs/>
        </w:rPr>
        <w:t xml:space="preserve">Update website </w:t>
      </w:r>
      <w:r w:rsidRPr="00EA57B3">
        <w:t xml:space="preserve">to list the requirements for building permits and other information that must </w:t>
      </w:r>
      <w:r w:rsidR="004546F0">
        <w:t xml:space="preserve">NOT </w:t>
      </w:r>
      <w:r w:rsidRPr="00EA57B3">
        <w:t xml:space="preserve">be </w:t>
      </w:r>
      <w:r w:rsidR="004546F0">
        <w:t xml:space="preserve">included </w:t>
      </w:r>
      <w:r w:rsidRPr="00EA57B3">
        <w:t>online.</w:t>
      </w:r>
      <w:r w:rsidRPr="007D73D9">
        <w:rPr>
          <w:b/>
          <w:bCs/>
        </w:rPr>
        <w:t xml:space="preserve">  </w:t>
      </w:r>
    </w:p>
    <w:p w14:paraId="3743B47A" w14:textId="43EE957C" w:rsidR="002434F2" w:rsidRPr="002434F2" w:rsidRDefault="002434F2" w:rsidP="007D73D9">
      <w:pPr>
        <w:pStyle w:val="ListParagraph"/>
        <w:numPr>
          <w:ilvl w:val="0"/>
          <w:numId w:val="18"/>
        </w:numPr>
      </w:pPr>
      <w:r w:rsidRPr="007D73D9">
        <w:rPr>
          <w:b/>
          <w:bCs/>
        </w:rPr>
        <w:t>Create an online system to accept building</w:t>
      </w:r>
      <w:r w:rsidR="004546F0">
        <w:rPr>
          <w:b/>
          <w:bCs/>
        </w:rPr>
        <w:t xml:space="preserve"> and </w:t>
      </w:r>
      <w:proofErr w:type="spellStart"/>
      <w:r w:rsidRPr="007D73D9">
        <w:rPr>
          <w:b/>
          <w:bCs/>
        </w:rPr>
        <w:t>postentitlement</w:t>
      </w:r>
      <w:proofErr w:type="spellEnd"/>
      <w:r w:rsidRPr="007D73D9">
        <w:rPr>
          <w:b/>
          <w:bCs/>
        </w:rPr>
        <w:t xml:space="preserve"> applications</w:t>
      </w:r>
      <w:r w:rsidRPr="00EA57B3">
        <w:t xml:space="preserve"> by </w:t>
      </w:r>
      <w:r w:rsidR="004546F0">
        <w:t xml:space="preserve">January 1, </w:t>
      </w:r>
      <w:proofErr w:type="gramStart"/>
      <w:r w:rsidRPr="00EA57B3">
        <w:t>2024</w:t>
      </w:r>
      <w:proofErr w:type="gramEnd"/>
      <w:r w:rsidRPr="00EA57B3">
        <w:t xml:space="preserve"> or </w:t>
      </w:r>
      <w:r w:rsidR="004546F0">
        <w:t xml:space="preserve">January 1, </w:t>
      </w:r>
      <w:r w:rsidRPr="00EA57B3">
        <w:t>2028</w:t>
      </w:r>
      <w:r w:rsidR="004546F0">
        <w:t>, depending on jurisdiction size.</w:t>
      </w:r>
    </w:p>
    <w:p w14:paraId="3B6F6F75" w14:textId="77777777" w:rsidR="002434F2" w:rsidRPr="00EA57B3" w:rsidRDefault="002434F2" w:rsidP="002434F2">
      <w:pPr>
        <w:pStyle w:val="Heading2"/>
      </w:pPr>
      <w:r w:rsidRPr="00EA57B3">
        <w:t>Educational Facility Housing (AB 2295, SB 886)</w:t>
      </w:r>
    </w:p>
    <w:p w14:paraId="5E9C6C5D" w14:textId="6AE48F2E" w:rsidR="002434F2" w:rsidRPr="002434F2" w:rsidRDefault="004546F0" w:rsidP="007D73D9">
      <w:pPr>
        <w:pStyle w:val="ListParagraph"/>
        <w:numPr>
          <w:ilvl w:val="0"/>
          <w:numId w:val="18"/>
        </w:numPr>
      </w:pPr>
      <w:r>
        <w:rPr>
          <w:b/>
          <w:bCs/>
        </w:rPr>
        <w:t>Review the</w:t>
      </w:r>
      <w:r w:rsidR="002434F2" w:rsidRPr="007D73D9">
        <w:rPr>
          <w:b/>
          <w:bCs/>
        </w:rPr>
        <w:t xml:space="preserve"> new affordable housing opportunities on school sites and community college sites</w:t>
      </w:r>
      <w:r w:rsidR="002434F2" w:rsidRPr="00EA57B3">
        <w:t xml:space="preserve"> and for certain faculty and student housing projects.</w:t>
      </w:r>
    </w:p>
    <w:p w14:paraId="48760373" w14:textId="611C0C64" w:rsidR="002434F2" w:rsidRPr="002434F2" w:rsidRDefault="002434F2" w:rsidP="002434F2">
      <w:pPr>
        <w:pStyle w:val="Heading2"/>
      </w:pPr>
      <w:r w:rsidRPr="00EA57B3">
        <w:t>Fair Housing (SB 649)</w:t>
      </w:r>
    </w:p>
    <w:p w14:paraId="0FD2DCCD" w14:textId="3FA9DA5E" w:rsidR="00BB417C" w:rsidRPr="00BB417C" w:rsidRDefault="002434F2" w:rsidP="007D73D9">
      <w:pPr>
        <w:pStyle w:val="ListParagraph"/>
        <w:numPr>
          <w:ilvl w:val="0"/>
          <w:numId w:val="18"/>
        </w:numPr>
      </w:pPr>
      <w:r w:rsidRPr="00EA57B3">
        <w:t>Consider whether to adopt a local tenant preference policy as permitted by new statute.</w:t>
      </w:r>
    </w:p>
    <w:sectPr w:rsidR="00BB417C" w:rsidRPr="00BB417C" w:rsidSect="00B77630">
      <w:headerReference w:type="default" r:id="rId11"/>
      <w:footerReference w:type="even" r:id="rId12"/>
      <w:footerReference w:type="default" r:id="rId13"/>
      <w:footerReference w:type="first" r:id="rId14"/>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50A7" w14:textId="77777777" w:rsidR="007E6A02" w:rsidRDefault="007E6A02" w:rsidP="00BB417C">
      <w:r>
        <w:separator/>
      </w:r>
    </w:p>
    <w:p w14:paraId="6C4AF3CD" w14:textId="77777777" w:rsidR="007E6A02" w:rsidRDefault="007E6A02" w:rsidP="00BB417C"/>
    <w:p w14:paraId="1277F736" w14:textId="77777777" w:rsidR="007E6A02" w:rsidRDefault="007E6A02" w:rsidP="00BB417C"/>
  </w:endnote>
  <w:endnote w:type="continuationSeparator" w:id="0">
    <w:p w14:paraId="63D306CD" w14:textId="77777777" w:rsidR="007E6A02" w:rsidRDefault="007E6A02" w:rsidP="00BB417C">
      <w:r>
        <w:continuationSeparator/>
      </w:r>
    </w:p>
    <w:p w14:paraId="31B8CED9" w14:textId="77777777" w:rsidR="007E6A02" w:rsidRDefault="007E6A02" w:rsidP="00BB417C"/>
    <w:p w14:paraId="19E435A6" w14:textId="77777777" w:rsidR="007E6A02" w:rsidRDefault="007E6A02" w:rsidP="00BB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000000" w:rsidP="00BB417C">
    <w:pPr>
      <w:pStyle w:val="DocID"/>
    </w:pPr>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7659" w14:textId="431BD135" w:rsidR="004B4873" w:rsidRDefault="007F3169" w:rsidP="00BB417C">
    <w:pPr>
      <w:pStyle w:val="Footer"/>
      <w:spacing w:before="120" w:after="0"/>
      <w:jc w:val="right"/>
    </w:pPr>
    <w:r>
      <w:rPr>
        <w:noProof/>
      </w:rPr>
      <mc:AlternateContent>
        <mc:Choice Requires="wps">
          <w:drawing>
            <wp:anchor distT="45720" distB="45720" distL="114300" distR="114300" simplePos="0" relativeHeight="251661312" behindDoc="0" locked="0" layoutInCell="1" allowOverlap="1" wp14:anchorId="1D35BB3E" wp14:editId="012835F0">
              <wp:simplePos x="0" y="0"/>
              <wp:positionH relativeFrom="margin">
                <wp:posOffset>-123825</wp:posOffset>
              </wp:positionH>
              <wp:positionV relativeFrom="paragraph">
                <wp:posOffset>116205</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B842A" w14:textId="3CEBBC9D" w:rsidR="007F3169" w:rsidRDefault="007F3169">
                          <w:r>
                            <w:t>12/8/2022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35BB3E" id="_x0000_t202" coordsize="21600,21600" o:spt="202" path="m,l,21600r21600,l21600,xe">
              <v:stroke joinstyle="miter"/>
              <v:path gradientshapeok="t" o:connecttype="rect"/>
            </v:shapetype>
            <v:shape id="Text Box 2" o:spid="_x0000_s1026" type="#_x0000_t202" style="position:absolute;left:0;text-align:left;margin-left:-9.75pt;margin-top:9.1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" stroked="f">
              <v:textbox style="mso-fit-shape-to-text:t">
                <w:txbxContent>
                  <w:p w14:paraId="21EB842A" w14:textId="3CEBBC9D" w:rsidR="007F3169" w:rsidRDefault="007F3169">
                    <w:r>
                      <w:t>12/8/2022</w:t>
                    </w:r>
                  </w:p>
                </w:txbxContent>
              </v:textbox>
              <w10:wrap type="square" anchorx="margin"/>
            </v:shape>
          </w:pict>
        </mc:Fallback>
      </mc:AlternateContent>
    </w:r>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r w:rsidR="00BB417C">
              <w:fldChar w:fldCharType="begin"/>
            </w:r>
            <w:r w:rsidR="00BB417C">
              <w:instrText xml:space="preserve"> PAGE   \* MERGEFORMAT </w:instrText>
            </w:r>
            <w:r w:rsidR="00BB417C">
              <w:fldChar w:fldCharType="separate"/>
            </w:r>
            <w:r w:rsidR="00BB417C">
              <w:t>2</w:t>
            </w:r>
            <w:r w:rsidR="00BB417C">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701D33A8" w:rsidR="003444D7" w:rsidRPr="005D3E5F" w:rsidRDefault="007F3169" w:rsidP="00BB417C">
    <w:pPr>
      <w:pStyle w:val="Footer"/>
      <w:tabs>
        <w:tab w:val="clear" w:pos="4680"/>
        <w:tab w:val="clear" w:pos="9360"/>
        <w:tab w:val="right" w:pos="10800"/>
      </w:tabs>
      <w:spacing w:before="120" w:after="0"/>
      <w:rPr>
        <w:noProof/>
      </w:rPr>
    </w:pPr>
    <w:r>
      <w:t>12</w:t>
    </w:r>
    <w:r w:rsidR="00BB417C">
      <w:t>/</w:t>
    </w:r>
    <w:r>
      <w:t>8</w:t>
    </w:r>
    <w:r w:rsidR="00BB417C">
      <w:t>/2022</w:t>
    </w:r>
    <w:r w:rsidR="00BB417C">
      <w:tab/>
    </w:r>
    <w:sdt>
      <w:sdtPr>
        <w:id w:val="-178583713"/>
        <w:docPartObj>
          <w:docPartGallery w:val="Page Numbers (Bottom of Page)"/>
          <w:docPartUnique/>
        </w:docPartObj>
      </w:sdtPr>
      <w:sdtEndPr>
        <w:rPr>
          <w:noProof/>
        </w:rPr>
      </w:sdtEndPr>
      <w:sdtContent>
        <w:r w:rsidR="00BB417C">
          <w:fldChar w:fldCharType="begin"/>
        </w:r>
        <w:r w:rsidR="00BB417C">
          <w:instrText xml:space="preserve"> PAGE   \* MERGEFORMAT </w:instrText>
        </w:r>
        <w:r w:rsidR="00BB417C">
          <w:fldChar w:fldCharType="separate"/>
        </w:r>
        <w:r w:rsidR="00BB417C">
          <w:t>2</w:t>
        </w:r>
        <w:r w:rsidR="00BB417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3610" w14:textId="77777777" w:rsidR="007E6A02" w:rsidRDefault="007E6A02" w:rsidP="00BB417C">
      <w:r>
        <w:separator/>
      </w:r>
    </w:p>
    <w:p w14:paraId="1930B21F" w14:textId="77777777" w:rsidR="007E6A02" w:rsidRDefault="007E6A02" w:rsidP="00BB417C"/>
    <w:p w14:paraId="7C2E0C7A" w14:textId="77777777" w:rsidR="007E6A02" w:rsidRDefault="007E6A02" w:rsidP="00BB417C"/>
  </w:footnote>
  <w:footnote w:type="continuationSeparator" w:id="0">
    <w:p w14:paraId="09BF020F" w14:textId="77777777" w:rsidR="007E6A02" w:rsidRDefault="007E6A02" w:rsidP="00BB417C">
      <w:r>
        <w:continuationSeparator/>
      </w:r>
    </w:p>
    <w:p w14:paraId="7FBEABA6" w14:textId="77777777" w:rsidR="007E6A02" w:rsidRDefault="007E6A02" w:rsidP="00BB417C"/>
    <w:p w14:paraId="50CBF3F8" w14:textId="77777777" w:rsidR="007E6A02" w:rsidRDefault="007E6A02" w:rsidP="00BB4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9F95" w14:textId="77777777" w:rsidR="00BB417C" w:rsidRPr="00BB417C" w:rsidRDefault="00BB417C" w:rsidP="00BB417C">
    <w:pPr>
      <w:tabs>
        <w:tab w:val="center" w:pos="4680"/>
        <w:tab w:val="right" w:pos="9360"/>
      </w:tabs>
      <w:spacing w:before="120" w:after="0" w:line="240" w:lineRule="auto"/>
      <w:rPr>
        <w:rFonts w:ascii="Calibri" w:eastAsia="Calibri" w:hAnsi="Calibri" w:cs="Times New Roman"/>
        <w:color w:val="FFFFFF"/>
        <w:sz w:val="32"/>
        <w:szCs w:val="32"/>
      </w:rPr>
    </w:pPr>
    <w:r w:rsidRPr="00BB417C">
      <w:rPr>
        <w:rFonts w:ascii="Calibri" w:eastAsia="Calibri" w:hAnsi="Calibri" w:cs="Times New Roman"/>
        <w:noProof/>
        <w:color w:val="FFFFFF"/>
        <w:sz w:val="32"/>
        <w:szCs w:val="32"/>
      </w:rPr>
      <w:drawing>
        <wp:anchor distT="0" distB="0" distL="114300" distR="114300" simplePos="0" relativeHeight="251659264" behindDoc="1" locked="0" layoutInCell="1" allowOverlap="1" wp14:anchorId="732A04D2" wp14:editId="2E07E97F">
          <wp:simplePos x="0" y="0"/>
          <wp:positionH relativeFrom="margin">
            <wp:posOffset>133</wp:posOffset>
          </wp:positionH>
          <wp:positionV relativeFrom="page">
            <wp:posOffset>210938</wp:posOffset>
          </wp:positionV>
          <wp:extent cx="6858000" cy="841903"/>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58000" cy="841903"/>
                  </a:xfrm>
                  <a:prstGeom prst="rect">
                    <a:avLst/>
                  </a:prstGeom>
                </pic:spPr>
              </pic:pic>
            </a:graphicData>
          </a:graphic>
          <wp14:sizeRelH relativeFrom="page">
            <wp14:pctWidth>0</wp14:pctWidth>
          </wp14:sizeRelH>
          <wp14:sizeRelV relativeFrom="page">
            <wp14:pctHeight>0</wp14:pctHeight>
          </wp14:sizeRelV>
        </wp:anchor>
      </w:drawing>
    </w:r>
    <w:r w:rsidRPr="00BB417C">
      <w:rPr>
        <w:rFonts w:ascii="Calibri" w:eastAsia="Calibri" w:hAnsi="Calibri" w:cs="Times New Roman"/>
        <w:color w:val="FFFFFF"/>
        <w:sz w:val="32"/>
        <w:szCs w:val="32"/>
      </w:rPr>
      <w:t xml:space="preserve"> Regional Housing Technical Assistance Program</w:t>
    </w:r>
  </w:p>
  <w:p w14:paraId="2B1F678B" w14:textId="4DDBF911" w:rsidR="005D3E5F" w:rsidRDefault="005D3E5F" w:rsidP="00BB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ACAA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981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38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D45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28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8DE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A5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66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40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50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C7776"/>
    <w:multiLevelType w:val="hybridMultilevel"/>
    <w:tmpl w:val="88F0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D41D12"/>
    <w:multiLevelType w:val="multilevel"/>
    <w:tmpl w:val="5C6E6A5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F70B2"/>
    <w:multiLevelType w:val="multilevel"/>
    <w:tmpl w:val="43684052"/>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8929B9"/>
    <w:multiLevelType w:val="hybridMultilevel"/>
    <w:tmpl w:val="9062A0EA"/>
    <w:lvl w:ilvl="0" w:tplc="D4E01670">
      <w:start w:val="1"/>
      <w:numFmt w:val="bullet"/>
      <w:lvlText w:val=""/>
      <w:lvlJc w:val="left"/>
      <w:pPr>
        <w:ind w:left="720" w:hanging="360"/>
      </w:pPr>
      <w:rPr>
        <w:rFonts w:ascii="Symbol" w:hAnsi="Symbol" w:hint="default"/>
      </w:rPr>
    </w:lvl>
    <w:lvl w:ilvl="1" w:tplc="335CD02E">
      <w:start w:val="1"/>
      <w:numFmt w:val="bullet"/>
      <w:lvlText w:val="o"/>
      <w:lvlJc w:val="left"/>
      <w:pPr>
        <w:ind w:left="1440" w:hanging="360"/>
      </w:pPr>
      <w:rPr>
        <w:rFonts w:ascii="Courier New" w:hAnsi="Courier New" w:cs="Courier New" w:hint="default"/>
      </w:rPr>
    </w:lvl>
    <w:lvl w:ilvl="2" w:tplc="F7CCF23A">
      <w:start w:val="1"/>
      <w:numFmt w:val="bullet"/>
      <w:lvlText w:val=""/>
      <w:lvlJc w:val="left"/>
      <w:pPr>
        <w:ind w:left="2160" w:hanging="360"/>
      </w:pPr>
      <w:rPr>
        <w:rFonts w:ascii="Wingdings" w:hAnsi="Wingdings" w:hint="default"/>
      </w:rPr>
    </w:lvl>
    <w:lvl w:ilvl="3" w:tplc="2064F3FE" w:tentative="1">
      <w:start w:val="1"/>
      <w:numFmt w:val="bullet"/>
      <w:lvlText w:val=""/>
      <w:lvlJc w:val="left"/>
      <w:pPr>
        <w:ind w:left="2880" w:hanging="360"/>
      </w:pPr>
      <w:rPr>
        <w:rFonts w:ascii="Symbol" w:hAnsi="Symbol" w:hint="default"/>
      </w:rPr>
    </w:lvl>
    <w:lvl w:ilvl="4" w:tplc="14D22754" w:tentative="1">
      <w:start w:val="1"/>
      <w:numFmt w:val="bullet"/>
      <w:lvlText w:val="o"/>
      <w:lvlJc w:val="left"/>
      <w:pPr>
        <w:ind w:left="3600" w:hanging="360"/>
      </w:pPr>
      <w:rPr>
        <w:rFonts w:ascii="Courier New" w:hAnsi="Courier New" w:cs="Courier New" w:hint="default"/>
      </w:rPr>
    </w:lvl>
    <w:lvl w:ilvl="5" w:tplc="1B6C7E38" w:tentative="1">
      <w:start w:val="1"/>
      <w:numFmt w:val="bullet"/>
      <w:lvlText w:val=""/>
      <w:lvlJc w:val="left"/>
      <w:pPr>
        <w:ind w:left="4320" w:hanging="360"/>
      </w:pPr>
      <w:rPr>
        <w:rFonts w:ascii="Wingdings" w:hAnsi="Wingdings" w:hint="default"/>
      </w:rPr>
    </w:lvl>
    <w:lvl w:ilvl="6" w:tplc="A0D44F0A" w:tentative="1">
      <w:start w:val="1"/>
      <w:numFmt w:val="bullet"/>
      <w:lvlText w:val=""/>
      <w:lvlJc w:val="left"/>
      <w:pPr>
        <w:ind w:left="5040" w:hanging="360"/>
      </w:pPr>
      <w:rPr>
        <w:rFonts w:ascii="Symbol" w:hAnsi="Symbol" w:hint="default"/>
      </w:rPr>
    </w:lvl>
    <w:lvl w:ilvl="7" w:tplc="86D64052" w:tentative="1">
      <w:start w:val="1"/>
      <w:numFmt w:val="bullet"/>
      <w:lvlText w:val="o"/>
      <w:lvlJc w:val="left"/>
      <w:pPr>
        <w:ind w:left="5760" w:hanging="360"/>
      </w:pPr>
      <w:rPr>
        <w:rFonts w:ascii="Courier New" w:hAnsi="Courier New" w:cs="Courier New" w:hint="default"/>
      </w:rPr>
    </w:lvl>
    <w:lvl w:ilvl="8" w:tplc="D71830F8" w:tentative="1">
      <w:start w:val="1"/>
      <w:numFmt w:val="bullet"/>
      <w:lvlText w:val=""/>
      <w:lvlJc w:val="left"/>
      <w:pPr>
        <w:ind w:left="6480" w:hanging="360"/>
      </w:pPr>
      <w:rPr>
        <w:rFonts w:ascii="Wingdings" w:hAnsi="Wingdings" w:hint="default"/>
      </w:rPr>
    </w:lvl>
  </w:abstractNum>
  <w:abstractNum w:abstractNumId="14"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60761D2"/>
    <w:multiLevelType w:val="multilevel"/>
    <w:tmpl w:val="07E2C9CA"/>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51542">
    <w:abstractNumId w:val="14"/>
  </w:num>
  <w:num w:numId="2" w16cid:durableId="19863359">
    <w:abstractNumId w:val="14"/>
  </w:num>
  <w:num w:numId="3" w16cid:durableId="1190531261">
    <w:abstractNumId w:val="14"/>
  </w:num>
  <w:num w:numId="4" w16cid:durableId="1488666285">
    <w:abstractNumId w:val="14"/>
  </w:num>
  <w:num w:numId="5" w16cid:durableId="1397821549">
    <w:abstractNumId w:val="14"/>
  </w:num>
  <w:num w:numId="6" w16cid:durableId="845746787">
    <w:abstractNumId w:val="9"/>
  </w:num>
  <w:num w:numId="7" w16cid:durableId="1303001110">
    <w:abstractNumId w:val="7"/>
  </w:num>
  <w:num w:numId="8" w16cid:durableId="364603768">
    <w:abstractNumId w:val="6"/>
  </w:num>
  <w:num w:numId="9" w16cid:durableId="794367023">
    <w:abstractNumId w:val="5"/>
  </w:num>
  <w:num w:numId="10" w16cid:durableId="1516460927">
    <w:abstractNumId w:val="4"/>
  </w:num>
  <w:num w:numId="11" w16cid:durableId="327295304">
    <w:abstractNumId w:val="8"/>
  </w:num>
  <w:num w:numId="12" w16cid:durableId="161043753">
    <w:abstractNumId w:val="3"/>
  </w:num>
  <w:num w:numId="13" w16cid:durableId="105465954">
    <w:abstractNumId w:val="2"/>
  </w:num>
  <w:num w:numId="14" w16cid:durableId="820316806">
    <w:abstractNumId w:val="1"/>
  </w:num>
  <w:num w:numId="15" w16cid:durableId="785349679">
    <w:abstractNumId w:val="0"/>
  </w:num>
  <w:num w:numId="16" w16cid:durableId="594440846">
    <w:abstractNumId w:val="13"/>
  </w:num>
  <w:num w:numId="17" w16cid:durableId="883056475">
    <w:abstractNumId w:val="10"/>
  </w:num>
  <w:num w:numId="18" w16cid:durableId="173881734">
    <w:abstractNumId w:val="15"/>
  </w:num>
  <w:num w:numId="19" w16cid:durableId="1692797501">
    <w:abstractNumId w:val="11"/>
  </w:num>
  <w:num w:numId="20" w16cid:durableId="484247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357CB"/>
    <w:rsid w:val="00084889"/>
    <w:rsid w:val="00092CC2"/>
    <w:rsid w:val="0012230F"/>
    <w:rsid w:val="00177D40"/>
    <w:rsid w:val="001A0955"/>
    <w:rsid w:val="001B63CC"/>
    <w:rsid w:val="002434F2"/>
    <w:rsid w:val="00251677"/>
    <w:rsid w:val="0025530A"/>
    <w:rsid w:val="00276EC9"/>
    <w:rsid w:val="002770AF"/>
    <w:rsid w:val="00294D08"/>
    <w:rsid w:val="002A6A9B"/>
    <w:rsid w:val="002C00B0"/>
    <w:rsid w:val="002C12F8"/>
    <w:rsid w:val="002F5324"/>
    <w:rsid w:val="00306504"/>
    <w:rsid w:val="0031716F"/>
    <w:rsid w:val="003228C3"/>
    <w:rsid w:val="003349BE"/>
    <w:rsid w:val="003444D7"/>
    <w:rsid w:val="00351454"/>
    <w:rsid w:val="00374DCD"/>
    <w:rsid w:val="00377D10"/>
    <w:rsid w:val="00387E60"/>
    <w:rsid w:val="00397778"/>
    <w:rsid w:val="003C163B"/>
    <w:rsid w:val="004308BB"/>
    <w:rsid w:val="004546F0"/>
    <w:rsid w:val="00465745"/>
    <w:rsid w:val="004A3368"/>
    <w:rsid w:val="004B4873"/>
    <w:rsid w:val="004C014B"/>
    <w:rsid w:val="004D197A"/>
    <w:rsid w:val="00582923"/>
    <w:rsid w:val="00593FC2"/>
    <w:rsid w:val="005A3817"/>
    <w:rsid w:val="005C076C"/>
    <w:rsid w:val="005D3E5F"/>
    <w:rsid w:val="005E0923"/>
    <w:rsid w:val="006053AF"/>
    <w:rsid w:val="006427B5"/>
    <w:rsid w:val="00661F47"/>
    <w:rsid w:val="006648A8"/>
    <w:rsid w:val="006E5CD7"/>
    <w:rsid w:val="006F5332"/>
    <w:rsid w:val="00710CE6"/>
    <w:rsid w:val="00734015"/>
    <w:rsid w:val="007727ED"/>
    <w:rsid w:val="0078530B"/>
    <w:rsid w:val="0078781A"/>
    <w:rsid w:val="007C38D5"/>
    <w:rsid w:val="007C65CF"/>
    <w:rsid w:val="007D73D9"/>
    <w:rsid w:val="007E6A02"/>
    <w:rsid w:val="007F3169"/>
    <w:rsid w:val="0080379B"/>
    <w:rsid w:val="008337FC"/>
    <w:rsid w:val="008447E2"/>
    <w:rsid w:val="0085491E"/>
    <w:rsid w:val="00861B9C"/>
    <w:rsid w:val="008F746C"/>
    <w:rsid w:val="00906F39"/>
    <w:rsid w:val="009107E5"/>
    <w:rsid w:val="00925E5A"/>
    <w:rsid w:val="009446D7"/>
    <w:rsid w:val="0096142F"/>
    <w:rsid w:val="00974609"/>
    <w:rsid w:val="009806C9"/>
    <w:rsid w:val="009F104F"/>
    <w:rsid w:val="00A0393B"/>
    <w:rsid w:val="00A45AF3"/>
    <w:rsid w:val="00A75264"/>
    <w:rsid w:val="00A95AEF"/>
    <w:rsid w:val="00AA4D38"/>
    <w:rsid w:val="00AB1550"/>
    <w:rsid w:val="00AC1330"/>
    <w:rsid w:val="00AC347E"/>
    <w:rsid w:val="00B11182"/>
    <w:rsid w:val="00B168C7"/>
    <w:rsid w:val="00B5228B"/>
    <w:rsid w:val="00B77630"/>
    <w:rsid w:val="00BB417C"/>
    <w:rsid w:val="00BD3B1D"/>
    <w:rsid w:val="00BE0214"/>
    <w:rsid w:val="00C2015A"/>
    <w:rsid w:val="00C213A1"/>
    <w:rsid w:val="00C21814"/>
    <w:rsid w:val="00C41742"/>
    <w:rsid w:val="00C922B8"/>
    <w:rsid w:val="00CA3C07"/>
    <w:rsid w:val="00CC6977"/>
    <w:rsid w:val="00CE12BC"/>
    <w:rsid w:val="00CE5BE1"/>
    <w:rsid w:val="00D0102B"/>
    <w:rsid w:val="00D51C45"/>
    <w:rsid w:val="00D57E15"/>
    <w:rsid w:val="00D85F8F"/>
    <w:rsid w:val="00D87FE0"/>
    <w:rsid w:val="00DA6298"/>
    <w:rsid w:val="00E033B7"/>
    <w:rsid w:val="00E41133"/>
    <w:rsid w:val="00E472C6"/>
    <w:rsid w:val="00E511EF"/>
    <w:rsid w:val="00E75142"/>
    <w:rsid w:val="00ED5E38"/>
    <w:rsid w:val="00F013FB"/>
    <w:rsid w:val="00F15506"/>
    <w:rsid w:val="00F179BA"/>
    <w:rsid w:val="00F47278"/>
    <w:rsid w:val="00F473EA"/>
    <w:rsid w:val="00FC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C5881"/>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F2"/>
    <w:pPr>
      <w:spacing w:after="24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FC0A2C"/>
    <w:pPr>
      <w:keepNext/>
      <w:keepLines/>
      <w:spacing w:before="120" w:after="60"/>
      <w:outlineLvl w:val="1"/>
    </w:pPr>
    <w:rPr>
      <w:rFonts w:cs="Calibri"/>
      <w:b/>
      <w:bCs/>
      <w:color w:val="1374A9" w:themeColor="background1"/>
      <w:sz w:val="34"/>
      <w:szCs w:val="34"/>
    </w:rPr>
  </w:style>
  <w:style w:type="paragraph" w:styleId="Heading3">
    <w:name w:val="heading 3"/>
    <w:basedOn w:val="Heading2"/>
    <w:link w:val="Heading3Char"/>
    <w:qFormat/>
    <w:rsid w:val="00FC0A2C"/>
    <w:pPr>
      <w:outlineLvl w:val="2"/>
    </w:pPr>
    <w:rPr>
      <w:color w:val="000000"/>
      <w:sz w:val="28"/>
      <w:szCs w:val="28"/>
    </w:rPr>
  </w:style>
  <w:style w:type="paragraph" w:styleId="Heading4">
    <w:name w:val="heading 4"/>
    <w:basedOn w:val="Heading3"/>
    <w:link w:val="Heading4Char"/>
    <w:qFormat/>
    <w:rsid w:val="00FC0A2C"/>
    <w:pPr>
      <w:outlineLvl w:val="3"/>
    </w:pPr>
    <w:rPr>
      <w:sz w:val="22"/>
      <w:szCs w:val="22"/>
    </w:rPr>
  </w:style>
  <w:style w:type="paragraph" w:styleId="Heading5">
    <w:name w:val="heading 5"/>
    <w:basedOn w:val="Normal"/>
    <w:link w:val="Heading5Char"/>
    <w:qFormat/>
    <w:rsid w:val="0080379B"/>
    <w:pPr>
      <w:numPr>
        <w:ilvl w:val="4"/>
        <w:numId w:val="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FC0A2C"/>
    <w:rPr>
      <w:rFonts w:ascii="Calibri" w:hAnsi="Calibri" w:cs="Calibri"/>
      <w:b/>
      <w:bCs/>
      <w:color w:val="1374A9" w:themeColor="background1"/>
      <w:sz w:val="34"/>
      <w:szCs w:val="34"/>
    </w:rPr>
  </w:style>
  <w:style w:type="character" w:customStyle="1" w:styleId="Heading3Char">
    <w:name w:val="Heading 3 Char"/>
    <w:basedOn w:val="DefaultParagraphFont"/>
    <w:link w:val="Heading3"/>
    <w:rsid w:val="00FC0A2C"/>
    <w:rPr>
      <w:rFonts w:ascii="Calibri" w:hAnsi="Calibri" w:cs="Calibri"/>
      <w:b/>
      <w:bCs/>
      <w:color w:val="000000"/>
      <w:sz w:val="28"/>
      <w:szCs w:val="28"/>
    </w:rPr>
  </w:style>
  <w:style w:type="character" w:customStyle="1" w:styleId="Heading4Char">
    <w:name w:val="Heading 4 Char"/>
    <w:basedOn w:val="DefaultParagraphFont"/>
    <w:link w:val="Heading4"/>
    <w:rsid w:val="00FC0A2C"/>
    <w:rPr>
      <w:rFonts w:ascii="Calibri" w:hAnsi="Calibri" w:cs="Calibri"/>
      <w:b/>
      <w:bCs/>
      <w:color w:val="000000"/>
      <w:sz w:val="22"/>
      <w:szCs w:val="22"/>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paragraph" w:customStyle="1" w:styleId="DocID">
    <w:name w:val="Doc ID"/>
    <w:basedOn w:val="Normal"/>
    <w:link w:val="DocIDChar"/>
    <w:rsid w:val="003444D7"/>
    <w:pPr>
      <w:tabs>
        <w:tab w:val="right" w:pos="9360"/>
      </w:tabs>
      <w:spacing w:line="200" w:lineRule="exact"/>
    </w:pPr>
    <w:rPr>
      <w:bCs/>
      <w:sz w:val="16"/>
    </w:rPr>
  </w:style>
  <w:style w:type="character" w:customStyle="1" w:styleId="DocIDChar">
    <w:name w:val="Doc ID Char"/>
    <w:basedOn w:val="DefaultParagraphFont"/>
    <w:link w:val="DocID"/>
    <w:rsid w:val="003444D7"/>
    <w:rPr>
      <w:bCs/>
      <w:sz w:val="16"/>
      <w:szCs w:val="24"/>
    </w:rPr>
  </w:style>
  <w:style w:type="paragraph" w:styleId="FootnoteText">
    <w:name w:val="footnote text"/>
    <w:basedOn w:val="Normal"/>
    <w:link w:val="FootnoteTextChar"/>
    <w:semiHidden/>
    <w:unhideWhenUsed/>
    <w:rsid w:val="003228C3"/>
    <w:rPr>
      <w:rFonts w:eastAsia="Calibri"/>
      <w:sz w:val="20"/>
      <w:szCs w:val="20"/>
    </w:rPr>
  </w:style>
  <w:style w:type="character" w:customStyle="1" w:styleId="FootnoteTextChar">
    <w:name w:val="Footnote Text Char"/>
    <w:basedOn w:val="DefaultParagraphFont"/>
    <w:link w:val="FootnoteText"/>
    <w:semiHidden/>
    <w:rsid w:val="003228C3"/>
    <w:rPr>
      <w:rFonts w:ascii="Calibri" w:eastAsia="Calibri" w:hAnsi="Calibri"/>
    </w:rPr>
  </w:style>
  <w:style w:type="character" w:styleId="FootnoteReference">
    <w:name w:val="footnote reference"/>
    <w:basedOn w:val="DefaultParagraphFont"/>
    <w:semiHidden/>
    <w:unhideWhenUsed/>
    <w:rsid w:val="003228C3"/>
    <w:rPr>
      <w:vertAlign w:val="superscript"/>
    </w:rPr>
  </w:style>
  <w:style w:type="paragraph" w:styleId="ListParagraph">
    <w:name w:val="List Paragraph"/>
    <w:basedOn w:val="Normal"/>
    <w:link w:val="ListParagraphChar"/>
    <w:uiPriority w:val="34"/>
    <w:qFormat/>
    <w:rsid w:val="003228C3"/>
    <w:pPr>
      <w:ind w:left="720"/>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qFormat/>
    <w:rsid w:val="00B5228B"/>
    <w:pPr>
      <w:ind w:left="163"/>
    </w:pPr>
  </w:style>
  <w:style w:type="paragraph" w:customStyle="1" w:styleId="Level2">
    <w:name w:val="Level 2"/>
    <w:basedOn w:val="Tabletext"/>
    <w:qFormat/>
    <w:rsid w:val="00B5228B"/>
    <w:pPr>
      <w:ind w:left="343"/>
    </w:pPr>
  </w:style>
  <w:style w:type="paragraph" w:customStyle="1" w:styleId="Level4">
    <w:name w:val="Level 4"/>
    <w:basedOn w:val="Normal"/>
    <w:qFormat/>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qFormat/>
    <w:rsid w:val="004308BB"/>
    <w:rPr>
      <w:b/>
      <w:bCs/>
      <w:color w:val="1174A9"/>
    </w:rPr>
  </w:style>
  <w:style w:type="paragraph" w:customStyle="1" w:styleId="Tableheading">
    <w:name w:val="Table heading"/>
    <w:basedOn w:val="Normal"/>
    <w:qFormat/>
    <w:rsid w:val="00FC0A2C"/>
    <w:pPr>
      <w:spacing w:after="0"/>
    </w:pPr>
    <w:rPr>
      <w:b/>
      <w:bCs/>
      <w:color w:val="FFFFFF"/>
      <w:sz w:val="24"/>
    </w:rPr>
  </w:style>
  <w:style w:type="paragraph" w:customStyle="1" w:styleId="Boxedtext">
    <w:name w:val="Boxed text"/>
    <w:basedOn w:val="Normal"/>
    <w:qFormat/>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character" w:customStyle="1" w:styleId="ListParagraphChar">
    <w:name w:val="List Paragraph Char"/>
    <w:basedOn w:val="DefaultParagraphFont"/>
    <w:link w:val="ListParagraph"/>
    <w:uiPriority w:val="34"/>
    <w:rsid w:val="002434F2"/>
    <w:rPr>
      <w:rFonts w:asciiTheme="minorHAnsi" w:eastAsiaTheme="minorHAnsi" w:hAnsiTheme="minorHAnsi" w:cstheme="minorBidi"/>
      <w:sz w:val="22"/>
      <w:szCs w:val="22"/>
    </w:rPr>
  </w:style>
  <w:style w:type="character" w:styleId="Hyperlink">
    <w:name w:val="Hyperlink"/>
    <w:basedOn w:val="DefaultParagraphFont"/>
    <w:unhideWhenUsed/>
    <w:rsid w:val="00AA4D38"/>
    <w:rPr>
      <w:color w:val="70A84D" w:themeColor="hyperlink"/>
      <w:u w:val="single"/>
    </w:rPr>
  </w:style>
  <w:style w:type="character" w:styleId="UnresolvedMention">
    <w:name w:val="Unresolved Mention"/>
    <w:basedOn w:val="DefaultParagraphFont"/>
    <w:rsid w:val="00AA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765">
      <w:bodyDiv w:val="1"/>
      <w:marLeft w:val="0"/>
      <w:marRight w:val="0"/>
      <w:marTop w:val="0"/>
      <w:marBottom w:val="0"/>
      <w:divBdr>
        <w:top w:val="none" w:sz="0" w:space="0" w:color="auto"/>
        <w:left w:val="none" w:sz="0" w:space="0" w:color="auto"/>
        <w:bottom w:val="none" w:sz="0" w:space="0" w:color="auto"/>
        <w:right w:val="none" w:sz="0" w:space="0" w:color="auto"/>
      </w:divBdr>
    </w:div>
    <w:div w:id="678390830">
      <w:bodyDiv w:val="1"/>
      <w:marLeft w:val="0"/>
      <w:marRight w:val="0"/>
      <w:marTop w:val="0"/>
      <w:marBottom w:val="0"/>
      <w:divBdr>
        <w:top w:val="none" w:sz="0" w:space="0" w:color="auto"/>
        <w:left w:val="none" w:sz="0" w:space="0" w:color="auto"/>
        <w:bottom w:val="none" w:sz="0" w:space="0" w:color="auto"/>
        <w:right w:val="none" w:sz="0" w:space="0" w:color="auto"/>
      </w:divBdr>
    </w:div>
    <w:div w:id="1989162446">
      <w:bodyDiv w:val="1"/>
      <w:marLeft w:val="0"/>
      <w:marRight w:val="0"/>
      <w:marTop w:val="0"/>
      <w:marBottom w:val="0"/>
      <w:divBdr>
        <w:top w:val="none" w:sz="0" w:space="0" w:color="auto"/>
        <w:left w:val="none" w:sz="0" w:space="0" w:color="auto"/>
        <w:bottom w:val="none" w:sz="0" w:space="0" w:color="auto"/>
        <w:right w:val="none" w:sz="0" w:space="0" w:color="auto"/>
      </w:divBdr>
    </w:div>
    <w:div w:id="20147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bag.ca.gov/tools-resources/digital-library/2022-new-housing-legislation-summaryfinal111622pdf" TargetMode="External"/><Relationship Id="rId4" Type="http://schemas.openxmlformats.org/officeDocument/2006/relationships/webSettings" Target="webSettings.xml"/><Relationship Id="rId9" Type="http://schemas.openxmlformats.org/officeDocument/2006/relationships/hyperlink" Target="https://abag.ca.gov/tools-resources/digital-library/2022-new-housing-legislation-action-item-and-issue-spottin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2022 Housing Element Statutory Provisions Checklist</vt:lpstr>
    </vt:vector>
  </TitlesOfParts>
  <Manager/>
  <Company/>
  <LinksUpToDate>false</LinksUpToDate>
  <CharactersWithSpaces>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Housing Element Statutory Provisions Checklist</dc:title>
  <dc:subject/>
  <dc:creator>Regional Housing Technical Assistance Program</dc:creator>
  <cp:keywords/>
  <dc:description/>
  <cp:lastModifiedBy>Clair A. McDevitt</cp:lastModifiedBy>
  <cp:revision>2</cp:revision>
  <dcterms:created xsi:type="dcterms:W3CDTF">2022-12-13T00:16:00Z</dcterms:created>
  <dcterms:modified xsi:type="dcterms:W3CDTF">2022-12-13T00:16:00Z</dcterms:modified>
  <cp:category/>
</cp:coreProperties>
</file>