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9674" w14:textId="76BA8408" w:rsidR="00C46D1C" w:rsidRPr="00C51AD5" w:rsidRDefault="00C51AD5" w:rsidP="00C51AD5">
      <w:r w:rsidRPr="00F433B0">
        <w:rPr>
          <w:noProof/>
        </w:rPr>
        <w:drawing>
          <wp:inline distT="0" distB="0" distL="0" distR="0" wp14:anchorId="6C680DA1" wp14:editId="37EB6F5A">
            <wp:extent cx="6858000" cy="1714187"/>
            <wp:effectExtent l="0" t="0" r="0" b="635"/>
            <wp:docPr id="1" name="Graphic 1" descr="Header with ABAG logo and logo for Technical Assistance for Local Planning: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96438" name="Graphic 1" descr="Header with ABAG logo and logo for Technical Assistance for Local Planning: Hous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B9C3" w14:textId="0D504A4A" w:rsidR="004B72CA" w:rsidRPr="004B72CA" w:rsidRDefault="00000000" w:rsidP="00C51AD5">
      <w:pPr>
        <w:pStyle w:val="Title"/>
      </w:pPr>
      <w:r w:rsidRPr="00C51AD5">
        <w:t>Consequences of Late Adoption of the Housing Element</w:t>
      </w:r>
    </w:p>
    <w:p w14:paraId="7CB27F48" w14:textId="2437D76E" w:rsidR="00600859" w:rsidRPr="00600859" w:rsidRDefault="00000000" w:rsidP="00C51AD5">
      <w:pPr>
        <w:pStyle w:val="Subtitle"/>
      </w:pPr>
      <w:r w:rsidRPr="00C51AD5">
        <w:t>Technical Memo</w:t>
      </w:r>
      <w:r w:rsidR="00DF2D9A" w:rsidRPr="00C51AD5">
        <w:t>, July 2022</w:t>
      </w:r>
    </w:p>
    <w:p w14:paraId="001D33FC" w14:textId="7AB07BF5" w:rsidR="00373A48" w:rsidRPr="00C51AD5" w:rsidRDefault="00000000" w:rsidP="00C51AD5">
      <w:pPr>
        <w:pStyle w:val="Heading1"/>
      </w:pPr>
      <w:r w:rsidRPr="00C51AD5">
        <w:t>Requirements for Adoption of the Housing Element</w:t>
      </w:r>
      <w:r w:rsidR="00242E49" w:rsidRPr="00C51AD5">
        <w:t xml:space="preserve"> and Required Rezoning</w:t>
      </w:r>
    </w:p>
    <w:p w14:paraId="44255AC4" w14:textId="3C43E37F" w:rsidR="00127D52" w:rsidRPr="00127D52" w:rsidRDefault="00000000" w:rsidP="00C51AD5">
      <w:r w:rsidRPr="00C51AD5">
        <w:t>AB 1398 (Chapter 358, Statutes of 2020) amended the provisions of state housing element law related to consequences of adopting a housing element after the due date</w:t>
      </w:r>
      <w:r w:rsidR="009F73B0" w:rsidRPr="00C51AD5">
        <w:t xml:space="preserve">. The current deadline for jurisdictions in the </w:t>
      </w:r>
      <w:r w:rsidRPr="00C51AD5">
        <w:t>nine counties that are members of the Association of Bay Area Governments (ABAG)</w:t>
      </w:r>
      <w:r w:rsidR="009F73B0" w:rsidRPr="00C51AD5">
        <w:t xml:space="preserve"> is January 31, 2023</w:t>
      </w:r>
      <w:r w:rsidRPr="00C51AD5">
        <w:t>.</w:t>
      </w:r>
      <w:r w:rsidR="00C51AD5" w:rsidRPr="00127D52">
        <w:t xml:space="preserve"> </w:t>
      </w:r>
    </w:p>
    <w:p w14:paraId="2B93D959" w14:textId="38151B5C" w:rsidR="00306BD9" w:rsidRPr="00C51AD5" w:rsidRDefault="00000000" w:rsidP="00C51AD5">
      <w:pPr>
        <w:pStyle w:val="Heading2"/>
        <w:rPr>
          <w:rStyle w:val="Strong"/>
          <w:b/>
          <w:bCs w:val="0"/>
          <w:sz w:val="28"/>
        </w:rPr>
      </w:pPr>
      <w:r w:rsidRPr="00C51AD5">
        <w:t>Previous Cycle Rules</w:t>
      </w:r>
    </w:p>
    <w:p w14:paraId="45CF8577" w14:textId="4592758C" w:rsidR="00C43D45" w:rsidRPr="003E4593" w:rsidRDefault="00000000" w:rsidP="00C51AD5">
      <w:r w:rsidRPr="00600859">
        <w:t>To understand the new rules</w:t>
      </w:r>
      <w:r>
        <w:t xml:space="preserve"> for adoption of a housing element</w:t>
      </w:r>
      <w:r w:rsidRPr="00600859">
        <w:t xml:space="preserve">, it may be helpful to compare them with those adopted in the last housing element cycle, the fifth cycle, </w:t>
      </w:r>
      <w:r>
        <w:t>when</w:t>
      </w:r>
      <w:r w:rsidRPr="00600859">
        <w:t xml:space="preserve"> housing elements </w:t>
      </w:r>
      <w:r>
        <w:t xml:space="preserve">were </w:t>
      </w:r>
      <w:r w:rsidRPr="00600859">
        <w:t>due in January 2015.</w:t>
      </w:r>
      <w:r w:rsidR="00BA24AC">
        <w:t xml:space="preserve"> </w:t>
      </w:r>
      <w:r w:rsidRPr="00306BD9">
        <w:t xml:space="preserve">In the fifth cycle, if housing elements were not adopted by 120 days after the due date, the </w:t>
      </w:r>
      <w:r>
        <w:t>local jurisdiction</w:t>
      </w:r>
      <w:r w:rsidRPr="00306BD9">
        <w:t xml:space="preserve"> was then required to prepare a new housing element every four years, rather than every eight years. Those </w:t>
      </w:r>
      <w:r>
        <w:t>jurisdictions</w:t>
      </w:r>
      <w:r w:rsidRPr="00306BD9">
        <w:t xml:space="preserve"> that adopted housing elements more than 120 days after the due date were required to adopt a mid-cycle housing element in 2019. </w:t>
      </w:r>
    </w:p>
    <w:p w14:paraId="0CC10B18" w14:textId="77777777" w:rsidR="006B001A" w:rsidRDefault="00000000" w:rsidP="006B001A">
      <w:r w:rsidRPr="00306BD9">
        <w:t>Cities and counties tended to view the 120-day period as a “safe harbor” that allowed housing elements to be adopted within that period without consequences.</w:t>
      </w:r>
    </w:p>
    <w:p w14:paraId="35CEE1B1" w14:textId="3A7A9C0A" w:rsidR="008D226C" w:rsidRPr="00C51AD5" w:rsidRDefault="00000000" w:rsidP="006B001A">
      <w:pPr>
        <w:pStyle w:val="Heading2"/>
      </w:pPr>
      <w:r w:rsidRPr="00C51AD5">
        <w:lastRenderedPageBreak/>
        <w:t>New Sixth Cycle Rules</w:t>
      </w:r>
    </w:p>
    <w:p w14:paraId="59CFF801" w14:textId="0D5BA525" w:rsidR="00C51AD5" w:rsidRDefault="00000000" w:rsidP="00C51AD5">
      <w:r w:rsidRPr="00127D52">
        <w:t xml:space="preserve">AB 1398 has </w:t>
      </w:r>
      <w:r w:rsidRPr="00127D52">
        <w:rPr>
          <w:b/>
          <w:bCs/>
        </w:rPr>
        <w:t>eliminated</w:t>
      </w:r>
      <w:r w:rsidRPr="00127D52">
        <w:t xml:space="preserve"> any requirement for a four-year housing element once the Department of Housing and Community Development (HCD) has found a community’s sixth cycle housing element in conformance with state law (Government Code</w:t>
      </w:r>
      <w:r>
        <w:rPr>
          <w:rStyle w:val="FootnoteReference"/>
        </w:rPr>
        <w:footnoteReference w:id="1"/>
      </w:r>
      <w:r w:rsidRPr="00127D52">
        <w:t xml:space="preserve"> </w:t>
      </w:r>
      <w:r w:rsidR="00C22514">
        <w:t>Section</w:t>
      </w:r>
      <w:r w:rsidRPr="00127D52">
        <w:t xml:space="preserve"> 65588(e)(4)(A))</w:t>
      </w:r>
      <w:r w:rsidR="00B85BCA">
        <w:t>.</w:t>
      </w:r>
    </w:p>
    <w:p w14:paraId="737CF111" w14:textId="3619D341" w:rsidR="00C51AD5" w:rsidRDefault="00000000" w:rsidP="00C51AD5">
      <w:r w:rsidRPr="00127D52">
        <w:t>Instead, there are two formal consequences for failing to adopt and receive HCD certification of a housing element within 120 days of the deadline:</w:t>
      </w:r>
    </w:p>
    <w:p w14:paraId="78546943" w14:textId="64B653F7" w:rsidR="00B85BCA" w:rsidRPr="00F51421" w:rsidRDefault="00B85BCA" w:rsidP="00C51AD5">
      <w:pPr>
        <w:pStyle w:val="ListParagraph"/>
        <w:numPr>
          <w:ilvl w:val="0"/>
          <w:numId w:val="4"/>
        </w:numPr>
      </w:pPr>
      <w:r w:rsidRPr="009A352A">
        <w:t xml:space="preserve">If </w:t>
      </w:r>
      <w:r>
        <w:t>a</w:t>
      </w:r>
      <w:r w:rsidRPr="009A352A">
        <w:t xml:space="preserve"> housing element </w:t>
      </w:r>
      <w:r>
        <w:t xml:space="preserve">is not adopted and </w:t>
      </w:r>
      <w:r w:rsidRPr="009A352A">
        <w:t>found by HCD to be in conformance with state law</w:t>
      </w:r>
      <w:r>
        <w:t xml:space="preserve"> </w:t>
      </w:r>
      <w:r w:rsidRPr="009A352A">
        <w:t xml:space="preserve">within 120 days of the due date, then all rezoning required to provide adequate sites must be accomplished within one </w:t>
      </w:r>
      <w:r w:rsidRPr="00F51421">
        <w:t xml:space="preserve">year of the due date (by January 31, </w:t>
      </w:r>
      <w:proofErr w:type="gramStart"/>
      <w:r w:rsidRPr="00F51421">
        <w:t>2024</w:t>
      </w:r>
      <w:proofErr w:type="gramEnd"/>
      <w:r w:rsidRPr="00F51421">
        <w:t xml:space="preserve"> for Bay Area jurisdictions), rather than within three years plus 120 days of the due date (</w:t>
      </w:r>
      <w:r w:rsidR="00C22514">
        <w:t>Section</w:t>
      </w:r>
      <w:r w:rsidRPr="00F51421">
        <w:t xml:space="preserve"> 65588(e)(4)(C)(</w:t>
      </w:r>
      <w:proofErr w:type="spellStart"/>
      <w:r w:rsidRPr="00F51421">
        <w:t>i</w:t>
      </w:r>
      <w:proofErr w:type="spellEnd"/>
      <w:r w:rsidRPr="00F51421">
        <w:t>))</w:t>
      </w:r>
      <w:r>
        <w:t>.</w:t>
      </w:r>
    </w:p>
    <w:p w14:paraId="59572EA4" w14:textId="036FCDAF" w:rsidR="00B85BCA" w:rsidRPr="00F51421" w:rsidRDefault="00B85BCA" w:rsidP="00C51AD5">
      <w:pPr>
        <w:pStyle w:val="ListParagraph"/>
        <w:numPr>
          <w:ilvl w:val="1"/>
          <w:numId w:val="4"/>
        </w:numPr>
      </w:pPr>
      <w:r w:rsidRPr="00F51421">
        <w:t xml:space="preserve">HCD has </w:t>
      </w:r>
      <w:r>
        <w:t>6</w:t>
      </w:r>
      <w:r w:rsidRPr="00F51421">
        <w:t>0 days to review an adopted housing element (</w:t>
      </w:r>
      <w:r w:rsidR="00C22514">
        <w:t>Section</w:t>
      </w:r>
      <w:r w:rsidRPr="00F51421">
        <w:t xml:space="preserve"> </w:t>
      </w:r>
      <w:r w:rsidRPr="005738FB">
        <w:t>65585(b)(3)</w:t>
      </w:r>
      <w:r w:rsidRPr="00F51421">
        <w:t>)</w:t>
      </w:r>
      <w:r>
        <w:t>. A</w:t>
      </w:r>
      <w:r w:rsidRPr="00F51421">
        <w:t xml:space="preserve">ny community desiring to have three years to adopt the necessary zoning must adopt a compliant housing element within </w:t>
      </w:r>
      <w:r>
        <w:t>60</w:t>
      </w:r>
      <w:r w:rsidRPr="00F51421">
        <w:t xml:space="preserve"> days of the due date, or by April 1, 2023.</w:t>
      </w:r>
    </w:p>
    <w:p w14:paraId="67755C84" w14:textId="6D4B8BDF" w:rsidR="00306BD9" w:rsidRPr="00F51421" w:rsidRDefault="00000000" w:rsidP="00C51AD5">
      <w:pPr>
        <w:pStyle w:val="ListParagraph"/>
        <w:numPr>
          <w:ilvl w:val="0"/>
          <w:numId w:val="4"/>
        </w:numPr>
      </w:pPr>
      <w:r w:rsidRPr="00F51421">
        <w:t>If a housing element is adopted more than one year from the due date, HCD will not find it in compliance with state law until all necessary rezoning is adopted</w:t>
      </w:r>
      <w:r w:rsidR="00B85BCA">
        <w:t xml:space="preserve"> </w:t>
      </w:r>
      <w:r w:rsidRPr="00F51421">
        <w:t>(</w:t>
      </w:r>
      <w:r w:rsidR="00C22514">
        <w:t>Section</w:t>
      </w:r>
      <w:r w:rsidRPr="00F51421">
        <w:t xml:space="preserve"> 65588(e)(4)(C)(iii))</w:t>
      </w:r>
      <w:r w:rsidR="00B85BCA">
        <w:t>.</w:t>
      </w:r>
    </w:p>
    <w:p w14:paraId="7910CA16" w14:textId="77777777" w:rsidR="00C51AD5" w:rsidRDefault="00000000" w:rsidP="00C51AD5">
      <w:r w:rsidRPr="009A352A">
        <w:t>HCD has also adopted a policy relating to completing rezoning by the due date for the housing element:</w:t>
      </w:r>
    </w:p>
    <w:p w14:paraId="1AD1690E" w14:textId="1B391CC1" w:rsidR="009A352A" w:rsidRPr="009A352A" w:rsidRDefault="00000000" w:rsidP="00C51AD5">
      <w:pPr>
        <w:pStyle w:val="ListParagraph"/>
        <w:numPr>
          <w:ilvl w:val="0"/>
          <w:numId w:val="4"/>
        </w:numPr>
      </w:pPr>
      <w:r w:rsidRPr="003E4593">
        <w:t xml:space="preserve">If zoning required to provide adequate sites for lower income housing is adopted after the housing element due date of January 31, 2023, it must provide for “by right” approval. </w:t>
      </w:r>
    </w:p>
    <w:p w14:paraId="0E2CCA41" w14:textId="24E389DB" w:rsidR="00306BD9" w:rsidRPr="003E4593" w:rsidRDefault="00000000" w:rsidP="00C51AD5">
      <w:pPr>
        <w:pStyle w:val="ListParagraph"/>
        <w:numPr>
          <w:ilvl w:val="1"/>
          <w:numId w:val="4"/>
        </w:numPr>
      </w:pPr>
      <w:r w:rsidRPr="003E4593">
        <w:t xml:space="preserve">“By right” approval means that a housing project that does not require a subdivision (a rental project) and that contains 20 percent lower income housing is exempt from the California Environmental Quality Act (CEQA). </w:t>
      </w:r>
      <w:r w:rsidR="00FE49FB">
        <w:t>Only</w:t>
      </w:r>
      <w:r w:rsidRPr="003E4593">
        <w:t xml:space="preserve"> design review based on objective standards</w:t>
      </w:r>
      <w:r w:rsidR="00FE49FB">
        <w:t xml:space="preserve"> may be required, but the local ordinance must provide for this</w:t>
      </w:r>
      <w:r w:rsidRPr="003E4593">
        <w:t xml:space="preserve"> (</w:t>
      </w:r>
      <w:r w:rsidR="00C22514">
        <w:t>Section</w:t>
      </w:r>
      <w:r w:rsidRPr="003E4593">
        <w:t xml:space="preserve"> 65583.2(</w:t>
      </w:r>
      <w:proofErr w:type="spellStart"/>
      <w:r w:rsidRPr="003E4593">
        <w:t>i</w:t>
      </w:r>
      <w:proofErr w:type="spellEnd"/>
      <w:r w:rsidRPr="003E4593">
        <w:t>)).</w:t>
      </w:r>
    </w:p>
    <w:p w14:paraId="057B9BC6" w14:textId="77777777" w:rsidR="00C51AD5" w:rsidRDefault="00000000" w:rsidP="00C51AD5">
      <w:pPr>
        <w:pStyle w:val="ListParagraph"/>
      </w:pPr>
      <w:r>
        <w:t>I</w:t>
      </w:r>
      <w:r w:rsidR="00306BD9" w:rsidRPr="00127D52">
        <w:t xml:space="preserve">n the Southern California Association of Governments (SCAG) region, the due date for Housing Elements, October 15, 2021, has passed, and most jurisdictions are still working with HCD to </w:t>
      </w:r>
      <w:r w:rsidR="00306BD9" w:rsidRPr="00F51421">
        <w:t xml:space="preserve">receive certification. </w:t>
      </w:r>
    </w:p>
    <w:p w14:paraId="2CFA2596" w14:textId="77777777" w:rsidR="00C51AD5" w:rsidRDefault="001774DE" w:rsidP="00C51AD5">
      <w:pPr>
        <w:pStyle w:val="Heading1"/>
      </w:pPr>
      <w:r w:rsidRPr="00C51AD5">
        <w:t>Limitations on Denial of Certain Housing Projects</w:t>
      </w:r>
    </w:p>
    <w:p w14:paraId="4E5B7CD6" w14:textId="77777777" w:rsidR="00C51AD5" w:rsidRDefault="00000000" w:rsidP="00C51AD5">
      <w:r w:rsidRPr="00127D52">
        <w:t>Once the due date passes without adoption of a housing element, the content of the housing element may no longer comply with state law.</w:t>
      </w:r>
    </w:p>
    <w:p w14:paraId="382D1285" w14:textId="020797E7" w:rsidR="00C51AD5" w:rsidRDefault="00000000" w:rsidP="00C51AD5">
      <w:r>
        <w:t xml:space="preserve">Under </w:t>
      </w:r>
      <w:r w:rsidR="00306BD9" w:rsidRPr="003E4593">
        <w:t xml:space="preserve">The Housing Accountability Act </w:t>
      </w:r>
      <w:r>
        <w:t xml:space="preserve">housing projects </w:t>
      </w:r>
      <w:r w:rsidR="00242E49">
        <w:t>where</w:t>
      </w:r>
      <w:r>
        <w:t xml:space="preserve"> 20</w:t>
      </w:r>
      <w:r w:rsidR="00242E49">
        <w:t xml:space="preserve"> percent of the total units are affordable to lower income</w:t>
      </w:r>
      <w:r>
        <w:t xml:space="preserve"> </w:t>
      </w:r>
      <w:r w:rsidR="00242E49">
        <w:t>households</w:t>
      </w:r>
      <w:r>
        <w:t xml:space="preserve"> may only be denied under limited circumstance</w:t>
      </w:r>
      <w:r w:rsidR="0067440D">
        <w:t>s that include inadequate water and sewer, a “specific health or safety impact,” lack of compliance with state or federal law, and agricultural or natural resource zoning</w:t>
      </w:r>
      <w:r w:rsidR="00A740FB">
        <w:t xml:space="preserve"> </w:t>
      </w:r>
      <w:r w:rsidR="00242E49">
        <w:t>(</w:t>
      </w:r>
      <w:r w:rsidR="00C22514">
        <w:t>Section</w:t>
      </w:r>
      <w:r w:rsidR="00242E49">
        <w:t xml:space="preserve"> 65589.5(d)</w:t>
      </w:r>
      <w:r w:rsidR="00B85BCA">
        <w:t>)</w:t>
      </w:r>
      <w:r w:rsidR="00242E49">
        <w:t>.</w:t>
      </w:r>
      <w:r>
        <w:t xml:space="preserve"> S</w:t>
      </w:r>
      <w:r w:rsidR="00306BD9" w:rsidRPr="003E4593">
        <w:t xml:space="preserve">uch a project can </w:t>
      </w:r>
      <w:r w:rsidR="0067440D">
        <w:t xml:space="preserve">also </w:t>
      </w:r>
      <w:r w:rsidR="00306BD9" w:rsidRPr="003E4593">
        <w:t xml:space="preserve">usually be denied if it is inconsistent with both the land use element and zoning ordinance, </w:t>
      </w:r>
      <w:r w:rsidR="00242E49">
        <w:t xml:space="preserve">but </w:t>
      </w:r>
      <w:r w:rsidR="00306BD9" w:rsidRPr="003E4593">
        <w:t xml:space="preserve">it cannot be denied for those reasons if the Housing </w:t>
      </w:r>
      <w:r w:rsidR="00306BD9" w:rsidRPr="003E4593">
        <w:lastRenderedPageBreak/>
        <w:t xml:space="preserve">Element is inconsistent with state law or if the </w:t>
      </w:r>
      <w:r w:rsidR="008533F5">
        <w:t xml:space="preserve">housing development </w:t>
      </w:r>
      <w:r w:rsidR="00306BD9" w:rsidRPr="003E4593">
        <w:t>project is proposed on a site shown to be suitable for affordable housing in the Housing Element and consistent with the density in the Housing Element, even if the rezoning has not yet been completed (</w:t>
      </w:r>
      <w:r w:rsidR="00C22514">
        <w:t>Section</w:t>
      </w:r>
      <w:r w:rsidR="00306BD9" w:rsidRPr="003E4593">
        <w:t xml:space="preserve"> 65589.5(d)(5))</w:t>
      </w:r>
      <w:r w:rsidR="00B85BCA">
        <w:t>.</w:t>
      </w:r>
    </w:p>
    <w:p w14:paraId="21A68DBC" w14:textId="59A0F472" w:rsidR="00C51AD5" w:rsidRDefault="00000000" w:rsidP="00C22514">
      <w:pPr>
        <w:rPr>
          <w:b/>
          <w:bCs/>
          <w:sz w:val="28"/>
          <w:szCs w:val="28"/>
        </w:rPr>
      </w:pPr>
      <w:r w:rsidRPr="003E4593">
        <w:t xml:space="preserve">Similarly, if rezoning has not been completed on time, a </w:t>
      </w:r>
      <w:r w:rsidR="008533F5">
        <w:t xml:space="preserve">housing development </w:t>
      </w:r>
      <w:r w:rsidRPr="003E4593">
        <w:t>project containing 49 percent affordable units that is proposed on a site proposed to be rezoned must be reviewed “by right” and approved unless the community can find that the project would result in a “specific adverse impact” that cannot be mitigated (</w:t>
      </w:r>
      <w:r w:rsidR="00C22514">
        <w:t>Section</w:t>
      </w:r>
      <w:r w:rsidRPr="003E4593">
        <w:t xml:space="preserve"> 65583(g))</w:t>
      </w:r>
      <w:r w:rsidR="00B85BCA">
        <w:t>.</w:t>
      </w:r>
    </w:p>
    <w:p w14:paraId="0197ED2B" w14:textId="2A38BF5C" w:rsidR="00C51AD5" w:rsidRDefault="00000000" w:rsidP="00C51AD5">
      <w:r w:rsidRPr="003E4593">
        <w:t xml:space="preserve">It is also important to remember that </w:t>
      </w:r>
      <w:r w:rsidR="00A33A91">
        <w:t>under</w:t>
      </w:r>
      <w:r w:rsidRPr="003E4593">
        <w:t xml:space="preserve"> the Housing Accountability Act</w:t>
      </w:r>
      <w:r w:rsidR="00A33A91">
        <w:t xml:space="preserve">, so long as a proposed housing development project is consistent with the objective general plan standards and criteria, </w:t>
      </w:r>
      <w:r w:rsidR="00710876">
        <w:t>but not consistent with the zoning, the proposed housing development project is considered consistent with the applicable zoning standards and a rezoning is not required</w:t>
      </w:r>
      <w:r w:rsidRPr="003E4593">
        <w:t xml:space="preserve"> (</w:t>
      </w:r>
      <w:r w:rsidR="00C22514">
        <w:t>Section</w:t>
      </w:r>
      <w:r w:rsidRPr="003E4593">
        <w:t xml:space="preserve"> 65589.5(j)(4))</w:t>
      </w:r>
      <w:r w:rsidR="00B85BCA">
        <w:t>.</w:t>
      </w:r>
      <w:r w:rsidRPr="003E4593">
        <w:t xml:space="preserve"> Consequently, once a housing</w:t>
      </w:r>
      <w:r w:rsidR="00600859" w:rsidRPr="003E4593">
        <w:t xml:space="preserve"> </w:t>
      </w:r>
      <w:r w:rsidRPr="003E4593">
        <w:t xml:space="preserve">element has been adopted specifying the allowed density of a site, in some cases a housing </w:t>
      </w:r>
      <w:r w:rsidR="00710876">
        <w:t xml:space="preserve">development </w:t>
      </w:r>
      <w:r w:rsidRPr="003E4593">
        <w:t>project consistent with that density may be able to proceed without a rezoning.</w:t>
      </w:r>
      <w:r w:rsidR="00F51421" w:rsidRPr="00F51421">
        <w:rPr>
          <w:noProof/>
        </w:rPr>
        <w:t xml:space="preserve"> </w:t>
      </w:r>
      <w:r w:rsidR="00E80FAD">
        <w:br w:type="page"/>
      </w:r>
    </w:p>
    <w:p w14:paraId="6C603B6E" w14:textId="14EFBB30" w:rsidR="0011595F" w:rsidRPr="00C22514" w:rsidRDefault="00E80FAD" w:rsidP="006B001A">
      <w:pPr>
        <w:pStyle w:val="Heading1"/>
        <w:spacing w:after="400"/>
        <w:rPr>
          <w:b/>
          <w:bCs/>
        </w:rPr>
        <w:sectPr w:rsidR="0011595F" w:rsidRPr="00C22514" w:rsidSect="00C22514">
          <w:footerReference w:type="even" r:id="rId9"/>
          <w:footerReference w:type="default" r:id="rId10"/>
          <w:type w:val="continuous"/>
          <w:pgSz w:w="12240" w:h="15840"/>
          <w:pgMar w:top="1197" w:right="720" w:bottom="720" w:left="720" w:header="720" w:footer="720" w:gutter="0"/>
          <w:cols w:space="720"/>
          <w:docGrid w:linePitch="360"/>
        </w:sectPr>
      </w:pPr>
      <w:r w:rsidRPr="00C22514">
        <w:rPr>
          <w:b/>
          <w:bCs/>
          <w:color w:val="FFFFFF" w:themeColor="background1"/>
        </w:rPr>
        <w:lastRenderedPageBreak/>
        <w:t>Appendix - Funding Tied to Housing Elements</w:t>
      </w:r>
      <w:r w:rsidR="008D226C" w:rsidRPr="00C22514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3360" behindDoc="1" locked="0" layoutInCell="1" allowOverlap="1" wp14:anchorId="564682D9" wp14:editId="780651F7">
            <wp:simplePos x="0" y="0"/>
            <wp:positionH relativeFrom="margin">
              <wp:posOffset>-111228</wp:posOffset>
            </wp:positionH>
            <wp:positionV relativeFrom="page">
              <wp:posOffset>290491</wp:posOffset>
            </wp:positionV>
            <wp:extent cx="7102114" cy="871870"/>
            <wp:effectExtent l="0" t="0" r="3810" b="0"/>
            <wp:wrapNone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114" cy="87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E434E" w14:textId="77777777" w:rsidR="00C51AD5" w:rsidRDefault="00000000" w:rsidP="00C51AD5">
      <w:r w:rsidRPr="00331B96">
        <w:t>State funding programs that incentivize greater coordination with housing planning, include:</w:t>
      </w:r>
    </w:p>
    <w:p w14:paraId="7BBCCAF2" w14:textId="3C7236D4" w:rsidR="00306BD9" w:rsidRPr="00331B96" w:rsidRDefault="00000000" w:rsidP="00C51AD5">
      <w:pPr>
        <w:pStyle w:val="ListParagraph"/>
        <w:numPr>
          <w:ilvl w:val="0"/>
          <w:numId w:val="6"/>
        </w:numPr>
      </w:pPr>
      <w:r w:rsidRPr="00C51AD5">
        <w:rPr>
          <w:rStyle w:val="Strong"/>
        </w:rPr>
        <w:t>Local Partnership Program:</w:t>
      </w:r>
      <w:r w:rsidRPr="0085630C">
        <w:rPr>
          <w:color w:val="0076A8"/>
        </w:rPr>
        <w:t> </w:t>
      </w:r>
      <w:r w:rsidRPr="00331B96">
        <w:t>Projects are evaluated on how they advance housing element goals.</w:t>
      </w:r>
    </w:p>
    <w:p w14:paraId="14C2A200" w14:textId="49FF5DBF" w:rsidR="00306BD9" w:rsidRPr="00331B96" w:rsidRDefault="00000000" w:rsidP="00C51AD5">
      <w:pPr>
        <w:pStyle w:val="ListParagraph"/>
        <w:numPr>
          <w:ilvl w:val="0"/>
          <w:numId w:val="6"/>
        </w:numPr>
      </w:pPr>
      <w:r w:rsidRPr="00C51AD5">
        <w:rPr>
          <w:rStyle w:val="Strong"/>
        </w:rPr>
        <w:t>Transit and Intercity Rail Capital Program:</w:t>
      </w:r>
      <w:r w:rsidRPr="0085630C">
        <w:rPr>
          <w:color w:val="0076A8"/>
        </w:rPr>
        <w:t> </w:t>
      </w:r>
      <w:r w:rsidRPr="00331B96">
        <w:t>Projects must document how transit ridership growth is supported by housing policies including evidence of compliance with state-required housing plans.</w:t>
      </w:r>
    </w:p>
    <w:p w14:paraId="09CD85B0" w14:textId="30B28F91" w:rsidR="00306BD9" w:rsidRDefault="00000000" w:rsidP="00C51AD5">
      <w:pPr>
        <w:pStyle w:val="ListParagraph"/>
        <w:numPr>
          <w:ilvl w:val="0"/>
          <w:numId w:val="6"/>
        </w:numPr>
      </w:pPr>
      <w:r w:rsidRPr="00C51AD5">
        <w:rPr>
          <w:rStyle w:val="Strong"/>
        </w:rPr>
        <w:t>Active Transportation</w:t>
      </w:r>
      <w:r w:rsidR="00C43D45" w:rsidRPr="00C51AD5">
        <w:rPr>
          <w:rStyle w:val="Strong"/>
        </w:rPr>
        <w:t xml:space="preserve"> </w:t>
      </w:r>
      <w:r w:rsidRPr="00C51AD5">
        <w:rPr>
          <w:rStyle w:val="Strong"/>
        </w:rPr>
        <w:t>Program</w:t>
      </w:r>
      <w:r w:rsidRPr="00C43D45">
        <w:rPr>
          <w:b/>
          <w:bCs/>
          <w:color w:val="0076A8"/>
        </w:rPr>
        <w:t>:</w:t>
      </w:r>
      <w:r w:rsidRPr="00C43D45">
        <w:rPr>
          <w:color w:val="0076A8"/>
        </w:rPr>
        <w:t> </w:t>
      </w:r>
      <w:r w:rsidRPr="00331B96">
        <w:t>Infrastructure projects must address their potential to support existing and planned housing, and planning projects must be consistent with local housing policies.</w:t>
      </w:r>
    </w:p>
    <w:p w14:paraId="6FE164C3" w14:textId="38B1D69F" w:rsidR="004B72CA" w:rsidRPr="00A740FB" w:rsidRDefault="00000000" w:rsidP="00C51AD5">
      <w:pPr>
        <w:pStyle w:val="ListParagraph"/>
        <w:numPr>
          <w:ilvl w:val="0"/>
          <w:numId w:val="6"/>
        </w:numPr>
      </w:pPr>
      <w:r w:rsidRPr="00C51AD5">
        <w:rPr>
          <w:rStyle w:val="Strong"/>
        </w:rPr>
        <w:t>HOME Investment Partnerships Program</w:t>
      </w:r>
      <w:r w:rsidRPr="00C43D45">
        <w:rPr>
          <w:b/>
          <w:bCs/>
          <w:color w:val="0076A8"/>
        </w:rPr>
        <w:t>:</w:t>
      </w:r>
      <w:r w:rsidRPr="00C43D45">
        <w:rPr>
          <w:color w:val="0076A8"/>
        </w:rPr>
        <w:t> </w:t>
      </w:r>
      <w:r w:rsidRPr="00331B96">
        <w:t>Applications receive points for housing element compliance.</w:t>
      </w:r>
    </w:p>
    <w:p w14:paraId="03B1F5AA" w14:textId="0FB9BC75" w:rsidR="00C22514" w:rsidRDefault="00000000" w:rsidP="00C51AD5">
      <w:pPr>
        <w:pStyle w:val="ListParagraph"/>
        <w:numPr>
          <w:ilvl w:val="0"/>
          <w:numId w:val="6"/>
        </w:numPr>
      </w:pPr>
      <w:r w:rsidRPr="00C51AD5">
        <w:rPr>
          <w:rStyle w:val="Strong"/>
        </w:rPr>
        <w:t>Solutions for Congested Corridors Program</w:t>
      </w:r>
      <w:r w:rsidR="00C22514">
        <w:rPr>
          <w:b/>
          <w:bCs/>
        </w:rPr>
        <w:t>:</w:t>
      </w:r>
      <w:r w:rsidRPr="00C43D45">
        <w:rPr>
          <w:color w:val="0076A8"/>
        </w:rPr>
        <w:t> </w:t>
      </w:r>
      <w:r w:rsidRPr="00331B96">
        <w:t>Projects must address how they support infill development, which may include identifying housing element policies that streamline multifamily housing development.</w:t>
      </w:r>
    </w:p>
    <w:p w14:paraId="2246FE7C" w14:textId="5B5F1F79" w:rsidR="00C51AD5" w:rsidRDefault="00C22514" w:rsidP="00C22514">
      <w:r>
        <w:br w:type="column"/>
      </w:r>
      <w:r w:rsidR="00000000" w:rsidRPr="00331B96">
        <w:t>Funding programs that require a local jurisdiction’s housing element compliance include:</w:t>
      </w:r>
    </w:p>
    <w:p w14:paraId="0EEAD5FE" w14:textId="24BA832C" w:rsidR="00331B96" w:rsidRPr="00331B96" w:rsidRDefault="00000000" w:rsidP="00C51AD5">
      <w:pPr>
        <w:pStyle w:val="ListParagraph"/>
        <w:numPr>
          <w:ilvl w:val="0"/>
          <w:numId w:val="5"/>
        </w:numPr>
      </w:pPr>
      <w:r w:rsidRPr="00331B96">
        <w:t>Community Development Block Grant Program</w:t>
      </w:r>
    </w:p>
    <w:p w14:paraId="6220354E" w14:textId="77777777" w:rsidR="00331B96" w:rsidRPr="00331B96" w:rsidRDefault="00000000" w:rsidP="00C51AD5">
      <w:pPr>
        <w:pStyle w:val="ListParagraph"/>
        <w:numPr>
          <w:ilvl w:val="0"/>
          <w:numId w:val="5"/>
        </w:numPr>
      </w:pPr>
      <w:r w:rsidRPr="00331B96">
        <w:t>Infill Infrastructure Grant Program</w:t>
      </w:r>
    </w:p>
    <w:p w14:paraId="08A9EED8" w14:textId="77777777" w:rsidR="00331B96" w:rsidRPr="00331B96" w:rsidRDefault="00000000" w:rsidP="00C51AD5">
      <w:pPr>
        <w:pStyle w:val="ListParagraph"/>
        <w:numPr>
          <w:ilvl w:val="0"/>
          <w:numId w:val="5"/>
        </w:numPr>
      </w:pPr>
      <w:r w:rsidRPr="00331B96">
        <w:t>Local Housing Trust Fund Program</w:t>
      </w:r>
    </w:p>
    <w:p w14:paraId="7A3C9175" w14:textId="77777777" w:rsidR="00331B96" w:rsidRPr="00331B96" w:rsidRDefault="00000000" w:rsidP="00C51AD5">
      <w:pPr>
        <w:pStyle w:val="ListParagraph"/>
        <w:numPr>
          <w:ilvl w:val="0"/>
          <w:numId w:val="5"/>
        </w:numPr>
      </w:pPr>
      <w:r w:rsidRPr="00331B96">
        <w:t>Affordable Housing and Sustainable Communities Program</w:t>
      </w:r>
    </w:p>
    <w:p w14:paraId="00A5302A" w14:textId="77777777" w:rsidR="00331B96" w:rsidRPr="00331B96" w:rsidRDefault="00000000" w:rsidP="00C51AD5">
      <w:pPr>
        <w:pStyle w:val="ListParagraph"/>
        <w:numPr>
          <w:ilvl w:val="0"/>
          <w:numId w:val="5"/>
        </w:numPr>
      </w:pPr>
      <w:r w:rsidRPr="00331B96">
        <w:t>Permanent Local Housing Allocation Program</w:t>
      </w:r>
    </w:p>
    <w:p w14:paraId="5D27EF61" w14:textId="77777777" w:rsidR="00C51AD5" w:rsidRDefault="00000000" w:rsidP="00C51AD5">
      <w:pPr>
        <w:pStyle w:val="ListParagraph"/>
        <w:numPr>
          <w:ilvl w:val="0"/>
          <w:numId w:val="5"/>
        </w:numPr>
      </w:pPr>
      <w:r w:rsidRPr="00331B96">
        <w:t>Caltrans Sustainable Communities Grant Program </w:t>
      </w:r>
    </w:p>
    <w:p w14:paraId="336A58C2" w14:textId="77777777" w:rsidR="00C22514" w:rsidRDefault="00C22514" w:rsidP="00C51AD5">
      <w:pPr>
        <w:sectPr w:rsidR="00C22514" w:rsidSect="00C225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136DF2B" w14:textId="0F5C25EF" w:rsidR="00A7403D" w:rsidRPr="00127D52" w:rsidRDefault="00A7403D" w:rsidP="00C22514"/>
    <w:sectPr w:rsidR="00A7403D" w:rsidRPr="00127D52" w:rsidSect="00C225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1072" w14:textId="77777777" w:rsidR="00DB062F" w:rsidRDefault="00DB062F" w:rsidP="00C51AD5">
      <w:r>
        <w:separator/>
      </w:r>
    </w:p>
  </w:endnote>
  <w:endnote w:type="continuationSeparator" w:id="0">
    <w:p w14:paraId="3084962B" w14:textId="77777777" w:rsidR="00DB062F" w:rsidRDefault="00DB062F" w:rsidP="00C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9006520"/>
      <w:docPartObj>
        <w:docPartGallery w:val="Page Numbers (Bottom of Page)"/>
        <w:docPartUnique/>
      </w:docPartObj>
    </w:sdtPr>
    <w:sdtContent>
      <w:p w14:paraId="0E328DF1" w14:textId="5D47EB20" w:rsidR="006C0636" w:rsidRDefault="006C0636" w:rsidP="00E55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B227C2" w14:textId="51C213B9" w:rsidR="00C51AD5" w:rsidRDefault="00C51AD5" w:rsidP="006C0636">
    <w:pPr>
      <w:pStyle w:val="Footer"/>
      <w:ind w:right="360"/>
      <w:rPr>
        <w:rStyle w:val="PageNumber"/>
      </w:rPr>
    </w:pPr>
  </w:p>
  <w:p w14:paraId="56813BA6" w14:textId="5A226CBB" w:rsidR="009B622A" w:rsidRDefault="00000000" w:rsidP="00C51AD5">
    <w:pPr>
      <w:pStyle w:val="DocID"/>
    </w:pPr>
    <w:r>
      <w:t>2089\03\3314088.1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4235170"/>
      <w:docPartObj>
        <w:docPartGallery w:val="Page Numbers (Bottom of Page)"/>
        <w:docPartUnique/>
      </w:docPartObj>
    </w:sdtPr>
    <w:sdtContent>
      <w:p w14:paraId="2B140690" w14:textId="40830C10" w:rsidR="006C0636" w:rsidRDefault="006C0636" w:rsidP="00E55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2DBA86" w14:textId="7C78C8CD" w:rsidR="001D76D0" w:rsidRPr="006C0636" w:rsidRDefault="006C0636" w:rsidP="006C0636">
    <w:pPr>
      <w:pStyle w:val="Footer"/>
      <w:tabs>
        <w:tab w:val="clear" w:pos="4680"/>
        <w:tab w:val="clear" w:pos="9360"/>
        <w:tab w:val="right" w:pos="10800"/>
      </w:tabs>
      <w:ind w:right="360"/>
    </w:pPr>
    <w:r>
      <w:t>July 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A0F7" w14:textId="77777777" w:rsidR="00DB062F" w:rsidRDefault="00DB062F" w:rsidP="00C51AD5">
      <w:r>
        <w:separator/>
      </w:r>
    </w:p>
  </w:footnote>
  <w:footnote w:type="continuationSeparator" w:id="0">
    <w:p w14:paraId="4571E548" w14:textId="77777777" w:rsidR="00DB062F" w:rsidRDefault="00DB062F" w:rsidP="00C51AD5">
      <w:r>
        <w:continuationSeparator/>
      </w:r>
    </w:p>
  </w:footnote>
  <w:footnote w:id="1">
    <w:p w14:paraId="6EA16122" w14:textId="39C7A342" w:rsidR="00373A48" w:rsidRDefault="00000000" w:rsidP="00C51AD5">
      <w:pPr>
        <w:pStyle w:val="FootnoteText"/>
      </w:pPr>
      <w:r>
        <w:rPr>
          <w:rStyle w:val="FootnoteReference"/>
        </w:rPr>
        <w:footnoteRef/>
      </w:r>
      <w:r>
        <w:t xml:space="preserve"> Subsequent citations are to the Government Code unless otherwise stated.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ECA"/>
    <w:multiLevelType w:val="hybridMultilevel"/>
    <w:tmpl w:val="7E6C55D6"/>
    <w:lvl w:ilvl="0" w:tplc="031C9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B1A6A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C4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C6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4D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E4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CE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C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80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7BEF"/>
    <w:multiLevelType w:val="hybridMultilevel"/>
    <w:tmpl w:val="A4ACCE6E"/>
    <w:lvl w:ilvl="0" w:tplc="0896D7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B270E5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076A7"/>
      </w:rPr>
    </w:lvl>
    <w:lvl w:ilvl="2" w:tplc="B928E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4D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E2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29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C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00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6A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4586"/>
    <w:multiLevelType w:val="hybridMultilevel"/>
    <w:tmpl w:val="9EA83CCC"/>
    <w:lvl w:ilvl="0" w:tplc="1E86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4B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E2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C8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86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E2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C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4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41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910E7"/>
    <w:multiLevelType w:val="hybridMultilevel"/>
    <w:tmpl w:val="48A8B52E"/>
    <w:lvl w:ilvl="0" w:tplc="32A433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050A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82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A2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CD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C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A6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48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A2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0B22"/>
    <w:multiLevelType w:val="multilevel"/>
    <w:tmpl w:val="902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96C43"/>
    <w:multiLevelType w:val="multilevel"/>
    <w:tmpl w:val="374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536779">
    <w:abstractNumId w:val="2"/>
  </w:num>
  <w:num w:numId="2" w16cid:durableId="322709620">
    <w:abstractNumId w:val="4"/>
  </w:num>
  <w:num w:numId="3" w16cid:durableId="190459117">
    <w:abstractNumId w:val="5"/>
  </w:num>
  <w:num w:numId="4" w16cid:durableId="1448812315">
    <w:abstractNumId w:val="1"/>
  </w:num>
  <w:num w:numId="5" w16cid:durableId="506409499">
    <w:abstractNumId w:val="3"/>
  </w:num>
  <w:num w:numId="6" w16cid:durableId="165880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1C"/>
    <w:rsid w:val="00027DD4"/>
    <w:rsid w:val="00033052"/>
    <w:rsid w:val="000550F8"/>
    <w:rsid w:val="0005604F"/>
    <w:rsid w:val="00091415"/>
    <w:rsid w:val="000C3A95"/>
    <w:rsid w:val="0011595F"/>
    <w:rsid w:val="0011674B"/>
    <w:rsid w:val="00127D52"/>
    <w:rsid w:val="00144CE8"/>
    <w:rsid w:val="00156B6C"/>
    <w:rsid w:val="001774DE"/>
    <w:rsid w:val="00187B36"/>
    <w:rsid w:val="00194133"/>
    <w:rsid w:val="001A7DE1"/>
    <w:rsid w:val="001D76D0"/>
    <w:rsid w:val="001E4395"/>
    <w:rsid w:val="001E5337"/>
    <w:rsid w:val="001E5643"/>
    <w:rsid w:val="001E6441"/>
    <w:rsid w:val="001F2F1A"/>
    <w:rsid w:val="00242E49"/>
    <w:rsid w:val="002A6E73"/>
    <w:rsid w:val="002C1FF5"/>
    <w:rsid w:val="00306BD9"/>
    <w:rsid w:val="00313A91"/>
    <w:rsid w:val="00331B96"/>
    <w:rsid w:val="00373A48"/>
    <w:rsid w:val="003A4EF2"/>
    <w:rsid w:val="003A7698"/>
    <w:rsid w:val="003C6A41"/>
    <w:rsid w:val="003D1116"/>
    <w:rsid w:val="003D33D4"/>
    <w:rsid w:val="003D482F"/>
    <w:rsid w:val="003E4593"/>
    <w:rsid w:val="0047056D"/>
    <w:rsid w:val="004B72CA"/>
    <w:rsid w:val="004C098C"/>
    <w:rsid w:val="004E3900"/>
    <w:rsid w:val="004F6C07"/>
    <w:rsid w:val="00514FED"/>
    <w:rsid w:val="00521432"/>
    <w:rsid w:val="0056778F"/>
    <w:rsid w:val="005726A2"/>
    <w:rsid w:val="005738FB"/>
    <w:rsid w:val="00591BC5"/>
    <w:rsid w:val="005C231D"/>
    <w:rsid w:val="005D1507"/>
    <w:rsid w:val="005D3C8E"/>
    <w:rsid w:val="005D630B"/>
    <w:rsid w:val="005E3F0F"/>
    <w:rsid w:val="00600859"/>
    <w:rsid w:val="00613F17"/>
    <w:rsid w:val="006165C8"/>
    <w:rsid w:val="006366EA"/>
    <w:rsid w:val="0065758A"/>
    <w:rsid w:val="006659CD"/>
    <w:rsid w:val="0067440D"/>
    <w:rsid w:val="00677AC3"/>
    <w:rsid w:val="006851F9"/>
    <w:rsid w:val="006B001A"/>
    <w:rsid w:val="006C0636"/>
    <w:rsid w:val="006F1E0A"/>
    <w:rsid w:val="00710876"/>
    <w:rsid w:val="007119A8"/>
    <w:rsid w:val="007513E6"/>
    <w:rsid w:val="007614A2"/>
    <w:rsid w:val="007D2543"/>
    <w:rsid w:val="008043E2"/>
    <w:rsid w:val="00820C4D"/>
    <w:rsid w:val="008365BD"/>
    <w:rsid w:val="008533F5"/>
    <w:rsid w:val="0085630C"/>
    <w:rsid w:val="00885CFE"/>
    <w:rsid w:val="0088704A"/>
    <w:rsid w:val="008C5552"/>
    <w:rsid w:val="008D226C"/>
    <w:rsid w:val="008D63CA"/>
    <w:rsid w:val="008E5952"/>
    <w:rsid w:val="00915BF4"/>
    <w:rsid w:val="0093685C"/>
    <w:rsid w:val="009A352A"/>
    <w:rsid w:val="009A784F"/>
    <w:rsid w:val="009B622A"/>
    <w:rsid w:val="009F2748"/>
    <w:rsid w:val="009F67BD"/>
    <w:rsid w:val="009F73B0"/>
    <w:rsid w:val="00A33A91"/>
    <w:rsid w:val="00A3608A"/>
    <w:rsid w:val="00A7403D"/>
    <w:rsid w:val="00A740FB"/>
    <w:rsid w:val="00A76DBE"/>
    <w:rsid w:val="00A902D8"/>
    <w:rsid w:val="00AA1695"/>
    <w:rsid w:val="00AB7C8C"/>
    <w:rsid w:val="00AE4059"/>
    <w:rsid w:val="00B167B0"/>
    <w:rsid w:val="00B333F1"/>
    <w:rsid w:val="00B44A50"/>
    <w:rsid w:val="00B61406"/>
    <w:rsid w:val="00B81498"/>
    <w:rsid w:val="00B839AC"/>
    <w:rsid w:val="00B85BCA"/>
    <w:rsid w:val="00B87271"/>
    <w:rsid w:val="00B9112D"/>
    <w:rsid w:val="00BA24AC"/>
    <w:rsid w:val="00BD4798"/>
    <w:rsid w:val="00BD4A74"/>
    <w:rsid w:val="00C22514"/>
    <w:rsid w:val="00C26801"/>
    <w:rsid w:val="00C43D45"/>
    <w:rsid w:val="00C46D1C"/>
    <w:rsid w:val="00C51AD5"/>
    <w:rsid w:val="00C6670A"/>
    <w:rsid w:val="00C83278"/>
    <w:rsid w:val="00CA5639"/>
    <w:rsid w:val="00D25875"/>
    <w:rsid w:val="00D3385A"/>
    <w:rsid w:val="00D6640A"/>
    <w:rsid w:val="00D677E5"/>
    <w:rsid w:val="00DB062F"/>
    <w:rsid w:val="00DD5EE9"/>
    <w:rsid w:val="00DE49EE"/>
    <w:rsid w:val="00DF2D9A"/>
    <w:rsid w:val="00E034A5"/>
    <w:rsid w:val="00E80FAD"/>
    <w:rsid w:val="00ED17A3"/>
    <w:rsid w:val="00ED7576"/>
    <w:rsid w:val="00F06921"/>
    <w:rsid w:val="00F30AEA"/>
    <w:rsid w:val="00F51421"/>
    <w:rsid w:val="00F62AAB"/>
    <w:rsid w:val="00F86E7F"/>
    <w:rsid w:val="00F91DB3"/>
    <w:rsid w:val="00FE49F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7BF9"/>
  <w15:chartTrackingRefBased/>
  <w15:docId w15:val="{40140263-0938-428E-98E0-6C26DD1C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514"/>
    <w:pPr>
      <w:spacing w:after="240" w:line="276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D5"/>
    <w:pPr>
      <w:keepNext/>
      <w:keepLines/>
      <w:spacing w:line="400" w:lineRule="exact"/>
      <w:outlineLvl w:val="0"/>
    </w:pPr>
    <w:rPr>
      <w:rFonts w:eastAsiaTheme="majorEastAsia" w:cstheme="minorHAnsi"/>
      <w:color w:val="0076A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05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D5"/>
    <w:rPr>
      <w:rFonts w:eastAsiaTheme="majorEastAsia" w:cstheme="minorHAnsi"/>
      <w:color w:val="0076A8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D1C"/>
    <w:rPr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4059"/>
    <w:rPr>
      <w:rFonts w:eastAsiaTheme="majorEastAsia" w:cstheme="majorBidi"/>
      <w:b/>
      <w:color w:val="000000" w:themeColor="text1"/>
      <w:sz w:val="28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85630C"/>
    <w:rPr>
      <w:rFonts w:asciiTheme="minorHAnsi" w:hAnsiTheme="minorHAns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306BD9"/>
    <w:pPr>
      <w:spacing w:after="160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6BD9"/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06BD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6BD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B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D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4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D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45"/>
    <w:rPr>
      <w:sz w:val="24"/>
      <w:szCs w:val="24"/>
      <w:lang w:val="en-US"/>
    </w:rPr>
  </w:style>
  <w:style w:type="paragraph" w:styleId="NoSpacing">
    <w:name w:val="No Spacing"/>
    <w:uiPriority w:val="1"/>
    <w:qFormat/>
    <w:rsid w:val="004F6C07"/>
    <w:pPr>
      <w:spacing w:line="240" w:lineRule="auto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F73B0"/>
    <w:pPr>
      <w:spacing w:line="240" w:lineRule="auto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415"/>
    <w:rPr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B622A"/>
  </w:style>
  <w:style w:type="paragraph" w:customStyle="1" w:styleId="DocID">
    <w:name w:val="Doc ID"/>
    <w:basedOn w:val="Footer"/>
    <w:link w:val="DocIDChar"/>
    <w:rsid w:val="001D76D0"/>
    <w:pPr>
      <w:spacing w:line="200" w:lineRule="exact"/>
    </w:pPr>
    <w:rPr>
      <w:rFonts w:ascii="Times New Roman" w:hAnsi="Times New Roman" w:cs="Times New Roman"/>
      <w:color w:val="FFFFFF"/>
      <w:sz w:val="16"/>
    </w:rPr>
  </w:style>
  <w:style w:type="character" w:customStyle="1" w:styleId="DocIDChar">
    <w:name w:val="Doc ID Char"/>
    <w:basedOn w:val="DefaultParagraphFont"/>
    <w:link w:val="DocID"/>
    <w:rsid w:val="001D76D0"/>
    <w:rPr>
      <w:rFonts w:ascii="Times New Roman" w:hAnsi="Times New Roman" w:cs="Times New Roman"/>
      <w:color w:val="FFFFFF"/>
      <w:sz w:val="16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D5"/>
    <w:pPr>
      <w:numPr>
        <w:ilvl w:val="1"/>
      </w:numPr>
      <w:spacing w:after="160"/>
    </w:pPr>
    <w:rPr>
      <w:rFonts w:eastAsiaTheme="minorEastAsia"/>
      <w:b/>
      <w:color w:val="0076A8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1AD5"/>
    <w:rPr>
      <w:rFonts w:eastAsiaTheme="minorEastAsia"/>
      <w:b/>
      <w:color w:val="0076A8"/>
      <w:spacing w:val="15"/>
      <w:sz w:val="28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C51AD5"/>
    <w:pPr>
      <w:spacing w:line="276" w:lineRule="auto"/>
    </w:pPr>
    <w:rPr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51AD5"/>
    <w:rPr>
      <w:rFonts w:eastAsiaTheme="majorEastAsia" w:cstheme="minorHAnsi"/>
      <w:b/>
      <w:bCs/>
      <w:color w:val="000000" w:themeColor="text1"/>
      <w:sz w:val="44"/>
      <w:szCs w:val="4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B00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1036</Words>
  <Characters>5517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Consequences of Late Adoption of the Housing Element</vt:lpstr>
    </vt:vector>
  </TitlesOfParts>
  <Manager/>
  <Company/>
  <LinksUpToDate>false</LinksUpToDate>
  <CharactersWithSpaces>6525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Consequences of Late Adoption of the Housing Element</dc:title>
  <dc:subject/>
  <dc:creator>Bowen Close</dc:creator>
  <cp:keywords/>
  <dc:description/>
  <cp:lastModifiedBy>Bowen Close</cp:lastModifiedBy>
  <cp:revision>5</cp:revision>
  <dcterms:created xsi:type="dcterms:W3CDTF">2022-07-14T22:33:00Z</dcterms:created>
  <dcterms:modified xsi:type="dcterms:W3CDTF">2022-07-14T22:43:00Z</dcterms:modified>
  <cp:category/>
</cp:coreProperties>
</file>