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E86A4" w14:textId="446FDBA9" w:rsidR="00D00E6A" w:rsidRPr="00522463" w:rsidRDefault="00D00E6A" w:rsidP="00522463">
      <w:pPr>
        <w:pStyle w:val="Heading1"/>
      </w:pPr>
      <w:r w:rsidRPr="00522463">
        <w:t>2021 New Laws Overview</w:t>
      </w:r>
    </w:p>
    <w:p w14:paraId="7F7EF805" w14:textId="1B672A4D" w:rsidR="00E052D0" w:rsidRPr="00522463" w:rsidRDefault="00F07884" w:rsidP="00522463">
      <w:r w:rsidRPr="00522463">
        <w:t>Below is a summary of significant housing legislation that was passed in the 2021 legislative session and subsequently signed into law by Governor Newsom.</w:t>
      </w:r>
    </w:p>
    <w:p w14:paraId="1157C2A4" w14:textId="77777777" w:rsidR="00DA40A0" w:rsidRPr="004735E6" w:rsidRDefault="00DA40A0" w:rsidP="00522463"/>
    <w:p w14:paraId="54F8C35B" w14:textId="50A5AEB4" w:rsidR="00F07884" w:rsidRPr="00135AA6" w:rsidRDefault="00F07884" w:rsidP="00522463">
      <w:pPr>
        <w:pStyle w:val="Heading2"/>
      </w:pPr>
      <w:r w:rsidRPr="00135AA6">
        <w:t>GENERAL PLAN AND HOUSING ELEMENT</w:t>
      </w:r>
    </w:p>
    <w:p w14:paraId="7D8A36C3" w14:textId="77777777" w:rsidR="00F07884" w:rsidRPr="004735E6" w:rsidRDefault="00F07884" w:rsidP="00522463">
      <w:pPr>
        <w:sectPr w:rsidR="00F07884" w:rsidRPr="004735E6" w:rsidSect="00522463">
          <w:headerReference w:type="default" r:id="rId7"/>
          <w:footerReference w:type="even" r:id="rId8"/>
          <w:footerReference w:type="default" r:id="rId9"/>
          <w:footerReference w:type="first" r:id="rId10"/>
          <w:pgSz w:w="12240" w:h="15840"/>
          <w:pgMar w:top="1440" w:right="1440" w:bottom="1440" w:left="1440" w:header="720" w:footer="720" w:gutter="0"/>
          <w:cols w:space="720"/>
          <w:titlePg/>
          <w:docGrid w:linePitch="360"/>
        </w:sectPr>
      </w:pPr>
    </w:p>
    <w:p w14:paraId="6C9F0211" w14:textId="77777777" w:rsidR="00522463" w:rsidRPr="00522463" w:rsidRDefault="00192314" w:rsidP="00522463">
      <w:pPr>
        <w:pStyle w:val="Heading3"/>
      </w:pPr>
      <w:r w:rsidRPr="00522463">
        <w:rPr>
          <w:rStyle w:val="Strong"/>
          <w:rFonts w:ascii="Times New Roman" w:hAnsi="Times New Roman"/>
          <w:b/>
          <w:bCs w:val="0"/>
          <w:color w:val="auto"/>
        </w:rPr>
        <w:t>Housing Element Timing.</w:t>
      </w:r>
    </w:p>
    <w:p w14:paraId="7417E45C" w14:textId="6CFE2359" w:rsidR="00D52450" w:rsidRDefault="00F07884" w:rsidP="00522463">
      <w:r w:rsidRPr="00522463">
        <w:rPr>
          <w:rStyle w:val="Emphasis"/>
          <w:rFonts w:cstheme="minorBidi"/>
          <w:szCs w:val="22"/>
        </w:rPr>
        <w:t>AB 215</w:t>
      </w:r>
      <w:r w:rsidRPr="004735E6">
        <w:rPr>
          <w:b/>
          <w:bCs/>
        </w:rPr>
        <w:t xml:space="preserve"> </w:t>
      </w:r>
      <w:r w:rsidR="00A80A17" w:rsidRPr="004735E6">
        <w:t xml:space="preserve">makes important changes to Housing Element deadlines. Specifically, AB 215 provides that the first draft of a housing element must </w:t>
      </w:r>
      <w:r w:rsidR="003C091B">
        <w:t xml:space="preserve">be </w:t>
      </w:r>
      <w:r w:rsidR="00A80A17" w:rsidRPr="004735E6">
        <w:t xml:space="preserve">made available for public review and comment for at least 30 days. If any public comments are received, the local government must take at least 10 </w:t>
      </w:r>
      <w:r w:rsidR="00A80A17" w:rsidRPr="004735E6">
        <w:rPr>
          <w:i/>
          <w:iCs/>
        </w:rPr>
        <w:t>business</w:t>
      </w:r>
      <w:r w:rsidR="00A80A17" w:rsidRPr="004735E6">
        <w:t xml:space="preserve"> days after the 30-day public comment period to consider and incorporate the comments. This must be done before submitting the draft housing element to HCD for review, otherwise HCD will not review the draft. Subsequent drafts must be posted electronically and </w:t>
      </w:r>
      <w:r w:rsidR="001A14AD">
        <w:t xml:space="preserve">those interested must be </w:t>
      </w:r>
      <w:r w:rsidR="00A80A17" w:rsidRPr="004735E6">
        <w:t>provide</w:t>
      </w:r>
      <w:r w:rsidR="001A14AD">
        <w:t>d</w:t>
      </w:r>
      <w:r w:rsidR="00A80A17" w:rsidRPr="004735E6">
        <w:t xml:space="preserve"> notice at least 7 days before submitting to HCD</w:t>
      </w:r>
      <w:r w:rsidR="00D52450">
        <w:t xml:space="preserve">. </w:t>
      </w:r>
      <w:r w:rsidR="00A80A17" w:rsidRPr="004735E6">
        <w:t xml:space="preserve">Additionally, </w:t>
      </w:r>
      <w:r w:rsidR="00BD7CC4" w:rsidRPr="004735E6">
        <w:t xml:space="preserve">AB 215 </w:t>
      </w:r>
      <w:r w:rsidR="001A14AD">
        <w:t>extends the time</w:t>
      </w:r>
      <w:r w:rsidR="001A14AD" w:rsidRPr="004735E6">
        <w:t xml:space="preserve"> </w:t>
      </w:r>
      <w:r w:rsidR="00BD7CC4" w:rsidRPr="004735E6">
        <w:t xml:space="preserve">that </w:t>
      </w:r>
      <w:r w:rsidR="00A80A17" w:rsidRPr="004735E6">
        <w:t xml:space="preserve">HCD has to review the first draft of the housing element </w:t>
      </w:r>
      <w:r w:rsidR="001A14AD">
        <w:t xml:space="preserve">to 90 days </w:t>
      </w:r>
      <w:r w:rsidR="00A80A17" w:rsidRPr="004735E6">
        <w:t xml:space="preserve">and </w:t>
      </w:r>
      <w:r w:rsidR="001A14AD">
        <w:t xml:space="preserve">reiterates that it has </w:t>
      </w:r>
      <w:r w:rsidR="00BD7CC4" w:rsidRPr="004735E6">
        <w:t>60 days to review any subsequent drafts.</w:t>
      </w:r>
      <w:r w:rsidR="00B72468" w:rsidRPr="004735E6">
        <w:t xml:space="preserve"> </w:t>
      </w:r>
    </w:p>
    <w:p w14:paraId="6B75EAAB" w14:textId="3BC05224" w:rsidR="00A80A17" w:rsidRPr="004735E6" w:rsidRDefault="00B72468" w:rsidP="00522463">
      <w:r w:rsidRPr="004735E6">
        <w:t xml:space="preserve">AB 215 </w:t>
      </w:r>
      <w:r w:rsidR="00D52450">
        <w:t xml:space="preserve">also </w:t>
      </w:r>
      <w:r w:rsidRPr="004735E6">
        <w:t xml:space="preserve">provides HCD with authority to contract with an independent attorney to sue jurisdictions over housing </w:t>
      </w:r>
      <w:r w:rsidR="007524DE">
        <w:t>law</w:t>
      </w:r>
      <w:r w:rsidR="007524DE" w:rsidRPr="004735E6">
        <w:t xml:space="preserve"> </w:t>
      </w:r>
      <w:r w:rsidRPr="004735E6">
        <w:t>violations where the Attorney General has declined to bring suit or represent HCD</w:t>
      </w:r>
      <w:r w:rsidR="007524DE">
        <w:t xml:space="preserve">. Lastly, it </w:t>
      </w:r>
      <w:r w:rsidR="001A14AD">
        <w:t>extends the statute</w:t>
      </w:r>
      <w:r w:rsidR="007524DE">
        <w:t xml:space="preserve"> </w:t>
      </w:r>
      <w:r w:rsidR="001A14AD">
        <w:t>of</w:t>
      </w:r>
      <w:r w:rsidR="007524DE">
        <w:t xml:space="preserve"> </w:t>
      </w:r>
      <w:r w:rsidR="001A14AD">
        <w:t>limitations to</w:t>
      </w:r>
      <w:r w:rsidR="007524DE">
        <w:t xml:space="preserve"> </w:t>
      </w:r>
      <w:r w:rsidR="001A14AD">
        <w:t>three years</w:t>
      </w:r>
      <w:r w:rsidR="007524DE">
        <w:t xml:space="preserve"> </w:t>
      </w:r>
      <w:r w:rsidR="001A14AD">
        <w:t>for</w:t>
      </w:r>
      <w:r w:rsidR="007524DE">
        <w:t xml:space="preserve"> </w:t>
      </w:r>
      <w:r w:rsidR="001A14AD">
        <w:t>actions</w:t>
      </w:r>
      <w:r w:rsidR="007524DE">
        <w:t xml:space="preserve"> </w:t>
      </w:r>
      <w:r w:rsidR="001A14AD">
        <w:t>brought</w:t>
      </w:r>
      <w:r w:rsidR="007524DE">
        <w:t xml:space="preserve"> </w:t>
      </w:r>
      <w:r w:rsidR="001A14AD">
        <w:t>by</w:t>
      </w:r>
      <w:r w:rsidR="007524DE">
        <w:t xml:space="preserve"> </w:t>
      </w:r>
      <w:r w:rsidR="001A14AD">
        <w:t>the</w:t>
      </w:r>
      <w:r w:rsidR="007524DE">
        <w:t xml:space="preserve"> </w:t>
      </w:r>
      <w:r w:rsidR="001A14AD">
        <w:t>Attorney General</w:t>
      </w:r>
      <w:r w:rsidR="007524DE">
        <w:t xml:space="preserve"> or HCD or pursuant to a notice of violation issued by HCD regarding housing laws</w:t>
      </w:r>
      <w:r w:rsidRPr="004735E6">
        <w:t xml:space="preserve">. </w:t>
      </w:r>
    </w:p>
    <w:p w14:paraId="16DEEB4F" w14:textId="77777777" w:rsidR="00522463" w:rsidRDefault="00192314" w:rsidP="00522463">
      <w:pPr>
        <w:pStyle w:val="Heading3"/>
      </w:pPr>
      <w:r w:rsidRPr="00522463">
        <w:rPr>
          <w:rStyle w:val="Strong"/>
          <w:rFonts w:cstheme="minorBidi"/>
          <w:b/>
          <w:szCs w:val="22"/>
        </w:rPr>
        <w:t>Affirmatively Furthering Fair Housing</w:t>
      </w:r>
      <w:r w:rsidRPr="004735E6">
        <w:t>.</w:t>
      </w:r>
    </w:p>
    <w:p w14:paraId="1AA155D9" w14:textId="0CCCB3AF" w:rsidR="00BD7CC4" w:rsidRPr="004735E6" w:rsidRDefault="00B72468" w:rsidP="00522463">
      <w:r w:rsidRPr="004735E6">
        <w:t xml:space="preserve">The AFFH legislation </w:t>
      </w:r>
      <w:r w:rsidR="00B811C4">
        <w:t xml:space="preserve">primarily </w:t>
      </w:r>
      <w:r w:rsidRPr="004735E6">
        <w:t>codifies requirements already imposed by HCD</w:t>
      </w:r>
      <w:r w:rsidR="008F0127">
        <w:t>’</w:t>
      </w:r>
      <w:r w:rsidRPr="004735E6">
        <w:t xml:space="preserve">s AFFH Guidelines. </w:t>
      </w:r>
      <w:r w:rsidR="00BD7CC4" w:rsidRPr="00522463">
        <w:rPr>
          <w:rStyle w:val="Emphasis"/>
          <w:rFonts w:cstheme="minorBidi"/>
          <w:szCs w:val="22"/>
        </w:rPr>
        <w:t xml:space="preserve">AB 1304 </w:t>
      </w:r>
      <w:r w:rsidR="00BD7CC4" w:rsidRPr="004735E6">
        <w:t xml:space="preserve">requires local governments to administer their programs and activities relating to housing in a manner to affirmatively further fair housing. Similarly, </w:t>
      </w:r>
      <w:r w:rsidR="00BD7CC4" w:rsidRPr="00522463">
        <w:rPr>
          <w:rStyle w:val="Emphasis"/>
          <w:rFonts w:cstheme="minorBidi"/>
          <w:szCs w:val="22"/>
        </w:rPr>
        <w:t>AB 1398</w:t>
      </w:r>
      <w:r w:rsidR="00BD7CC4" w:rsidRPr="004735E6">
        <w:t xml:space="preserve"> provides that </w:t>
      </w:r>
      <w:r w:rsidR="00B811C4">
        <w:t xml:space="preserve">the </w:t>
      </w:r>
      <w:r w:rsidR="00BD7CC4" w:rsidRPr="004735E6">
        <w:t xml:space="preserve">site inventory and analysis </w:t>
      </w:r>
      <w:r w:rsidR="00B811C4">
        <w:t xml:space="preserve">contained in housing elements </w:t>
      </w:r>
      <w:r w:rsidR="00BD7CC4" w:rsidRPr="004735E6">
        <w:t>must include discussion of the relationship between the identified site and the jurisdiction</w:t>
      </w:r>
      <w:r w:rsidR="008F0127">
        <w:t>’</w:t>
      </w:r>
      <w:r w:rsidR="00BD7CC4" w:rsidRPr="004735E6">
        <w:t xml:space="preserve">s duty to affirmatively further fair housing. AB </w:t>
      </w:r>
      <w:r w:rsidR="00B811C4">
        <w:t>1</w:t>
      </w:r>
      <w:r w:rsidR="00BD7CC4" w:rsidRPr="004735E6">
        <w:t>398 also requires that any AFFH analysis identify and examine patterns, trends, areas, disparities, and needs both within the jurisdiction and regionally. Any assessments should include local and regional historical origins and current policies and practices for identified fair housing issues.</w:t>
      </w:r>
    </w:p>
    <w:p w14:paraId="11808E99" w14:textId="77777777" w:rsidR="00522463" w:rsidRDefault="00192314" w:rsidP="00522463">
      <w:pPr>
        <w:pStyle w:val="Heading3"/>
      </w:pPr>
      <w:r w:rsidRPr="00522463">
        <w:rPr>
          <w:rStyle w:val="Strong"/>
          <w:rFonts w:cstheme="minorBidi"/>
          <w:b/>
          <w:szCs w:val="22"/>
        </w:rPr>
        <w:t>Rezoning.</w:t>
      </w:r>
    </w:p>
    <w:p w14:paraId="3AE10181" w14:textId="73EE214D" w:rsidR="00BE595D" w:rsidRDefault="00192314" w:rsidP="00522463">
      <w:r w:rsidRPr="004735E6">
        <w:t xml:space="preserve">In addition to the AFFH changes, </w:t>
      </w:r>
      <w:r w:rsidRPr="00522463">
        <w:rPr>
          <w:rStyle w:val="Emphasis"/>
          <w:rFonts w:cstheme="minorBidi"/>
          <w:szCs w:val="22"/>
        </w:rPr>
        <w:t>AB 1398</w:t>
      </w:r>
      <w:r w:rsidRPr="004735E6">
        <w:t xml:space="preserve"> imposes new rezoning requirements on jurisdictions. </w:t>
      </w:r>
      <w:r w:rsidR="004735E6" w:rsidRPr="004735E6">
        <w:t>If a jurisdiction does not adopt a housing element that HCD has found in substantial compliance within 120 days</w:t>
      </w:r>
      <w:r w:rsidR="00B811C4">
        <w:t xml:space="preserve"> of</w:t>
      </w:r>
      <w:r w:rsidR="00197B1A">
        <w:t xml:space="preserve"> </w:t>
      </w:r>
      <w:r w:rsidR="00B811C4">
        <w:t>the housing element due date</w:t>
      </w:r>
      <w:r w:rsidR="004735E6" w:rsidRPr="004735E6">
        <w:t xml:space="preserve">, the agency now has one year from the housing element due date to complete rezoning of sites. Previously, the agency had three years and 120 </w:t>
      </w:r>
      <w:r w:rsidR="004735E6" w:rsidRPr="004735E6">
        <w:lastRenderedPageBreak/>
        <w:t>days</w:t>
      </w:r>
      <w:r w:rsidR="00B811C4">
        <w:t xml:space="preserve"> regardless of the date </w:t>
      </w:r>
      <w:r w:rsidR="00197B1A">
        <w:t>the element was found in compliance</w:t>
      </w:r>
      <w:r w:rsidR="004735E6" w:rsidRPr="004735E6">
        <w:t xml:space="preserve">. </w:t>
      </w:r>
      <w:r w:rsidR="00BE595D">
        <w:t>If the housing element requires rezoning and it is not completed within one year of the housing element due date, HCD may revoke any findings of compliance it has previously made. Prior to revoking its findings, HCD must issue inconsistency findings and give the local agency an opportunity to respond.</w:t>
      </w:r>
      <w:r w:rsidR="00F00A47">
        <w:t xml:space="preserve"> Finally, if a housing element is adopted </w:t>
      </w:r>
      <w:r w:rsidR="00197B1A">
        <w:t xml:space="preserve">more than one year after the due date, </w:t>
      </w:r>
      <w:r w:rsidR="00F00A47">
        <w:t xml:space="preserve">it cannot be found to be in compliance until </w:t>
      </w:r>
      <w:r w:rsidR="00197B1A">
        <w:t xml:space="preserve">the agency </w:t>
      </w:r>
      <w:r w:rsidR="00F00A47">
        <w:t xml:space="preserve">has completed </w:t>
      </w:r>
      <w:r w:rsidR="00197B1A">
        <w:t xml:space="preserve">any </w:t>
      </w:r>
      <w:r w:rsidR="00F00A47">
        <w:t>required rezoning.</w:t>
      </w:r>
      <w:r w:rsidR="00197B1A">
        <w:t xml:space="preserve"> </w:t>
      </w:r>
    </w:p>
    <w:p w14:paraId="0367394B" w14:textId="4FC69D11" w:rsidR="00BD7CC4" w:rsidRDefault="004735E6" w:rsidP="00522463">
      <w:r w:rsidRPr="004735E6">
        <w:t xml:space="preserve">AB 1398 also eliminates 4-year housing element cycles for local governments that fail to adopt a housing element within 120 days of the due date. Starting with the 6th cycle, adoption of a housing element that HCD finds to be in substantial compliance </w:t>
      </w:r>
      <w:r w:rsidR="00D52450">
        <w:t xml:space="preserve">with state law </w:t>
      </w:r>
      <w:r w:rsidRPr="004735E6">
        <w:t>will be deemed to satisfy the 4-year housing element requirement.</w:t>
      </w:r>
      <w:r w:rsidR="00826CDD">
        <w:t xml:space="preserve">  </w:t>
      </w:r>
    </w:p>
    <w:p w14:paraId="28FE731C" w14:textId="77777777" w:rsidR="00522463" w:rsidRDefault="00F00A47" w:rsidP="00522463">
      <w:pPr>
        <w:pStyle w:val="Heading3"/>
        <w:rPr>
          <w:rStyle w:val="Strong"/>
          <w:rFonts w:cstheme="minorBidi"/>
          <w:szCs w:val="22"/>
        </w:rPr>
      </w:pPr>
      <w:r w:rsidRPr="00522463">
        <w:rPr>
          <w:rStyle w:val="Strong"/>
          <w:rFonts w:cstheme="minorBidi"/>
          <w:b/>
          <w:szCs w:val="22"/>
        </w:rPr>
        <w:t>Annual Progress Reports.</w:t>
      </w:r>
    </w:p>
    <w:p w14:paraId="3FF3E087" w14:textId="61F9033F" w:rsidR="00F00A47" w:rsidRDefault="00F00A47" w:rsidP="00522463">
      <w:r w:rsidRPr="00522463">
        <w:rPr>
          <w:rStyle w:val="Emphasis"/>
          <w:rFonts w:cstheme="minorBidi"/>
          <w:szCs w:val="22"/>
        </w:rPr>
        <w:t>SB 290</w:t>
      </w:r>
      <w:r>
        <w:t xml:space="preserve"> requires jurisdictions to include in their annual reports the number of units in a student housing development for lower-income students for which a developer was granted a density bonus. </w:t>
      </w:r>
      <w:r w:rsidRPr="00522463">
        <w:rPr>
          <w:rStyle w:val="Emphasis"/>
          <w:rFonts w:cstheme="minorBidi"/>
          <w:szCs w:val="22"/>
        </w:rPr>
        <w:t>SB 9</w:t>
      </w:r>
      <w:r>
        <w:t xml:space="preserve">, which is described in greater detail in the next section, requires jurisdictions to report the number of units constructed pursuant to its provisions as well as the number of applications for parcel maps for urban lot splits. </w:t>
      </w:r>
    </w:p>
    <w:p w14:paraId="592E5A60" w14:textId="1184820D" w:rsidR="0020144C" w:rsidRPr="0020144C" w:rsidRDefault="00F00A47" w:rsidP="00522463">
      <w:r w:rsidRPr="00522463">
        <w:rPr>
          <w:rStyle w:val="Emphasis"/>
          <w:rFonts w:cstheme="minorBidi"/>
          <w:szCs w:val="22"/>
        </w:rPr>
        <w:t>SB 787</w:t>
      </w:r>
      <w:r>
        <w:t xml:space="preserve"> provides that a local agency may include in the annual report the number of units in an existing multifamily building that were deed-restricted rental for moderate-income households by imposition of affordability covenants/restrictions for up to 25 percent of moderate-income RHNA. The jurisdiction must clearly indicate that these are not newly constructed </w:t>
      </w:r>
      <w:r w:rsidR="0020144C">
        <w:t>units and</w:t>
      </w:r>
      <w:r>
        <w:t xml:space="preserve"> </w:t>
      </w:r>
      <w:r w:rsidR="0020144C">
        <w:t xml:space="preserve">must meet specific requirements to be able to count these units in the annual report. While implementation of this new provision begins January 1, 2023, the agency may report any conversion that occurred after January 1, 2022. SB 787 does </w:t>
      </w:r>
      <w:r w:rsidR="0020144C" w:rsidRPr="0020144C">
        <w:rPr>
          <w:i/>
          <w:iCs/>
        </w:rPr>
        <w:t>not</w:t>
      </w:r>
      <w:r w:rsidR="0020144C">
        <w:t xml:space="preserve"> provide that jurisdictions may </w:t>
      </w:r>
      <w:r w:rsidR="008E1B24">
        <w:t xml:space="preserve">use </w:t>
      </w:r>
      <w:r w:rsidR="0020144C">
        <w:t>these units in their housing elements</w:t>
      </w:r>
      <w:r w:rsidR="008E1B24">
        <w:t xml:space="preserve"> to satisfy their RHNA</w:t>
      </w:r>
      <w:r w:rsidR="0020144C">
        <w:t xml:space="preserve">. </w:t>
      </w:r>
    </w:p>
    <w:p w14:paraId="79F1BCC5" w14:textId="02967035" w:rsidR="00F07884" w:rsidRDefault="00F07884" w:rsidP="00522463">
      <w:pPr>
        <w:pStyle w:val="Heading2"/>
      </w:pPr>
      <w:r w:rsidRPr="004735E6">
        <w:t>HOUSING DEVELOPMENT APPROVALS</w:t>
      </w:r>
    </w:p>
    <w:p w14:paraId="24624687" w14:textId="77777777" w:rsidR="00840BDB" w:rsidRDefault="00840BDB" w:rsidP="00522463">
      <w:pPr>
        <w:sectPr w:rsidR="00840BDB" w:rsidSect="00F07884">
          <w:type w:val="continuous"/>
          <w:pgSz w:w="12240" w:h="15840"/>
          <w:pgMar w:top="1440" w:right="1440" w:bottom="1440" w:left="1440" w:header="720" w:footer="720" w:gutter="0"/>
          <w:cols w:space="720"/>
          <w:docGrid w:linePitch="360"/>
        </w:sectPr>
      </w:pPr>
    </w:p>
    <w:p w14:paraId="4F4B908C" w14:textId="77777777" w:rsidR="00522463" w:rsidRDefault="00FC05DC" w:rsidP="00522463">
      <w:pPr>
        <w:pStyle w:val="Heading3"/>
      </w:pPr>
      <w:r w:rsidRPr="00522463">
        <w:rPr>
          <w:rStyle w:val="Strong"/>
          <w:rFonts w:cstheme="minorBidi"/>
          <w:b/>
          <w:szCs w:val="22"/>
        </w:rPr>
        <w:t>SB 330 Update</w:t>
      </w:r>
      <w:r w:rsidRPr="00FC05DC">
        <w:t>.</w:t>
      </w:r>
      <w:r>
        <w:t xml:space="preserve"> </w:t>
      </w:r>
    </w:p>
    <w:p w14:paraId="605B4D4F" w14:textId="7575ED78" w:rsidR="00840BDB" w:rsidRDefault="00840BDB" w:rsidP="00522463">
      <w:r w:rsidRPr="00522463">
        <w:rPr>
          <w:rStyle w:val="Emphasis"/>
          <w:rFonts w:cstheme="minorBidi"/>
          <w:szCs w:val="22"/>
        </w:rPr>
        <w:t>SB 8</w:t>
      </w:r>
      <w:r>
        <w:t xml:space="preserve"> extends </w:t>
      </w:r>
      <w:r w:rsidR="00FD47E3">
        <w:t xml:space="preserve">the key provisions of the Housing Crisis Act of 2019 until January 1, 2030. If a qualifying preliminary application for a housing development is submitted prior to January 1, 2030, the rights to complete the project can vest until January 1, 2034. SB 8 </w:t>
      </w:r>
      <w:r w:rsidR="00826CDD">
        <w:t xml:space="preserve">extends the protections provided by a preliminary application to </w:t>
      </w:r>
      <w:r w:rsidR="00CF2559">
        <w:t xml:space="preserve">three and a half years </w:t>
      </w:r>
      <w:r w:rsidR="00826CDD">
        <w:t xml:space="preserve">from </w:t>
      </w:r>
      <w:r w:rsidR="00522463">
        <w:t>“</w:t>
      </w:r>
      <w:r w:rsidR="00826CDD">
        <w:t>final approval</w:t>
      </w:r>
      <w:r w:rsidR="00522463">
        <w:t>”</w:t>
      </w:r>
      <w:r w:rsidR="00826CDD">
        <w:t xml:space="preserve"> </w:t>
      </w:r>
      <w:r w:rsidR="00CF2559">
        <w:t xml:space="preserve">if the project is an </w:t>
      </w:r>
      <w:r w:rsidR="00522463">
        <w:t>“</w:t>
      </w:r>
      <w:r w:rsidR="00CF2559">
        <w:t>affordable housing project</w:t>
      </w:r>
      <w:r w:rsidR="00522463">
        <w:t>”</w:t>
      </w:r>
      <w:r w:rsidR="00CF2559">
        <w:t xml:space="preserve"> as statutorily defined.</w:t>
      </w:r>
    </w:p>
    <w:p w14:paraId="687CE754" w14:textId="23240391" w:rsidR="00840BDB" w:rsidRDefault="00840BDB" w:rsidP="00522463">
      <w:r>
        <w:t xml:space="preserve">Perhaps most significantly, SB 8 </w:t>
      </w:r>
      <w:r w:rsidR="00826CDD">
        <w:t xml:space="preserve">modifies </w:t>
      </w:r>
      <w:r>
        <w:t xml:space="preserve">the definition of </w:t>
      </w:r>
      <w:r w:rsidR="00522463">
        <w:t>“</w:t>
      </w:r>
      <w:r>
        <w:t>housing development project</w:t>
      </w:r>
      <w:r w:rsidR="00522463">
        <w:t>”</w:t>
      </w:r>
      <w:r>
        <w:t xml:space="preserve"> to include (1) projects that involve no discretionary approvals and (2) projects to build a single dwelling unit. While this definition does not impact the scope of </w:t>
      </w:r>
      <w:r w:rsidR="00522463">
        <w:t>“</w:t>
      </w:r>
      <w:r>
        <w:t>housing development project</w:t>
      </w:r>
      <w:r w:rsidR="00522463">
        <w:t>”</w:t>
      </w:r>
      <w:r w:rsidR="00EF3AA2">
        <w:t xml:space="preserve"> under the Housing Accountability Act, it does impact the Permit Streamlining Act</w:t>
      </w:r>
      <w:r w:rsidR="00F1636F">
        <w:t xml:space="preserve"> (PSA)</w:t>
      </w:r>
      <w:r w:rsidR="00EF3AA2">
        <w:t xml:space="preserve"> and the </w:t>
      </w:r>
      <w:r w:rsidR="00EF3AA2">
        <w:lastRenderedPageBreak/>
        <w:t>Housing Crisis Act.</w:t>
      </w:r>
      <w:r w:rsidR="00FC05DC">
        <w:t xml:space="preserve"> As a result, the 30-day deadline in the PSA </w:t>
      </w:r>
      <w:r w:rsidR="00826CDD">
        <w:t xml:space="preserve">to notify applicants if their project is complete </w:t>
      </w:r>
      <w:r w:rsidR="00FC05DC">
        <w:t xml:space="preserve">will apply to SB 35 projects, ADUs, SB 9 projects, and single-family homes. </w:t>
      </w:r>
    </w:p>
    <w:p w14:paraId="2CD693F2" w14:textId="221B2A9B" w:rsidR="007169C3" w:rsidRDefault="007169C3" w:rsidP="00522463">
      <w:r>
        <w:t xml:space="preserve">Other clarifications made by </w:t>
      </w:r>
      <w:r w:rsidR="00CF2559">
        <w:t xml:space="preserve">SB 8 </w:t>
      </w:r>
      <w:r>
        <w:t xml:space="preserve">include: </w:t>
      </w:r>
    </w:p>
    <w:p w14:paraId="63B047F3" w14:textId="02A17E94" w:rsidR="007169C3" w:rsidRDefault="007169C3" w:rsidP="00522463">
      <w:pPr>
        <w:pStyle w:val="ListParagraph"/>
        <w:numPr>
          <w:ilvl w:val="0"/>
          <w:numId w:val="2"/>
        </w:numPr>
      </w:pPr>
      <w:r>
        <w:t xml:space="preserve">Expanding the definition of </w:t>
      </w:r>
      <w:r w:rsidR="00522463">
        <w:t>“</w:t>
      </w:r>
      <w:r>
        <w:t>hearing</w:t>
      </w:r>
      <w:r w:rsidR="00522463">
        <w:t>”</w:t>
      </w:r>
      <w:r>
        <w:t xml:space="preserve"> to include </w:t>
      </w:r>
      <w:r w:rsidR="00522463">
        <w:t>“</w:t>
      </w:r>
      <w:r>
        <w:t>any appeal</w:t>
      </w:r>
      <w:r w:rsidR="00522463">
        <w:t>”</w:t>
      </w:r>
      <w:r>
        <w:t xml:space="preserve"> conducted by the jurisdiction with respect to the housing development project</w:t>
      </w:r>
    </w:p>
    <w:p w14:paraId="59F01F69" w14:textId="7560DFE8" w:rsidR="007169C3" w:rsidRPr="008313D7" w:rsidRDefault="007169C3" w:rsidP="00522463">
      <w:pPr>
        <w:pStyle w:val="ListParagraph"/>
        <w:numPr>
          <w:ilvl w:val="0"/>
          <w:numId w:val="2"/>
        </w:numPr>
      </w:pPr>
      <w:r>
        <w:t xml:space="preserve">Providing that receipt of a density bonus, including any incentives, </w:t>
      </w:r>
      <w:r w:rsidR="008313D7">
        <w:t>concessions,</w:t>
      </w:r>
      <w:r>
        <w:t xml:space="preserve"> or waivers, does not constitute a valid basis on which to find a proposed housing development is inconsistent, noncompliant, or nonconforming with an applicable plan, program, policy, ordinance, standard, </w:t>
      </w:r>
      <w:proofErr w:type="gramStart"/>
      <w:r>
        <w:t>requirement</w:t>
      </w:r>
      <w:proofErr w:type="gramEnd"/>
      <w:r>
        <w:t xml:space="preserve"> or similar provision</w:t>
      </w:r>
    </w:p>
    <w:p w14:paraId="59C500EC" w14:textId="7F9CFFFB" w:rsidR="00FC05DC" w:rsidRDefault="00FC05DC" w:rsidP="00522463">
      <w:r>
        <w:t xml:space="preserve">SB 8 also amends the replacement housing and relocation requirements in the Housing Crisis Act of 2019. </w:t>
      </w:r>
      <w:r w:rsidR="00023695">
        <w:t xml:space="preserve">Existing law requires one-for-one replacement of </w:t>
      </w:r>
      <w:r w:rsidR="00561D76">
        <w:t>statutorily defined</w:t>
      </w:r>
      <w:r w:rsidR="00023695">
        <w:t xml:space="preserve"> </w:t>
      </w:r>
      <w:r w:rsidR="00522463">
        <w:t>“</w:t>
      </w:r>
      <w:r w:rsidR="00023695">
        <w:t>protected units</w:t>
      </w:r>
      <w:r w:rsidR="00522463">
        <w:t>”</w:t>
      </w:r>
      <w:r w:rsidR="00023695">
        <w:t xml:space="preserve"> that are demolished. Moreover, existing law provides that all residents of protected units, regardless of income, are entitled to state relocation benefits and a right of first refusal to a comparable unit. </w:t>
      </w:r>
      <w:r w:rsidR="00561D76">
        <w:t xml:space="preserve">SB </w:t>
      </w:r>
      <w:r w:rsidR="00C00492">
        <w:t xml:space="preserve">8 </w:t>
      </w:r>
      <w:r w:rsidR="00561D76">
        <w:t xml:space="preserve">changes these requirements </w:t>
      </w:r>
      <w:r w:rsidR="00AE6998">
        <w:t>by:</w:t>
      </w:r>
    </w:p>
    <w:p w14:paraId="21ED39C8" w14:textId="2FCC6470" w:rsidR="00C00492" w:rsidRDefault="00C00492" w:rsidP="00522463">
      <w:pPr>
        <w:pStyle w:val="ListParagraph"/>
        <w:numPr>
          <w:ilvl w:val="0"/>
          <w:numId w:val="3"/>
        </w:numPr>
      </w:pPr>
      <w:r>
        <w:t>Extend</w:t>
      </w:r>
      <w:r w:rsidR="00AE6998">
        <w:t xml:space="preserve">ing </w:t>
      </w:r>
      <w:r>
        <w:t xml:space="preserve">the requirement to replace </w:t>
      </w:r>
      <w:r w:rsidR="00522463">
        <w:t>“</w:t>
      </w:r>
      <w:r>
        <w:t>protected units</w:t>
      </w:r>
      <w:r w:rsidR="00522463">
        <w:t>”</w:t>
      </w:r>
      <w:r>
        <w:t xml:space="preserve"> to a project that proposes to demolish a single-family home. If a </w:t>
      </w:r>
      <w:r w:rsidR="00522463">
        <w:t>“</w:t>
      </w:r>
      <w:r>
        <w:t>protected</w:t>
      </w:r>
      <w:r w:rsidR="00522463">
        <w:t>”</w:t>
      </w:r>
      <w:r>
        <w:t xml:space="preserve"> single-family home is being replaced in a development that consists of two or more units, </w:t>
      </w:r>
      <w:r w:rsidR="00522463">
        <w:t>“</w:t>
      </w:r>
      <w:r>
        <w:t>comparable units</w:t>
      </w:r>
      <w:r w:rsidR="00522463">
        <w:t>”</w:t>
      </w:r>
      <w:r>
        <w:t xml:space="preserve"> means:</w:t>
      </w:r>
    </w:p>
    <w:p w14:paraId="3B3161B2" w14:textId="33C6B485" w:rsidR="00C00492" w:rsidRDefault="00C00492" w:rsidP="00522463">
      <w:pPr>
        <w:pStyle w:val="ListParagraph"/>
        <w:numPr>
          <w:ilvl w:val="1"/>
          <w:numId w:val="3"/>
        </w:numPr>
      </w:pPr>
      <w:r>
        <w:t>A unit that contains the same number of bedrooms, if the single-family home had three or fewer bedrooms; or</w:t>
      </w:r>
    </w:p>
    <w:p w14:paraId="18C2A1DE" w14:textId="22E831A8" w:rsidR="00C00492" w:rsidRDefault="00C00492" w:rsidP="00522463">
      <w:pPr>
        <w:pStyle w:val="ListParagraph"/>
        <w:numPr>
          <w:ilvl w:val="1"/>
          <w:numId w:val="3"/>
        </w:numPr>
      </w:pPr>
      <w:r>
        <w:t>A unit that contains three bedrooms, if the single-family home had four or more bedrooms.</w:t>
      </w:r>
    </w:p>
    <w:p w14:paraId="4661B86C" w14:textId="353C4CC2" w:rsidR="00AC6195" w:rsidRDefault="00AC6195" w:rsidP="00522463">
      <w:pPr>
        <w:pStyle w:val="ListParagraph"/>
        <w:numPr>
          <w:ilvl w:val="0"/>
          <w:numId w:val="3"/>
        </w:numPr>
      </w:pPr>
      <w:r>
        <w:t>Clarifying that existing occupants that are displaced for the housing development project can return to their units at their prior rental rate if the demolition does not proceed and the property is return</w:t>
      </w:r>
      <w:r w:rsidR="00826CDD">
        <w:t>ed</w:t>
      </w:r>
      <w:r>
        <w:t xml:space="preserve"> to the rental market</w:t>
      </w:r>
      <w:r w:rsidR="00826CDD">
        <w:t>.</w:t>
      </w:r>
    </w:p>
    <w:p w14:paraId="4C92CAB3" w14:textId="56959BE0" w:rsidR="00AC6195" w:rsidRDefault="00AC6195" w:rsidP="00522463">
      <w:pPr>
        <w:pStyle w:val="ListParagraph"/>
        <w:numPr>
          <w:ilvl w:val="0"/>
          <w:numId w:val="3"/>
        </w:numPr>
      </w:pPr>
      <w:r>
        <w:t>Limiting relocation benefits, including rental assistance payments and right of first refusal, to lower-income households</w:t>
      </w:r>
      <w:r w:rsidR="00826CDD">
        <w:t>.</w:t>
      </w:r>
    </w:p>
    <w:p w14:paraId="40C5AF15" w14:textId="7A9958DF" w:rsidR="00AE6998" w:rsidRDefault="00AE6998" w:rsidP="00522463">
      <w:pPr>
        <w:pStyle w:val="ListParagraph"/>
        <w:numPr>
          <w:ilvl w:val="0"/>
          <w:numId w:val="3"/>
        </w:numPr>
      </w:pPr>
      <w:r>
        <w:t>Providing that the existing occupants</w:t>
      </w:r>
      <w:r w:rsidR="008F0127">
        <w:t>’</w:t>
      </w:r>
      <w:r>
        <w:t xml:space="preserve"> right of first refusal to a comparable unit in the new housing development </w:t>
      </w:r>
      <w:r w:rsidR="00FE6F44">
        <w:t>does not apply to:</w:t>
      </w:r>
    </w:p>
    <w:p w14:paraId="36DBC874" w14:textId="4E808127" w:rsidR="00FE6F44" w:rsidRDefault="00FE6F44" w:rsidP="00522463">
      <w:pPr>
        <w:pStyle w:val="ListParagraph"/>
        <w:numPr>
          <w:ilvl w:val="1"/>
          <w:numId w:val="3"/>
        </w:numPr>
      </w:pPr>
      <w:r>
        <w:t xml:space="preserve">A development project that consists of a single residential unit located on a site where a single protected unit is being </w:t>
      </w:r>
      <w:proofErr w:type="gramStart"/>
      <w:r>
        <w:t>demolished;</w:t>
      </w:r>
      <w:proofErr w:type="gramEnd"/>
    </w:p>
    <w:p w14:paraId="19A38EA4" w14:textId="7FC1C042" w:rsidR="00FE6F44" w:rsidRDefault="00FE6F44" w:rsidP="00522463">
      <w:pPr>
        <w:pStyle w:val="ListParagraph"/>
        <w:numPr>
          <w:ilvl w:val="1"/>
          <w:numId w:val="3"/>
        </w:numPr>
      </w:pPr>
      <w:r>
        <w:t>Units in a housing development in which 100 percent of the units, except the manager</w:t>
      </w:r>
      <w:r w:rsidR="008F0127">
        <w:t>’</w:t>
      </w:r>
      <w:r>
        <w:t xml:space="preserve">s unit(s), are reserved for </w:t>
      </w:r>
      <w:r w:rsidR="000507C0">
        <w:t>lower income</w:t>
      </w:r>
      <w:r>
        <w:t xml:space="preserve"> </w:t>
      </w:r>
      <w:proofErr w:type="gramStart"/>
      <w:r w:rsidR="000507C0">
        <w:t>households;</w:t>
      </w:r>
      <w:proofErr w:type="gramEnd"/>
    </w:p>
    <w:p w14:paraId="579F260B" w14:textId="7DCEAB0E" w:rsidR="00AC6195" w:rsidRDefault="00AC6195" w:rsidP="00522463">
      <w:pPr>
        <w:pStyle w:val="ListParagraph"/>
        <w:numPr>
          <w:ilvl w:val="1"/>
          <w:numId w:val="3"/>
        </w:numPr>
      </w:pPr>
      <w:r>
        <w:t xml:space="preserve">Occupants of a short-term rental that is rented for fewer than 30 </w:t>
      </w:r>
      <w:proofErr w:type="gramStart"/>
      <w:r>
        <w:t>days;</w:t>
      </w:r>
      <w:proofErr w:type="gramEnd"/>
    </w:p>
    <w:p w14:paraId="25789B24" w14:textId="062B7543" w:rsidR="00AC6195" w:rsidRPr="003315D1" w:rsidRDefault="00AC6195" w:rsidP="00522463">
      <w:pPr>
        <w:pStyle w:val="ListParagraph"/>
        <w:numPr>
          <w:ilvl w:val="1"/>
          <w:numId w:val="3"/>
        </w:numPr>
      </w:pPr>
      <w:r>
        <w:t xml:space="preserve">Any unlawful occupant of a protected unit. </w:t>
      </w:r>
    </w:p>
    <w:p w14:paraId="3774D57C" w14:textId="18E8AFB9" w:rsidR="00522463" w:rsidRDefault="00FC05DC" w:rsidP="00522463">
      <w:pPr>
        <w:pStyle w:val="Heading3"/>
      </w:pPr>
      <w:r w:rsidRPr="00522463">
        <w:lastRenderedPageBreak/>
        <w:t>Two-Unit Developments &amp; Urban Lot Splits.</w:t>
      </w:r>
      <w:r w:rsidR="00207922" w:rsidRPr="00522463">
        <w:rPr>
          <w:rStyle w:val="FootnoteReference"/>
          <w:bCs/>
          <w:u w:val="none"/>
        </w:rPr>
        <w:footnoteReference w:id="1"/>
      </w:r>
    </w:p>
    <w:p w14:paraId="24571227" w14:textId="70924BDA" w:rsidR="00FC05DC" w:rsidRDefault="00CF11E9" w:rsidP="00522463">
      <w:r>
        <w:t xml:space="preserve">SB 9 requires public agencies to ministerially approve </w:t>
      </w:r>
      <w:r w:rsidR="002470AB">
        <w:t>urban lot splits and two-unit developments that meet certain criteria. The intent of SB 9 is to increase density in single-family neighborhoods, allowing additional units to be built on a lot that is current zoned for a single-family residence.</w:t>
      </w:r>
    </w:p>
    <w:p w14:paraId="5672E033" w14:textId="50DB21BA" w:rsidR="0042735E" w:rsidRPr="0042735E" w:rsidRDefault="0042735E" w:rsidP="00522463">
      <w:r w:rsidRPr="0042735E">
        <w:t>Under SB 9, local agencies must ministerially approve, without discretionary review or hearing, certain urban lot splits. To qualify for ministerial approval under SB 9, the parcel to be split must be in a single-family residential zone, and the parcel map for the urban lot split must meet the following requirements:</w:t>
      </w:r>
    </w:p>
    <w:p w14:paraId="100FD587" w14:textId="77777777" w:rsidR="0042735E" w:rsidRPr="0042735E" w:rsidRDefault="0042735E" w:rsidP="00522463">
      <w:pPr>
        <w:pStyle w:val="ListParagraph"/>
        <w:numPr>
          <w:ilvl w:val="0"/>
          <w:numId w:val="9"/>
        </w:numPr>
      </w:pPr>
      <w:r w:rsidRPr="00522463">
        <w:rPr>
          <w:rStyle w:val="Emphasis"/>
          <w:rFonts w:cstheme="minorBidi"/>
          <w:szCs w:val="22"/>
        </w:rPr>
        <w:t>Location</w:t>
      </w:r>
      <w:r w:rsidRPr="0042735E">
        <w:rPr>
          <w:b/>
          <w:bCs/>
        </w:rPr>
        <w:t xml:space="preserve">. </w:t>
      </w:r>
      <w:r w:rsidRPr="0042735E">
        <w:t>The project must be in an urbanized area or urban cluster, or within a city with boundaries in an urbanized area or urban cluster, as those terms are defined by the U.S. Census Bureau. The project cannot be on the site of a designated local or state historic landmark or within a local or state historic district. The project may not be on prime agricultural land, wetlands, or protected species habitat, but may be in a high or very high fire severity hazard zone, earthquake fault zone, floodplain, floodway, and site with hazardous materials so long as certain mitigation measures (as outlined in Government Code Section 65913.4(a)(6)) have been implemented on those sites.</w:t>
      </w:r>
    </w:p>
    <w:p w14:paraId="4A7F5D15" w14:textId="77777777" w:rsidR="0042735E" w:rsidRPr="0042735E" w:rsidRDefault="0042735E" w:rsidP="00522463">
      <w:pPr>
        <w:pStyle w:val="ListParagraph"/>
        <w:numPr>
          <w:ilvl w:val="0"/>
          <w:numId w:val="9"/>
        </w:numPr>
      </w:pPr>
      <w:r w:rsidRPr="00522463">
        <w:rPr>
          <w:rStyle w:val="Emphasis"/>
          <w:rFonts w:cstheme="minorBidi"/>
          <w:szCs w:val="22"/>
        </w:rPr>
        <w:t>Parcel Size</w:t>
      </w:r>
      <w:r w:rsidRPr="0042735E">
        <w:rPr>
          <w:b/>
          <w:bCs/>
        </w:rPr>
        <w:t>.</w:t>
      </w:r>
      <w:r w:rsidRPr="0042735E">
        <w:t xml:space="preserve"> The parcel map must subdivide an existing parcel to create no more than two new parcels of approximately equal lot area, with neither resulting parcel exceeding 60 percent of the lot area of the original parcel. Additionally, both newly created parcels must be at least 1,200 square feet (unless the local agency adopts a smaller lot size).</w:t>
      </w:r>
    </w:p>
    <w:p w14:paraId="1322BB95" w14:textId="77777777" w:rsidR="0042735E" w:rsidRPr="0042735E" w:rsidRDefault="0042735E" w:rsidP="00522463">
      <w:pPr>
        <w:pStyle w:val="ListParagraph"/>
        <w:numPr>
          <w:ilvl w:val="0"/>
          <w:numId w:val="9"/>
        </w:numPr>
      </w:pPr>
      <w:r w:rsidRPr="00522463">
        <w:rPr>
          <w:rStyle w:val="Emphasis"/>
          <w:rFonts w:cstheme="minorBidi"/>
          <w:szCs w:val="22"/>
        </w:rPr>
        <w:t>No Prior SB 9 Lot Split</w:t>
      </w:r>
      <w:r w:rsidRPr="0042735E">
        <w:rPr>
          <w:b/>
          <w:bCs/>
        </w:rPr>
        <w:t xml:space="preserve">. </w:t>
      </w:r>
      <w:r w:rsidRPr="0042735E">
        <w:t xml:space="preserve">The parcel to be split may not have been established through a prior SB 9 lot split. Neither the owner nor anyone acting in concert with the owner may have previously subdivided an adjacent parcel using an SB 9 lot split. </w:t>
      </w:r>
    </w:p>
    <w:p w14:paraId="36830B83" w14:textId="77777777" w:rsidR="0042735E" w:rsidRPr="0042735E" w:rsidRDefault="0042735E" w:rsidP="00522463">
      <w:pPr>
        <w:pStyle w:val="ListParagraph"/>
        <w:numPr>
          <w:ilvl w:val="0"/>
          <w:numId w:val="9"/>
        </w:numPr>
      </w:pPr>
      <w:r w:rsidRPr="00522463">
        <w:rPr>
          <w:rStyle w:val="Emphasis"/>
          <w:rFonts w:cstheme="minorBidi"/>
          <w:szCs w:val="22"/>
        </w:rPr>
        <w:t>Subdivision Map Requirements</w:t>
      </w:r>
      <w:r w:rsidRPr="0042735E">
        <w:rPr>
          <w:b/>
          <w:bCs/>
        </w:rPr>
        <w:t xml:space="preserve">. </w:t>
      </w:r>
      <w:r w:rsidRPr="0042735E">
        <w:t>The urban lot split must conform to all applicable objective requirements of the Subdivision Map Act, except those that conflict with SB 9 requirements.</w:t>
      </w:r>
    </w:p>
    <w:p w14:paraId="5C5D65E6" w14:textId="77777777" w:rsidR="0042735E" w:rsidRPr="0042735E" w:rsidRDefault="0042735E" w:rsidP="00522463">
      <w:pPr>
        <w:pStyle w:val="ListParagraph"/>
        <w:numPr>
          <w:ilvl w:val="0"/>
          <w:numId w:val="9"/>
        </w:numPr>
      </w:pPr>
      <w:r w:rsidRPr="00522463">
        <w:rPr>
          <w:rStyle w:val="Emphasis"/>
          <w:rFonts w:cstheme="minorBidi"/>
          <w:szCs w:val="22"/>
        </w:rPr>
        <w:t>Protected Units</w:t>
      </w:r>
      <w:r w:rsidRPr="0042735E">
        <w:rPr>
          <w:b/>
          <w:bCs/>
        </w:rPr>
        <w:t>.</w:t>
      </w:r>
      <w:r w:rsidRPr="0042735E">
        <w:t xml:space="preserve"> The urban lot split may not result in the demolition or alteration of affordable housing, rent-controlled housing, housing that was withdrawn from the rental market in the last 15 years, or housing occupied by a tenant in the past 3 years. </w:t>
      </w:r>
    </w:p>
    <w:p w14:paraId="061B0312" w14:textId="70F437B3" w:rsidR="0042735E" w:rsidRPr="0042735E" w:rsidRDefault="0042735E" w:rsidP="00522463">
      <w:pPr>
        <w:pStyle w:val="ListParagraph"/>
        <w:numPr>
          <w:ilvl w:val="0"/>
          <w:numId w:val="9"/>
        </w:numPr>
      </w:pPr>
      <w:r w:rsidRPr="00522463">
        <w:rPr>
          <w:rStyle w:val="Emphasis"/>
          <w:rFonts w:cstheme="minorBidi"/>
          <w:szCs w:val="22"/>
        </w:rPr>
        <w:t>Owner-Occupancy Affidavit</w:t>
      </w:r>
      <w:r w:rsidRPr="0042735E">
        <w:rPr>
          <w:b/>
          <w:bCs/>
        </w:rPr>
        <w:t>.</w:t>
      </w:r>
      <w:r w:rsidRPr="0042735E">
        <w:t xml:space="preserve"> The applicant must indicate, by affidavit, the applicant</w:t>
      </w:r>
      <w:r w:rsidR="008F0127">
        <w:t>’</w:t>
      </w:r>
      <w:r w:rsidRPr="0042735E">
        <w:t xml:space="preserve">s intention to reside in one of the units built on either parcel for at least three years. This requirement does not apply if the applicant is a qualified non-profit or community land trust. A local agency may not impose any additional owner occupancy requirements on units built on a SB 9 lot. </w:t>
      </w:r>
    </w:p>
    <w:p w14:paraId="55518D33" w14:textId="77777777" w:rsidR="0042735E" w:rsidRPr="0042735E" w:rsidRDefault="0042735E" w:rsidP="00522463">
      <w:pPr>
        <w:pStyle w:val="ListParagraph"/>
        <w:numPr>
          <w:ilvl w:val="0"/>
          <w:numId w:val="9"/>
        </w:numPr>
      </w:pPr>
      <w:r w:rsidRPr="00522463">
        <w:rPr>
          <w:rStyle w:val="Emphasis"/>
          <w:rFonts w:cstheme="minorBidi"/>
          <w:szCs w:val="22"/>
        </w:rPr>
        <w:lastRenderedPageBreak/>
        <w:t>Residential Uses</w:t>
      </w:r>
      <w:r w:rsidRPr="0042735E">
        <w:rPr>
          <w:b/>
          <w:bCs/>
        </w:rPr>
        <w:t>.</w:t>
      </w:r>
      <w:r w:rsidRPr="0042735E">
        <w:t xml:space="preserve"> Any units constructed on a parcel created through via SB 9 must be used for residential purposes and cannot be used for short-term rentals of less than 30 days.</w:t>
      </w:r>
    </w:p>
    <w:p w14:paraId="34A2B831" w14:textId="334A5EDE" w:rsidR="0042735E" w:rsidRPr="0042735E" w:rsidRDefault="0042735E" w:rsidP="00522463">
      <w:r w:rsidRPr="0042735E">
        <w:t>A parcel map application for an urban lot split that meets these criteria and otherwise qualifies for the SB 9</w:t>
      </w:r>
      <w:r w:rsidR="008F0127">
        <w:t>’</w:t>
      </w:r>
      <w:r w:rsidRPr="0042735E">
        <w:t>s ministerial process is exempt from the provisions of the California Environmental Quality Act, as is an ordinance implementing these provisions. The provisions of the California Coastal Act of 1976 are applicable to SB 9 urban lot splits, except that a local agency is not required to hold a public hearing for coastal development permit applications.</w:t>
      </w:r>
    </w:p>
    <w:p w14:paraId="61810165" w14:textId="05257B2B" w:rsidR="0042735E" w:rsidRPr="0042735E" w:rsidRDefault="0042735E" w:rsidP="00522463">
      <w:r>
        <w:t xml:space="preserve">A </w:t>
      </w:r>
      <w:r w:rsidRPr="0042735E">
        <w:t>local agency may impose objective zoning standards, objective subdivision standards, and objective design review standards to an SB 9 urban lot split, so long as those standards do not conflict with the limitations imposed by SB 9 and would not physically preclude the construction of up to two units of at least 800 square feet each. Other limitations in SB 9 include:</w:t>
      </w:r>
    </w:p>
    <w:p w14:paraId="2D1F787A" w14:textId="77777777" w:rsidR="0042735E" w:rsidRPr="0042735E" w:rsidRDefault="0042735E" w:rsidP="00522463">
      <w:pPr>
        <w:pStyle w:val="ListParagraph"/>
        <w:numPr>
          <w:ilvl w:val="0"/>
          <w:numId w:val="10"/>
        </w:numPr>
      </w:pPr>
      <w:r w:rsidRPr="00522463">
        <w:rPr>
          <w:rStyle w:val="Emphasis"/>
          <w:rFonts w:cstheme="minorBidi"/>
          <w:szCs w:val="22"/>
        </w:rPr>
        <w:t>Setbacks.</w:t>
      </w:r>
      <w:r w:rsidRPr="0042735E">
        <w:rPr>
          <w:b/>
          <w:bCs/>
        </w:rPr>
        <w:t xml:space="preserve"> </w:t>
      </w:r>
      <w:r w:rsidRPr="0042735E">
        <w:t>A local agency may not require rear and side yard setbacks of more than four feet. No setback may be required for a unit constructed (1) within an existing living area, or (2) in the same location and to the same dimensions as an existing structure.</w:t>
      </w:r>
    </w:p>
    <w:p w14:paraId="2B5DB2AB" w14:textId="4C3E3347" w:rsidR="0042735E" w:rsidRPr="0042735E" w:rsidRDefault="0042735E" w:rsidP="00522463">
      <w:pPr>
        <w:pStyle w:val="ListParagraph"/>
        <w:numPr>
          <w:ilvl w:val="0"/>
          <w:numId w:val="10"/>
        </w:numPr>
      </w:pPr>
      <w:r w:rsidRPr="00522463">
        <w:rPr>
          <w:rStyle w:val="Emphasis"/>
          <w:rFonts w:cstheme="minorBidi"/>
          <w:szCs w:val="22"/>
        </w:rPr>
        <w:t>Parking Requirements.</w:t>
      </w:r>
      <w:r w:rsidRPr="0042735E">
        <w:rPr>
          <w:b/>
          <w:bCs/>
        </w:rPr>
        <w:t xml:space="preserve"> </w:t>
      </w:r>
      <w:r w:rsidRPr="0042735E">
        <w:t>A local agency may only require one off-street parking space per unit.</w:t>
      </w:r>
      <w:r w:rsidR="00826CDD">
        <w:t xml:space="preserve">  </w:t>
      </w:r>
      <w:r w:rsidRPr="0042735E">
        <w:t xml:space="preserve">No parking requirements may be imposed if the parcel is located within (1) one-half mile walking distance of either a statutorily defined high-quality transit corridor or major transit stop, or (2) one block of a car share vehicle. </w:t>
      </w:r>
    </w:p>
    <w:p w14:paraId="449C1580" w14:textId="77777777" w:rsidR="0042735E" w:rsidRPr="0042735E" w:rsidRDefault="0042735E" w:rsidP="00522463">
      <w:pPr>
        <w:pStyle w:val="ListParagraph"/>
        <w:numPr>
          <w:ilvl w:val="0"/>
          <w:numId w:val="10"/>
        </w:numPr>
      </w:pPr>
      <w:r w:rsidRPr="00522463">
        <w:rPr>
          <w:rStyle w:val="Emphasis"/>
          <w:rFonts w:cstheme="minorBidi"/>
          <w:szCs w:val="22"/>
        </w:rPr>
        <w:t>Easements, Access, and Dedications</w:t>
      </w:r>
      <w:r w:rsidRPr="0042735E">
        <w:rPr>
          <w:b/>
          <w:bCs/>
        </w:rPr>
        <w:t>.</w:t>
      </w:r>
      <w:r w:rsidRPr="0042735E">
        <w:t xml:space="preserve"> A local agency may require an application for a parcel map for an urban lot split to include easements necessary for the provision of public services and facilities. The local agency may also require that the resulting parcels have access to, provide access to, or adjoin the public right-of-way. The local agency may not require dedications of rights-of-way or construction of offsite improvements. </w:t>
      </w:r>
    </w:p>
    <w:p w14:paraId="32F19F00" w14:textId="43A778CF" w:rsidR="0042735E" w:rsidRPr="0042735E" w:rsidRDefault="0042735E" w:rsidP="00522463">
      <w:pPr>
        <w:pStyle w:val="ListParagraph"/>
        <w:numPr>
          <w:ilvl w:val="0"/>
          <w:numId w:val="10"/>
        </w:numPr>
      </w:pPr>
      <w:r w:rsidRPr="00522463">
        <w:rPr>
          <w:rStyle w:val="Emphasis"/>
          <w:rFonts w:cstheme="minorBidi"/>
          <w:szCs w:val="22"/>
        </w:rPr>
        <w:t>Number of Units; ADUs and JADUs</w:t>
      </w:r>
      <w:r w:rsidRPr="0042735E">
        <w:rPr>
          <w:b/>
          <w:bCs/>
        </w:rPr>
        <w:t>.</w:t>
      </w:r>
      <w:r w:rsidR="00826CDD">
        <w:rPr>
          <w:b/>
          <w:bCs/>
        </w:rPr>
        <w:t xml:space="preserve">  </w:t>
      </w:r>
      <w:r>
        <w:t xml:space="preserve">Notwithstanding state ADU laws, </w:t>
      </w:r>
      <w:r w:rsidRPr="0042735E">
        <w:t>a local agency is not required to permit more than two units on any parcel created through the authority in SB 9, inclusive of any accessory dwelling units or junior accessory dwelling units.</w:t>
      </w:r>
    </w:p>
    <w:p w14:paraId="7A6D921F" w14:textId="77777777" w:rsidR="0042735E" w:rsidRPr="0042735E" w:rsidRDefault="0042735E" w:rsidP="00522463">
      <w:pPr>
        <w:pStyle w:val="ListParagraph"/>
        <w:numPr>
          <w:ilvl w:val="0"/>
          <w:numId w:val="10"/>
        </w:numPr>
      </w:pPr>
      <w:r w:rsidRPr="00522463">
        <w:rPr>
          <w:rStyle w:val="Emphasis"/>
          <w:rFonts w:cstheme="minorBidi"/>
          <w:szCs w:val="22"/>
        </w:rPr>
        <w:t>Adjacent or Connected Structures</w:t>
      </w:r>
      <w:r w:rsidRPr="0042735E">
        <w:rPr>
          <w:b/>
          <w:bCs/>
        </w:rPr>
        <w:t>.</w:t>
      </w:r>
      <w:r w:rsidRPr="0042735E">
        <w:t xml:space="preserve"> A local agency may not deny an application for an urban lot split solely because it proposes adjacent or connected structures, </w:t>
      </w:r>
      <w:proofErr w:type="gramStart"/>
      <w:r w:rsidRPr="0042735E">
        <w:t>as long as</w:t>
      </w:r>
      <w:proofErr w:type="gramEnd"/>
      <w:r w:rsidRPr="0042735E">
        <w:t xml:space="preserve"> the structures meet building code safety standards and are sufficient to allow separate conveyance.</w:t>
      </w:r>
    </w:p>
    <w:p w14:paraId="588BA845" w14:textId="11473CD4" w:rsidR="0042735E" w:rsidRDefault="0042735E" w:rsidP="00522463">
      <w:r>
        <w:t xml:space="preserve">An </w:t>
      </w:r>
      <w:r w:rsidRPr="0042735E">
        <w:t xml:space="preserve">application for a parcel map for an urban lot split </w:t>
      </w:r>
      <w:r>
        <w:t xml:space="preserve">that meets the </w:t>
      </w:r>
      <w:proofErr w:type="gramStart"/>
      <w:r>
        <w:t>aforementioned criteria</w:t>
      </w:r>
      <w:proofErr w:type="gramEnd"/>
      <w:r>
        <w:t xml:space="preserve"> may be denied if </w:t>
      </w:r>
      <w:r w:rsidRPr="0042735E">
        <w:t>the local building official make</w:t>
      </w:r>
      <w:r w:rsidR="009A0A30">
        <w:t>s</w:t>
      </w:r>
      <w:r w:rsidRPr="0042735E">
        <w:t xml:space="preserve"> a written finding, based on a preponderance of the evidence, that the proposed housing development project would have a specific, adverse impact upon public health and safety, or the physical environment, and there is no feasible method by which to satisfactorily mitigate the adverse impact. </w:t>
      </w:r>
    </w:p>
    <w:p w14:paraId="5084810E" w14:textId="2F4A144E" w:rsidR="0042735E" w:rsidRDefault="0042735E" w:rsidP="00522463">
      <w:r>
        <w:t xml:space="preserve">Similarly, SB 9 requires ministerial approval of certain two-unit developments in single-family residential zones. Two-unit developments are those that propose either construction of no more </w:t>
      </w:r>
      <w:r>
        <w:lastRenderedPageBreak/>
        <w:t xml:space="preserve">than two new units, or the addition of one new unit to an existing unit. </w:t>
      </w:r>
      <w:r w:rsidR="009F1C35">
        <w:t>To qualify for SB 9 ministerial approval, the proposed development must satisfy the following requirements:</w:t>
      </w:r>
    </w:p>
    <w:p w14:paraId="47F9AEA1" w14:textId="75709C54" w:rsidR="009F1C35" w:rsidRDefault="009F1C35" w:rsidP="00522463">
      <w:pPr>
        <w:pStyle w:val="ListParagraph"/>
        <w:numPr>
          <w:ilvl w:val="0"/>
          <w:numId w:val="11"/>
        </w:numPr>
      </w:pPr>
      <w:r w:rsidRPr="00522463">
        <w:rPr>
          <w:rStyle w:val="Emphasis"/>
          <w:rFonts w:cstheme="minorBidi"/>
          <w:szCs w:val="22"/>
        </w:rPr>
        <w:t>Location</w:t>
      </w:r>
      <w:r>
        <w:rPr>
          <w:b/>
          <w:bCs/>
        </w:rPr>
        <w:t>.</w:t>
      </w:r>
      <w:r>
        <w:t xml:space="preserve"> Same as urban lot splits.</w:t>
      </w:r>
    </w:p>
    <w:p w14:paraId="7C2A451D" w14:textId="07B7F0F8" w:rsidR="009F1C35" w:rsidRDefault="009F1C35" w:rsidP="00522463">
      <w:pPr>
        <w:pStyle w:val="ListParagraph"/>
        <w:numPr>
          <w:ilvl w:val="0"/>
          <w:numId w:val="11"/>
        </w:numPr>
      </w:pPr>
      <w:r w:rsidRPr="00522463">
        <w:rPr>
          <w:rStyle w:val="Emphasis"/>
          <w:rFonts w:cstheme="minorBidi"/>
          <w:szCs w:val="22"/>
        </w:rPr>
        <w:t>Protected Units.</w:t>
      </w:r>
      <w:r>
        <w:t xml:space="preserve"> Same as urban lot splits.</w:t>
      </w:r>
    </w:p>
    <w:p w14:paraId="36A3FC69" w14:textId="72E1CA34" w:rsidR="009F1C35" w:rsidRDefault="009F1C35" w:rsidP="00522463">
      <w:pPr>
        <w:pStyle w:val="ListParagraph"/>
        <w:numPr>
          <w:ilvl w:val="0"/>
          <w:numId w:val="11"/>
        </w:numPr>
      </w:pPr>
      <w:r w:rsidRPr="00522463">
        <w:rPr>
          <w:rStyle w:val="Emphasis"/>
          <w:rFonts w:cstheme="minorBidi"/>
          <w:szCs w:val="22"/>
        </w:rPr>
        <w:t>Residential Uses.</w:t>
      </w:r>
      <w:r>
        <w:t xml:space="preserve"> Same as urban lot splits.</w:t>
      </w:r>
    </w:p>
    <w:p w14:paraId="5B171D22" w14:textId="77A10C20" w:rsidR="009F1C35" w:rsidRDefault="009F1C35" w:rsidP="00522463">
      <w:pPr>
        <w:pStyle w:val="ListParagraph"/>
        <w:numPr>
          <w:ilvl w:val="0"/>
          <w:numId w:val="11"/>
        </w:numPr>
      </w:pPr>
      <w:r w:rsidRPr="00522463">
        <w:rPr>
          <w:rStyle w:val="Emphasis"/>
          <w:rFonts w:cstheme="minorBidi"/>
          <w:szCs w:val="22"/>
        </w:rPr>
        <w:t>Limitation on Demolition</w:t>
      </w:r>
      <w:r>
        <w:rPr>
          <w:b/>
          <w:bCs/>
        </w:rPr>
        <w:t xml:space="preserve">. </w:t>
      </w:r>
      <w:r>
        <w:t xml:space="preserve">The project may not demolish more than 25 percent of the exterior walls of an existing unit unless either the local agency permits </w:t>
      </w:r>
      <w:r w:rsidR="000507C0">
        <w:t>otherwise,</w:t>
      </w:r>
      <w:r>
        <w:t xml:space="preserve"> or the site has not been occupied by a tenant in the last 3 years.</w:t>
      </w:r>
    </w:p>
    <w:p w14:paraId="2BD9D7E3" w14:textId="55FD910A" w:rsidR="009F1C35" w:rsidRDefault="00BA7C9E" w:rsidP="00522463">
      <w:r>
        <w:t xml:space="preserve">The </w:t>
      </w:r>
      <w:r w:rsidR="00C812DC">
        <w:t>standard for</w:t>
      </w:r>
      <w:r>
        <w:t xml:space="preserve"> local</w:t>
      </w:r>
      <w:r w:rsidR="00C812DC">
        <w:t xml:space="preserve"> imposition of objective standards to two-unit developments is the same as for urban lot splits, </w:t>
      </w:r>
      <w:r>
        <w:t>and t</w:t>
      </w:r>
      <w:r w:rsidR="00C812DC">
        <w:t xml:space="preserve">he same limitations on </w:t>
      </w:r>
      <w:r>
        <w:t xml:space="preserve">standards for </w:t>
      </w:r>
      <w:r w:rsidR="00C812DC">
        <w:t>setbacks, parking requirements and adjacent or connected structures apply to</w:t>
      </w:r>
      <w:r>
        <w:t xml:space="preserve"> qualifying</w:t>
      </w:r>
      <w:r w:rsidR="00C812DC">
        <w:t xml:space="preserve"> two-unit developments</w:t>
      </w:r>
      <w:r w:rsidR="00C812DC" w:rsidRPr="00BA7C9E">
        <w:t>.</w:t>
      </w:r>
      <w:r w:rsidRPr="00BA7C9E">
        <w:t xml:space="preserve"> For residential units connected to an onsite wastewater treatment system, the local agency may require a percolation test completed within the last 5 years, or if the percolation test has been recertified, within the last ten years</w:t>
      </w:r>
      <w:r>
        <w:t>.</w:t>
      </w:r>
    </w:p>
    <w:p w14:paraId="7BB21B73" w14:textId="54F68DB3" w:rsidR="00BA7C9E" w:rsidRPr="009F1C35" w:rsidRDefault="00BA7C9E" w:rsidP="00522463">
      <w:r>
        <w:t>As with qualifying urban lots splits, a two-unit development that meets the criteria is exempt from CEQA, but subject to the provisions of the California Coastal Act of 1975 (except for the public hearing requirements). Lastly, a local agency may deny an otherwise qualifying two-unit development upon the same health and safety finding outlined above.</w:t>
      </w:r>
    </w:p>
    <w:p w14:paraId="67B6A402" w14:textId="77777777" w:rsidR="008F0127" w:rsidRDefault="001C32AC" w:rsidP="008F0127">
      <w:pPr>
        <w:pStyle w:val="Heading3"/>
      </w:pPr>
      <w:proofErr w:type="spellStart"/>
      <w:r w:rsidRPr="00522463">
        <w:rPr>
          <w:rStyle w:val="Strong"/>
          <w:rFonts w:cstheme="minorBidi"/>
          <w:b/>
          <w:szCs w:val="22"/>
        </w:rPr>
        <w:t>Upzoning</w:t>
      </w:r>
      <w:proofErr w:type="spellEnd"/>
      <w:r w:rsidRPr="00522463">
        <w:rPr>
          <w:rStyle w:val="Strong"/>
          <w:rFonts w:cstheme="minorBidi"/>
          <w:b/>
          <w:szCs w:val="22"/>
        </w:rPr>
        <w:t>.</w:t>
      </w:r>
      <w:r w:rsidRPr="00E267E0">
        <w:t xml:space="preserve"> </w:t>
      </w:r>
    </w:p>
    <w:p w14:paraId="3ACDA20A" w14:textId="4540F2FD" w:rsidR="006C2470" w:rsidRDefault="001C32AC" w:rsidP="00522463">
      <w:r w:rsidRPr="00522463">
        <w:rPr>
          <w:rStyle w:val="Emphasis"/>
          <w:rFonts w:cstheme="minorBidi"/>
          <w:szCs w:val="22"/>
        </w:rPr>
        <w:t>SB 10</w:t>
      </w:r>
      <w:r>
        <w:t xml:space="preserve"> gives jurisdictions the option to </w:t>
      </w:r>
      <w:proofErr w:type="spellStart"/>
      <w:r>
        <w:t>upzone</w:t>
      </w:r>
      <w:proofErr w:type="spellEnd"/>
      <w:r>
        <w:t xml:space="preserve"> a </w:t>
      </w:r>
      <w:r w:rsidR="00492979">
        <w:t xml:space="preserve">multifamily residential or mixed-use parcel for up to 10 units. </w:t>
      </w:r>
      <w:r w:rsidR="006C2470">
        <w:t xml:space="preserve">Notably, a local ordinance or general plan amendment that allows for </w:t>
      </w:r>
      <w:r w:rsidR="00D52450">
        <w:t xml:space="preserve">this </w:t>
      </w:r>
      <w:r w:rsidR="006C2470">
        <w:t>higher density is exempt from review under the California Environmental Quality Act</w:t>
      </w:r>
      <w:r w:rsidR="00045F54">
        <w:t xml:space="preserve"> (CEQA).</w:t>
      </w:r>
    </w:p>
    <w:p w14:paraId="6A61C04D" w14:textId="1F0235A0" w:rsidR="006C2470" w:rsidRDefault="006C2470" w:rsidP="00522463">
      <w:r>
        <w:t xml:space="preserve">To take advantage of this new law, a local government must clearly demarcate the areas that are zoned pursuant to the law. Zoned areas must be located within a statutorily defined transit-rich area or an urban infill site. Sites located within a designated very high-risk fire hazard area are disqualified unless fire mitigation measures have been adopted. </w:t>
      </w:r>
    </w:p>
    <w:p w14:paraId="32CFF9FE" w14:textId="0AD27E76" w:rsidR="006C2470" w:rsidRDefault="00D52450" w:rsidP="00522463">
      <w:r>
        <w:t>A</w:t>
      </w:r>
      <w:r w:rsidR="006C2470">
        <w:t>ny ordinance or general plan amendment increasing density under SB 10 cannot override a local initiative that designated publicly owned land as open space or for parks or recreational purposes. If the ordinance or amendment supersedes</w:t>
      </w:r>
      <w:r w:rsidR="00FC4297">
        <w:t xml:space="preserve"> other zoning restrictions imposed by local initiative, it must receive a two-thirds vote of the local legislative body. </w:t>
      </w:r>
      <w:r w:rsidR="00045F54">
        <w:t xml:space="preserve">Most importantly, once the density of a site has been increased pursuant to SB 10, the city or county can never reduce the density. </w:t>
      </w:r>
    </w:p>
    <w:p w14:paraId="67BC7B9B" w14:textId="484A1F80" w:rsidR="006C2470" w:rsidRDefault="00045F54" w:rsidP="00522463">
      <w:r>
        <w:t xml:space="preserve">Unlike the general plan amendment or </w:t>
      </w:r>
      <w:proofErr w:type="gramStart"/>
      <w:r>
        <w:t>ordinance</w:t>
      </w:r>
      <w:proofErr w:type="gramEnd"/>
      <w:r>
        <w:t xml:space="preserve"> itself, any development on the rezoned parcel is not exempt from CEQA. A</w:t>
      </w:r>
      <w:r w:rsidR="00D52450">
        <w:t>dditionally, a</w:t>
      </w:r>
      <w:r>
        <w:t xml:space="preserve">ny development of more than 10 units (excluding two ADUs and two JADUs) on an SB 10 rezoned parcel must be approved through a discretionary </w:t>
      </w:r>
      <w:r>
        <w:lastRenderedPageBreak/>
        <w:t xml:space="preserve">process and be subject to CEQA. Subsequent </w:t>
      </w:r>
      <w:proofErr w:type="spellStart"/>
      <w:r>
        <w:t>upzoning</w:t>
      </w:r>
      <w:proofErr w:type="spellEnd"/>
      <w:r>
        <w:t xml:space="preserve"> of the same parcel would also be subject to CEQA. </w:t>
      </w:r>
    </w:p>
    <w:p w14:paraId="0507F2D7" w14:textId="77777777" w:rsidR="008F0127" w:rsidRDefault="001C32AC" w:rsidP="008F0127">
      <w:pPr>
        <w:pStyle w:val="Heading3"/>
      </w:pPr>
      <w:r w:rsidRPr="00522463">
        <w:rPr>
          <w:rStyle w:val="Strong"/>
          <w:rFonts w:cstheme="minorBidi"/>
          <w:b/>
          <w:szCs w:val="22"/>
        </w:rPr>
        <w:t>Floor Area Ratio</w:t>
      </w:r>
      <w:r>
        <w:t xml:space="preserve">. </w:t>
      </w:r>
    </w:p>
    <w:p w14:paraId="64AADADF" w14:textId="64BEC13B" w:rsidR="00FC05DC" w:rsidRDefault="001C32AC" w:rsidP="00522463">
      <w:r w:rsidRPr="00522463">
        <w:rPr>
          <w:rStyle w:val="Emphasis"/>
          <w:rFonts w:cstheme="minorBidi"/>
          <w:szCs w:val="22"/>
        </w:rPr>
        <w:t>SB 478</w:t>
      </w:r>
      <w:r>
        <w:t xml:space="preserve"> sets minimum floor area ratios (FAR) in multifamily residential zones and mixed-use zones. For projects with 3-7 units, there is a minimum FAR of 1.0; the minimum FAR is 1.25 for projects with 8-10 units. </w:t>
      </w:r>
      <w:r w:rsidR="00F1636F">
        <w:t xml:space="preserve">A local agency cannot impose a lot coverage requirement that would physically preclude a housing development from achieving these FARs. However, it may impose other zoning design standards. </w:t>
      </w:r>
      <w:r w:rsidR="00D52450">
        <w:t>A</w:t>
      </w:r>
      <w:r w:rsidR="00F1636F">
        <w:t xml:space="preserve"> local agency </w:t>
      </w:r>
      <w:r w:rsidR="00D52450">
        <w:t xml:space="preserve">also </w:t>
      </w:r>
      <w:r w:rsidR="00F1636F">
        <w:t xml:space="preserve">cannot deny a housing development project located on an existing legal parcel, and meeting specified requirements, solely because the lot area of the proposed lot does not meet requirements for minimum size. </w:t>
      </w:r>
    </w:p>
    <w:p w14:paraId="384EF214" w14:textId="7DEA742C" w:rsidR="00F07884" w:rsidRDefault="00F07884" w:rsidP="008F0127">
      <w:pPr>
        <w:pStyle w:val="Heading2"/>
      </w:pPr>
      <w:r w:rsidRPr="004735E6">
        <w:t>DENSITY BONUS</w:t>
      </w:r>
    </w:p>
    <w:p w14:paraId="06B30A7B" w14:textId="77777777" w:rsidR="008F0127" w:rsidRDefault="00317DD7" w:rsidP="008F0127">
      <w:pPr>
        <w:pStyle w:val="Heading3"/>
      </w:pPr>
      <w:r w:rsidRPr="00522463">
        <w:rPr>
          <w:rStyle w:val="Strong"/>
          <w:rFonts w:cstheme="minorBidi"/>
          <w:b/>
          <w:szCs w:val="22"/>
        </w:rPr>
        <w:t>Changes to Density Bonus Law</w:t>
      </w:r>
      <w:r>
        <w:t xml:space="preserve">. </w:t>
      </w:r>
    </w:p>
    <w:p w14:paraId="19845EE6" w14:textId="1CFBE5FE" w:rsidR="00674CA2" w:rsidRDefault="00317DD7" w:rsidP="00522463">
      <w:r w:rsidRPr="00522463">
        <w:rPr>
          <w:rStyle w:val="Emphasis"/>
          <w:rFonts w:cstheme="minorBidi"/>
          <w:szCs w:val="22"/>
        </w:rPr>
        <w:t>SB 290</w:t>
      </w:r>
      <w:r>
        <w:t xml:space="preserve"> makes </w:t>
      </w:r>
      <w:r w:rsidR="00674CA2">
        <w:t>several</w:t>
      </w:r>
      <w:r>
        <w:t xml:space="preserve"> small changes to state density bonus law. First, it </w:t>
      </w:r>
      <w:r w:rsidR="00674CA2">
        <w:t xml:space="preserve">redefines </w:t>
      </w:r>
      <w:r w:rsidR="00522463">
        <w:t>“</w:t>
      </w:r>
      <w:r w:rsidR="00674CA2">
        <w:t>total units</w:t>
      </w:r>
      <w:r w:rsidR="00522463">
        <w:t>”</w:t>
      </w:r>
      <w:r w:rsidR="00674CA2">
        <w:t xml:space="preserve"> to (1) include inclusionary housing units</w:t>
      </w:r>
      <w:r w:rsidR="009E3BFB">
        <w:t xml:space="preserve"> and (2) exclude the units added by state or local density bonus in calculating the density bonus and incentives/concessions. </w:t>
      </w:r>
      <w:r>
        <w:t xml:space="preserve">Additionally, SB 290 </w:t>
      </w:r>
      <w:r w:rsidR="009E3BFB">
        <w:t>removes</w:t>
      </w:r>
      <w:r>
        <w:t xml:space="preserve"> </w:t>
      </w:r>
      <w:r w:rsidR="00522463">
        <w:t>“</w:t>
      </w:r>
      <w:r>
        <w:t xml:space="preserve">specific adverse impact on the </w:t>
      </w:r>
      <w:r w:rsidRPr="00075CB9">
        <w:rPr>
          <w:i/>
          <w:iCs/>
        </w:rPr>
        <w:t>physical environment</w:t>
      </w:r>
      <w:r w:rsidR="00522463">
        <w:t>”</w:t>
      </w:r>
      <w:r w:rsidR="009E3BFB">
        <w:t xml:space="preserve"> as a basis for denying a concession, incentive, </w:t>
      </w:r>
      <w:r w:rsidR="000507C0">
        <w:t>waiver,</w:t>
      </w:r>
      <w:r w:rsidR="009E3BFB">
        <w:t xml:space="preserve"> or deduction of development standard; denials may only be based on health or safety impacts.</w:t>
      </w:r>
    </w:p>
    <w:p w14:paraId="33392B02" w14:textId="1EA3292D" w:rsidR="00317DD7" w:rsidRDefault="00674CA2" w:rsidP="00522463">
      <w:r>
        <w:t>Next</w:t>
      </w:r>
      <w:r w:rsidR="00317DD7">
        <w:t xml:space="preserve">, SB 290 </w:t>
      </w:r>
      <w:r>
        <w:t>requires a jurisdiction to grant one incentive/concession for student housing with a 20-percent set-aside for low-income students. The jurisdiction</w:t>
      </w:r>
      <w:r w:rsidR="008F0127">
        <w:t>’</w:t>
      </w:r>
      <w:r>
        <w:t xml:space="preserve">s housing element annual report must include the number of housing units for lower income students for which the student housing development was granted a density bonus. </w:t>
      </w:r>
    </w:p>
    <w:p w14:paraId="61E61A8E" w14:textId="15A1064D" w:rsidR="00674CA2" w:rsidRPr="00317DD7" w:rsidRDefault="00923AAD" w:rsidP="00522463">
      <w:r>
        <w:t xml:space="preserve">SB 290 </w:t>
      </w:r>
      <w:r w:rsidR="000507C0">
        <w:t>also eliminates</w:t>
      </w:r>
      <w:r>
        <w:t xml:space="preserve"> the requirement that moderate-income units </w:t>
      </w:r>
      <w:r w:rsidR="000507C0">
        <w:t>be in</w:t>
      </w:r>
      <w:r>
        <w:t xml:space="preserve"> a </w:t>
      </w:r>
      <w:r w:rsidR="00522463">
        <w:t>“</w:t>
      </w:r>
      <w:r>
        <w:t>common interest</w:t>
      </w:r>
      <w:r w:rsidR="00522463">
        <w:t>”</w:t>
      </w:r>
      <w:r>
        <w:t xml:space="preserve"> development to qualify for a density bonus, instead </w:t>
      </w:r>
      <w:r w:rsidR="002808BB">
        <w:t xml:space="preserve">providing for a density bonus so long as 10 percent of the total units in any for-sale housing development are sold to moderate-income families. Lastly, SB 290 extends the parking ratio exception to cover development with at least 40 percent moderate income units and located within one half-mile of a major transit stop. Where the housing development project meets </w:t>
      </w:r>
      <w:r w:rsidR="00075CB9">
        <w:t>these</w:t>
      </w:r>
      <w:r w:rsidR="002808BB">
        <w:t xml:space="preserve"> requirements, jurisdictions cannot impose a parking requirement that exceeds 0.5 spaces per bedroom.</w:t>
      </w:r>
    </w:p>
    <w:p w14:paraId="7E0C6BEA" w14:textId="77777777" w:rsidR="008F0127" w:rsidRDefault="001100BD" w:rsidP="008F0127">
      <w:pPr>
        <w:pStyle w:val="Heading3"/>
      </w:pPr>
      <w:r w:rsidRPr="00522463">
        <w:rPr>
          <w:rStyle w:val="Strong"/>
          <w:rFonts w:cstheme="minorBidi"/>
          <w:b/>
          <w:szCs w:val="22"/>
        </w:rPr>
        <w:t>Purchase of Density Bonus Units</w:t>
      </w:r>
      <w:r>
        <w:t xml:space="preserve">. </w:t>
      </w:r>
    </w:p>
    <w:p w14:paraId="2677A6AF" w14:textId="1DA5D5EB" w:rsidR="001100BD" w:rsidRDefault="001100BD" w:rsidP="00522463">
      <w:r w:rsidRPr="00522463">
        <w:rPr>
          <w:rStyle w:val="Emphasis"/>
          <w:rFonts w:cstheme="minorBidi"/>
          <w:szCs w:val="22"/>
        </w:rPr>
        <w:t>SB 728</w:t>
      </w:r>
      <w:r>
        <w:t xml:space="preserve"> </w:t>
      </w:r>
      <w:r w:rsidR="003D473E">
        <w:t xml:space="preserve">broadens the requirements for a for-sale unit that qualifies an applicant for a density bonus. Whereas previously the applicant and the city or county had to ensure that the initial occupant of the for-sale affordable unit was a person or family of very low, low, or moderate income, now the for-sale unit may be purchased by a </w:t>
      </w:r>
      <w:r w:rsidR="00522463">
        <w:t>“</w:t>
      </w:r>
      <w:r>
        <w:t>qualified nonprofit housing corporation</w:t>
      </w:r>
      <w:r w:rsidR="003D473E">
        <w:t>.</w:t>
      </w:r>
      <w:r w:rsidR="00522463">
        <w:t>”</w:t>
      </w:r>
      <w:r w:rsidR="003D473E">
        <w:t xml:space="preserve"> </w:t>
      </w:r>
      <w:r>
        <w:t xml:space="preserve">The nonprofit must have 501(c)(3) tax exempt status and a </w:t>
      </w:r>
      <w:r w:rsidR="00DA500F">
        <w:t xml:space="preserve">state </w:t>
      </w:r>
      <w:r>
        <w:t xml:space="preserve">welfare </w:t>
      </w:r>
      <w:r w:rsidR="00DA500F">
        <w:t>exemption and</w:t>
      </w:r>
      <w:r>
        <w:t xml:space="preserve"> must sell </w:t>
      </w:r>
      <w:r>
        <w:lastRenderedPageBreak/>
        <w:t>to low-income families pursuant to a no-interest loan</w:t>
      </w:r>
      <w:r w:rsidR="00DA500F">
        <w:t xml:space="preserve"> program</w:t>
      </w:r>
      <w:r>
        <w:t>. T</w:t>
      </w:r>
      <w:r w:rsidR="003D473E">
        <w:t xml:space="preserve">o satisfy the requirements in density bonus law, </w:t>
      </w:r>
      <w:r w:rsidR="00D27FE5">
        <w:t xml:space="preserve">it </w:t>
      </w:r>
      <w:r w:rsidR="000507C0">
        <w:t>must be purchased</w:t>
      </w:r>
      <w:r w:rsidR="00D27FE5">
        <w:t xml:space="preserve"> under</w:t>
      </w:r>
      <w:r w:rsidR="003D473E">
        <w:t xml:space="preserve"> a recorded contract that includes:</w:t>
      </w:r>
    </w:p>
    <w:p w14:paraId="1888423F" w14:textId="30AED818" w:rsidR="003D473E" w:rsidRDefault="003D473E" w:rsidP="00522463">
      <w:pPr>
        <w:pStyle w:val="ListParagraph"/>
        <w:numPr>
          <w:ilvl w:val="0"/>
          <w:numId w:val="4"/>
        </w:numPr>
      </w:pPr>
      <w:r>
        <w:t xml:space="preserve">A repurchase option that requires a subsequent purchaser of the property that desires to sell or convey the property to first offer the qualified nonprofit corporation a right to </w:t>
      </w:r>
      <w:proofErr w:type="gramStart"/>
      <w:r>
        <w:t>repurchase;</w:t>
      </w:r>
      <w:proofErr w:type="gramEnd"/>
    </w:p>
    <w:p w14:paraId="3EA4E2C4" w14:textId="79618F2C" w:rsidR="003D473E" w:rsidRDefault="003D473E" w:rsidP="00522463">
      <w:pPr>
        <w:pStyle w:val="ListParagraph"/>
        <w:numPr>
          <w:ilvl w:val="0"/>
          <w:numId w:val="4"/>
        </w:numPr>
      </w:pPr>
      <w:r>
        <w:t>An equity sharing agreement</w:t>
      </w:r>
      <w:r w:rsidR="00006FBC">
        <w:t>, as statutorily defined</w:t>
      </w:r>
      <w:r>
        <w:t>;</w:t>
      </w:r>
      <w:r w:rsidR="00B73C27">
        <w:t xml:space="preserve"> and</w:t>
      </w:r>
    </w:p>
    <w:p w14:paraId="3E057273" w14:textId="3F1C0655" w:rsidR="00C77CAE" w:rsidRDefault="003D473E" w:rsidP="00522463">
      <w:pPr>
        <w:pStyle w:val="ListParagraph"/>
        <w:numPr>
          <w:ilvl w:val="0"/>
          <w:numId w:val="4"/>
        </w:numPr>
      </w:pPr>
      <w:r>
        <w:t xml:space="preserve">Affordability restrictions on the sale and conveyance of the property that ensure the property will be preserved for </w:t>
      </w:r>
      <w:r w:rsidR="00B73C27">
        <w:t xml:space="preserve">lower income </w:t>
      </w:r>
      <w:r>
        <w:t xml:space="preserve">housing for at least </w:t>
      </w:r>
      <w:r w:rsidR="00B73C27">
        <w:t>45 years</w:t>
      </w:r>
      <w:r w:rsidR="00C77CAE">
        <w:t>.</w:t>
      </w:r>
    </w:p>
    <w:p w14:paraId="131B589C" w14:textId="77777777" w:rsidR="008F0127" w:rsidRPr="008F0127" w:rsidRDefault="00C77CAE" w:rsidP="008F0127">
      <w:pPr>
        <w:pStyle w:val="Heading3"/>
      </w:pPr>
      <w:r w:rsidRPr="008F0127">
        <w:rPr>
          <w:rStyle w:val="Strong"/>
          <w:rFonts w:ascii="Times New Roman" w:hAnsi="Times New Roman"/>
          <w:b/>
          <w:bCs w:val="0"/>
          <w:color w:val="auto"/>
        </w:rPr>
        <w:t>Local Affordability Restrictions.</w:t>
      </w:r>
      <w:r w:rsidRPr="008F0127">
        <w:t xml:space="preserve"> </w:t>
      </w:r>
    </w:p>
    <w:p w14:paraId="1EC98776" w14:textId="3D94DE27" w:rsidR="00B73C27" w:rsidRPr="007B0081" w:rsidRDefault="00C77CAE" w:rsidP="00522463">
      <w:r w:rsidRPr="00522463">
        <w:rPr>
          <w:rStyle w:val="Emphasis"/>
          <w:rFonts w:cstheme="minorBidi"/>
          <w:szCs w:val="22"/>
        </w:rPr>
        <w:t>AB 634</w:t>
      </w:r>
      <w:r>
        <w:t xml:space="preserve"> clarifies that state density bonus law </w:t>
      </w:r>
      <w:r w:rsidR="00D450F5">
        <w:t xml:space="preserve">does </w:t>
      </w:r>
      <w:r>
        <w:t>not prohibit a jurisdiction from requiring an affordability period that is longer than 55 years for any units that qualify a housing development project</w:t>
      </w:r>
      <w:r w:rsidR="002D75F2">
        <w:t xml:space="preserve"> for</w:t>
      </w:r>
      <w:r w:rsidR="00D450F5">
        <w:t xml:space="preserve"> a</w:t>
      </w:r>
      <w:r w:rsidR="002D75F2">
        <w:t xml:space="preserve"> density bonus</w:t>
      </w:r>
      <w:r w:rsidR="00D450F5">
        <w:t>,</w:t>
      </w:r>
      <w:r w:rsidR="002D75F2">
        <w:t xml:space="preserve"> </w:t>
      </w:r>
      <w:r w:rsidR="00D450F5">
        <w:t xml:space="preserve">if required to meet the terms of a local inclusionary ordinance, </w:t>
      </w:r>
      <w:r w:rsidR="000507C0">
        <w:t>so long</w:t>
      </w:r>
      <w:r w:rsidR="00D450F5">
        <w:t xml:space="preserve"> </w:t>
      </w:r>
      <w:r w:rsidR="000507C0">
        <w:t>as the</w:t>
      </w:r>
      <w:r w:rsidR="00D450F5">
        <w:t xml:space="preserve"> </w:t>
      </w:r>
      <w:r w:rsidR="000507C0">
        <w:t>project is not</w:t>
      </w:r>
      <w:r w:rsidR="00D450F5">
        <w:t xml:space="preserve"> financed with low-income housing tax credits</w:t>
      </w:r>
      <w:r w:rsidR="002D75F2">
        <w:t xml:space="preserve">. </w:t>
      </w:r>
    </w:p>
    <w:p w14:paraId="556C9D04" w14:textId="64000003" w:rsidR="00F07884" w:rsidRDefault="00F07884" w:rsidP="00522463">
      <w:pPr>
        <w:pStyle w:val="Heading2"/>
      </w:pPr>
      <w:r w:rsidRPr="004735E6">
        <w:t>IMPACT FEES</w:t>
      </w:r>
    </w:p>
    <w:p w14:paraId="69811A42" w14:textId="77777777" w:rsidR="008F0127" w:rsidRDefault="0057213A" w:rsidP="008F0127">
      <w:pPr>
        <w:pStyle w:val="Heading3"/>
      </w:pPr>
      <w:r w:rsidRPr="00522463">
        <w:rPr>
          <w:rStyle w:val="Strong"/>
          <w:rFonts w:cstheme="minorBidi"/>
          <w:b/>
          <w:szCs w:val="22"/>
        </w:rPr>
        <w:t>Development Fee: Impact Fee Nexus Study</w:t>
      </w:r>
      <w:r>
        <w:t>.</w:t>
      </w:r>
      <w:r w:rsidR="00993F2A">
        <w:t xml:space="preserve"> </w:t>
      </w:r>
    </w:p>
    <w:p w14:paraId="6F0D7217" w14:textId="3C8F88D5" w:rsidR="007B0081" w:rsidRDefault="00993F2A" w:rsidP="00522463">
      <w:r w:rsidRPr="00522463">
        <w:rPr>
          <w:rStyle w:val="Emphasis"/>
          <w:rFonts w:cstheme="minorBidi"/>
          <w:szCs w:val="22"/>
        </w:rPr>
        <w:t>AB 602</w:t>
      </w:r>
      <w:r>
        <w:t xml:space="preserve"> outlines</w:t>
      </w:r>
      <w:r w:rsidR="0054119F">
        <w:t xml:space="preserve"> the following</w:t>
      </w:r>
      <w:r>
        <w:t xml:space="preserve"> new </w:t>
      </w:r>
      <w:r w:rsidR="0054119F">
        <w:t xml:space="preserve">requirements </w:t>
      </w:r>
      <w:r>
        <w:t>for local impact fee nex</w:t>
      </w:r>
      <w:r w:rsidR="009B2DA3">
        <w:t>us</w:t>
      </w:r>
      <w:r>
        <w:t xml:space="preserve"> studie</w:t>
      </w:r>
      <w:r w:rsidR="0054119F">
        <w:t>s:</w:t>
      </w:r>
    </w:p>
    <w:p w14:paraId="513C566F" w14:textId="4D7D53EF" w:rsidR="0054119F" w:rsidRDefault="0054119F" w:rsidP="00522463">
      <w:pPr>
        <w:pStyle w:val="ListParagraph"/>
        <w:numPr>
          <w:ilvl w:val="0"/>
          <w:numId w:val="5"/>
        </w:numPr>
      </w:pPr>
      <w:r>
        <w:t xml:space="preserve">The study must be adopted prior to adoption of </w:t>
      </w:r>
      <w:r w:rsidR="00D35381">
        <w:t xml:space="preserve">the </w:t>
      </w:r>
      <w:r>
        <w:t xml:space="preserve">associated development </w:t>
      </w:r>
      <w:proofErr w:type="gramStart"/>
      <w:r>
        <w:t>fee;</w:t>
      </w:r>
      <w:proofErr w:type="gramEnd"/>
    </w:p>
    <w:p w14:paraId="2268526D" w14:textId="01BFC149" w:rsidR="0054119F" w:rsidRDefault="0054119F" w:rsidP="00522463">
      <w:pPr>
        <w:pStyle w:val="ListParagraph"/>
        <w:numPr>
          <w:ilvl w:val="0"/>
          <w:numId w:val="5"/>
        </w:numPr>
      </w:pPr>
      <w:r>
        <w:t xml:space="preserve">The study must identify the existing and proposed level of service for each public facility and explain why the proposed service level is </w:t>
      </w:r>
      <w:proofErr w:type="gramStart"/>
      <w:r>
        <w:t>necessary;</w:t>
      </w:r>
      <w:proofErr w:type="gramEnd"/>
    </w:p>
    <w:p w14:paraId="5C7E1896" w14:textId="546A8E8A" w:rsidR="0054119F" w:rsidRDefault="0054119F" w:rsidP="00522463">
      <w:pPr>
        <w:pStyle w:val="ListParagraph"/>
        <w:numPr>
          <w:ilvl w:val="0"/>
          <w:numId w:val="5"/>
        </w:numPr>
      </w:pPr>
      <w:r>
        <w:t xml:space="preserve">The study </w:t>
      </w:r>
      <w:r w:rsidR="00D35381">
        <w:t xml:space="preserve">must </w:t>
      </w:r>
      <w:r>
        <w:t xml:space="preserve">include supporting information as required </w:t>
      </w:r>
      <w:r w:rsidR="00D35381">
        <w:t xml:space="preserve">by </w:t>
      </w:r>
      <w:r>
        <w:t xml:space="preserve">the Mitigation Fee </w:t>
      </w:r>
      <w:proofErr w:type="gramStart"/>
      <w:r>
        <w:t>Act;</w:t>
      </w:r>
      <w:proofErr w:type="gramEnd"/>
    </w:p>
    <w:p w14:paraId="179F2BC1" w14:textId="6DEBEDD5" w:rsidR="0054119F" w:rsidRDefault="0054119F" w:rsidP="00522463">
      <w:pPr>
        <w:pStyle w:val="ListParagraph"/>
        <w:numPr>
          <w:ilvl w:val="0"/>
          <w:numId w:val="5"/>
        </w:numPr>
      </w:pPr>
      <w:r>
        <w:t xml:space="preserve">If the study supports a fee increase, </w:t>
      </w:r>
      <w:r w:rsidR="005F139C">
        <w:t xml:space="preserve">it </w:t>
      </w:r>
      <w:r>
        <w:t xml:space="preserve">must </w:t>
      </w:r>
      <w:r w:rsidR="00D35381">
        <w:t xml:space="preserve">also </w:t>
      </w:r>
      <w:r>
        <w:t xml:space="preserve">support </w:t>
      </w:r>
      <w:r w:rsidR="00D35381">
        <w:t xml:space="preserve">the </w:t>
      </w:r>
      <w:r>
        <w:t xml:space="preserve">original </w:t>
      </w:r>
      <w:proofErr w:type="gramStart"/>
      <w:r>
        <w:t>fee;</w:t>
      </w:r>
      <w:proofErr w:type="gramEnd"/>
    </w:p>
    <w:p w14:paraId="67BA4A32" w14:textId="59FCE4E9" w:rsidR="005F139C" w:rsidRDefault="005F139C" w:rsidP="00522463">
      <w:pPr>
        <w:pStyle w:val="ListParagraph"/>
        <w:numPr>
          <w:ilvl w:val="0"/>
          <w:numId w:val="5"/>
        </w:numPr>
      </w:pPr>
      <w:r>
        <w:t>The study must employ one of the following calculation methods after July 1, 2022:</w:t>
      </w:r>
    </w:p>
    <w:p w14:paraId="55E6A991" w14:textId="3828EBD2" w:rsidR="005F139C" w:rsidRDefault="00EE6D57" w:rsidP="00522463">
      <w:pPr>
        <w:pStyle w:val="ListParagraph"/>
        <w:numPr>
          <w:ilvl w:val="1"/>
          <w:numId w:val="5"/>
        </w:numPr>
      </w:pPr>
      <w:r w:rsidRPr="00522463">
        <w:rPr>
          <w:rStyle w:val="Emphasis"/>
          <w:rFonts w:cstheme="minorBidi"/>
          <w:szCs w:val="22"/>
        </w:rPr>
        <w:t>The fee is levied proportionately to the square footage of the proposed units</w:t>
      </w:r>
      <w:r w:rsidRPr="00EE6D57">
        <w:rPr>
          <w:b/>
          <w:bCs/>
        </w:rPr>
        <w:t>.</w:t>
      </w:r>
      <w:r>
        <w:t xml:space="preserve"> This method is automatically deemed a valid method by which to establish a reasonable relationship between the fee charged and the burden imposed by the development; or</w:t>
      </w:r>
    </w:p>
    <w:p w14:paraId="7DA4536C" w14:textId="7486DA22" w:rsidR="00EE6D57" w:rsidRDefault="00EE6D57" w:rsidP="00522463">
      <w:pPr>
        <w:pStyle w:val="ListParagraph"/>
        <w:numPr>
          <w:ilvl w:val="1"/>
          <w:numId w:val="5"/>
        </w:numPr>
      </w:pPr>
      <w:r w:rsidRPr="00522463">
        <w:rPr>
          <w:rStyle w:val="Emphasis"/>
          <w:rFonts w:cstheme="minorBidi"/>
          <w:szCs w:val="22"/>
        </w:rPr>
        <w:t>The fee is levied on some alternative basis of calculation</w:t>
      </w:r>
      <w:r>
        <w:t xml:space="preserve">, if the local agency makes the following specified findings: (1) an explanation of why square footage is not an appropriate metric; (2) an explanation that the alternative basis bears a reasonable relationship between the fee charged and the burden imposed by the development; and (3) other policies in the fee structure ensure that smaller developments are not charged disproportionate fees. </w:t>
      </w:r>
    </w:p>
    <w:p w14:paraId="3234E0AE" w14:textId="2B2E841D" w:rsidR="004041DF" w:rsidRDefault="004041DF" w:rsidP="00522463">
      <w:pPr>
        <w:pStyle w:val="ListParagraph"/>
        <w:numPr>
          <w:ilvl w:val="0"/>
          <w:numId w:val="5"/>
        </w:numPr>
      </w:pPr>
      <w:r>
        <w:t xml:space="preserve">If the jurisdiction is a </w:t>
      </w:r>
      <w:r w:rsidR="00522463">
        <w:t>“</w:t>
      </w:r>
      <w:r>
        <w:t>large jurisdiction,</w:t>
      </w:r>
      <w:r w:rsidR="00522463">
        <w:t>”</w:t>
      </w:r>
      <w:r>
        <w:t xml:space="preserve"> meaning a county with a population of at least 250,000 people or any city within such a county, the </w:t>
      </w:r>
      <w:r w:rsidR="00D35381">
        <w:t xml:space="preserve">city or county </w:t>
      </w:r>
      <w:r>
        <w:t xml:space="preserve">must adopt a capital improvement </w:t>
      </w:r>
      <w:proofErr w:type="gramStart"/>
      <w:r>
        <w:t>plan;</w:t>
      </w:r>
      <w:proofErr w:type="gramEnd"/>
    </w:p>
    <w:p w14:paraId="3F9F84F4" w14:textId="700C1B2E" w:rsidR="004041DF" w:rsidRDefault="004041DF" w:rsidP="00522463">
      <w:pPr>
        <w:pStyle w:val="ListParagraph"/>
        <w:numPr>
          <w:ilvl w:val="0"/>
          <w:numId w:val="5"/>
        </w:numPr>
      </w:pPr>
      <w:r>
        <w:lastRenderedPageBreak/>
        <w:t xml:space="preserve">The study </w:t>
      </w:r>
      <w:r w:rsidR="00D35381">
        <w:t xml:space="preserve">must be </w:t>
      </w:r>
      <w:r>
        <w:t>adopted at a public hearing with at least 20-days</w:t>
      </w:r>
      <w:r w:rsidR="008F0127">
        <w:t>’</w:t>
      </w:r>
      <w:r>
        <w:t xml:space="preserve"> notice, and the local agency </w:t>
      </w:r>
      <w:r w:rsidR="00D35381">
        <w:t xml:space="preserve">must </w:t>
      </w:r>
      <w:r>
        <w:t>notif</w:t>
      </w:r>
      <w:r w:rsidR="00D35381">
        <w:t>y</w:t>
      </w:r>
      <w:r>
        <w:t xml:space="preserve"> any member of the public who requested notice of the date of the hearing; and</w:t>
      </w:r>
    </w:p>
    <w:p w14:paraId="16CA30DD" w14:textId="62220312" w:rsidR="004041DF" w:rsidRDefault="004041DF" w:rsidP="00522463">
      <w:pPr>
        <w:pStyle w:val="ListParagraph"/>
        <w:numPr>
          <w:ilvl w:val="0"/>
          <w:numId w:val="5"/>
        </w:numPr>
      </w:pPr>
      <w:r>
        <w:t xml:space="preserve">The study </w:t>
      </w:r>
      <w:r w:rsidR="00D35381">
        <w:t xml:space="preserve">must be </w:t>
      </w:r>
      <w:r>
        <w:t>updated at least every eight (8) years, beginning January 1, 2022.</w:t>
      </w:r>
    </w:p>
    <w:p w14:paraId="7AD2F5D7" w14:textId="6FEF09A3" w:rsidR="009F0243" w:rsidRPr="009F0243" w:rsidRDefault="009F0243" w:rsidP="00522463">
      <w:r w:rsidRPr="009F0243">
        <w:t xml:space="preserve">Any member of the public, including an applicant for a housing development project, may submit evidence that the city, </w:t>
      </w:r>
      <w:r w:rsidR="000507C0" w:rsidRPr="009F0243">
        <w:t>county,</w:t>
      </w:r>
      <w:r w:rsidRPr="009F0243">
        <w:t xml:space="preserve"> or local agency has failed to comply with the requirements of the Mitigation Fee Act. Upon receipt of such information, the jurisdiction must consider the timely</w:t>
      </w:r>
      <w:r w:rsidR="003A3C0B">
        <w:t xml:space="preserve"> </w:t>
      </w:r>
      <w:r w:rsidRPr="009F0243">
        <w:t>submitted evidence and authorize the legislative body to adjust the propos</w:t>
      </w:r>
      <w:r w:rsidR="003A3C0B">
        <w:t>al</w:t>
      </w:r>
      <w:r w:rsidRPr="009F0243">
        <w:t xml:space="preserve"> if deemed necessary in light of evidence considered. </w:t>
      </w:r>
    </w:p>
    <w:p w14:paraId="4AE3E9A1" w14:textId="743BE38B" w:rsidR="009529DD" w:rsidRDefault="003A3C0B" w:rsidP="00522463">
      <w:r>
        <w:t>Additionally</w:t>
      </w:r>
      <w:r w:rsidR="009529DD">
        <w:t>, a</w:t>
      </w:r>
      <w:r w:rsidR="004041DF">
        <w:t xml:space="preserve"> city, county or special district must (1) request the </w:t>
      </w:r>
      <w:r>
        <w:t xml:space="preserve">developer to provide </w:t>
      </w:r>
      <w:r w:rsidR="004041DF">
        <w:t xml:space="preserve">total amount of </w:t>
      </w:r>
      <w:r w:rsidR="009529DD">
        <w:t>fees</w:t>
      </w:r>
      <w:r w:rsidR="004041DF">
        <w:t xml:space="preserve"> and exactions associated with a project upon the issuance of a certificate of occupancy or the final inspection, whichever occurs last, and (2) </w:t>
      </w:r>
      <w:r>
        <w:t xml:space="preserve">if the developer provides this information, </w:t>
      </w:r>
      <w:r w:rsidR="004041DF">
        <w:t xml:space="preserve">post this information on its website. </w:t>
      </w:r>
      <w:r w:rsidR="009F0243">
        <w:t>The information posted on the jurisdiction</w:t>
      </w:r>
      <w:r w:rsidR="008F0127">
        <w:t>’</w:t>
      </w:r>
      <w:r w:rsidR="009F0243">
        <w:t xml:space="preserve">s website </w:t>
      </w:r>
      <w:r>
        <w:t xml:space="preserve">must </w:t>
      </w:r>
      <w:r w:rsidR="009F0243">
        <w:t xml:space="preserve">be updated at least twice a year, but the jurisdiction may include a disclaimer that it is not responsible for the accuracy of the information received and posted. </w:t>
      </w:r>
      <w:r>
        <w:t>Developers are not required to provide the information,</w:t>
      </w:r>
    </w:p>
    <w:p w14:paraId="37E9DD0C" w14:textId="495B7AA4" w:rsidR="004041DF" w:rsidRDefault="004041DF" w:rsidP="00522463">
      <w:r>
        <w:t xml:space="preserve">AB 602 is not intended to prevent a local agency from establishing and adopting different fees for different types of developments. </w:t>
      </w:r>
      <w:r w:rsidR="009529DD">
        <w:t>Additionally</w:t>
      </w:r>
      <w:r>
        <w:t xml:space="preserve">, these new study requirements do not apply to any fees or charges for water and sewer services and facilities. </w:t>
      </w:r>
    </w:p>
    <w:p w14:paraId="5B5C5F7F" w14:textId="25DE5141" w:rsidR="0057213A" w:rsidRPr="0036293C" w:rsidRDefault="004041DF" w:rsidP="00522463">
      <w:r>
        <w:t xml:space="preserve">Lastly, </w:t>
      </w:r>
      <w:r w:rsidR="009F0243">
        <w:t xml:space="preserve">AB 602 directs HCD to create a template, by January 1, 2023, that may be used by local jurisdictions to design their impact fee nexus studies. The template must include a method </w:t>
      </w:r>
      <w:r w:rsidR="003A3C0B">
        <w:t xml:space="preserve">for </w:t>
      </w:r>
      <w:r w:rsidR="009F0243">
        <w:t>calculating the feasibility of housing being built within a given fee level.</w:t>
      </w:r>
    </w:p>
    <w:p w14:paraId="63D4BF81" w14:textId="77777777" w:rsidR="008F0127" w:rsidRDefault="0057213A" w:rsidP="008F0127">
      <w:pPr>
        <w:pStyle w:val="Heading3"/>
      </w:pPr>
      <w:r w:rsidRPr="00522463">
        <w:rPr>
          <w:rStyle w:val="Strong"/>
          <w:rFonts w:cstheme="minorBidi"/>
          <w:b/>
          <w:szCs w:val="22"/>
        </w:rPr>
        <w:t>Impact Fees &amp; Affordable Housing</w:t>
      </w:r>
      <w:r>
        <w:t xml:space="preserve">. </w:t>
      </w:r>
    </w:p>
    <w:p w14:paraId="0254BFC9" w14:textId="18D94FBD" w:rsidR="0057213A" w:rsidRPr="0057213A" w:rsidRDefault="0057213A" w:rsidP="00522463">
      <w:r w:rsidRPr="00522463">
        <w:rPr>
          <w:rStyle w:val="Emphasis"/>
          <w:rFonts w:cstheme="minorBidi"/>
          <w:szCs w:val="22"/>
        </w:rPr>
        <w:t>AB 571</w:t>
      </w:r>
      <w:r>
        <w:t xml:space="preserve"> prohibits the imposition of affordable housing impact fees, including inclusionary zoning fees and in-lieu fees, on a </w:t>
      </w:r>
      <w:r w:rsidR="00682C05">
        <w:t>housing development</w:t>
      </w:r>
      <w:r w:rsidR="008F0127">
        <w:t>’</w:t>
      </w:r>
      <w:r w:rsidR="00682C05">
        <w:t>s</w:t>
      </w:r>
      <w:r>
        <w:t xml:space="preserve"> affordable units. </w:t>
      </w:r>
    </w:p>
    <w:p w14:paraId="1621EB0B" w14:textId="47FD0495" w:rsidR="00F07884" w:rsidRPr="004735E6" w:rsidRDefault="00F07884" w:rsidP="00522463">
      <w:pPr>
        <w:pStyle w:val="Heading2"/>
      </w:pPr>
      <w:r w:rsidRPr="004735E6">
        <w:t>OTHER SIGNIFICANT LEGISLATION</w:t>
      </w:r>
    </w:p>
    <w:p w14:paraId="3206E910" w14:textId="77777777" w:rsidR="008F0127" w:rsidRDefault="00CF2115" w:rsidP="008F0127">
      <w:pPr>
        <w:pStyle w:val="Heading3"/>
      </w:pPr>
      <w:r w:rsidRPr="00522463">
        <w:rPr>
          <w:rStyle w:val="Strong"/>
          <w:rFonts w:cstheme="minorBidi"/>
          <w:b/>
          <w:szCs w:val="22"/>
        </w:rPr>
        <w:t>Mixed-Income Structures</w:t>
      </w:r>
      <w:r>
        <w:t xml:space="preserve">. </w:t>
      </w:r>
    </w:p>
    <w:p w14:paraId="7306292B" w14:textId="73C39A64" w:rsidR="00F07884" w:rsidRDefault="00CF2115" w:rsidP="00522463">
      <w:r w:rsidRPr="00522463">
        <w:rPr>
          <w:rStyle w:val="Emphasis"/>
          <w:rFonts w:cstheme="minorBidi"/>
          <w:szCs w:val="22"/>
        </w:rPr>
        <w:t>AB 491</w:t>
      </w:r>
      <w:r>
        <w:t xml:space="preserve"> addresses fair housing issues in mixed-income structures. Specifically, AB 491 provides that in a mixed-income multifamily structure, the residents of the affordable housing units must have the same access as the residents of the market-rate units to (1) the common entrances of the structure and (2) the common areas and amenities of the structure. Perhaps more significantly, AB 491 also states that the affordable housing units in a multifamily structure cannot be isolated on a specific floor or area of a floor; rather, they must be integrated throughout the structure. </w:t>
      </w:r>
    </w:p>
    <w:p w14:paraId="4F84A6C0" w14:textId="719F6B45" w:rsidR="00CF2115" w:rsidRDefault="00CF2115" w:rsidP="00522463">
      <w:r>
        <w:t xml:space="preserve">For the purposes of this legislation, a </w:t>
      </w:r>
      <w:r w:rsidR="00522463">
        <w:t>“</w:t>
      </w:r>
      <w:r w:rsidR="00885189">
        <w:t xml:space="preserve">mixed-income </w:t>
      </w:r>
      <w:r>
        <w:t>multifamil</w:t>
      </w:r>
      <w:r w:rsidR="00885189">
        <w:t>y structure</w:t>
      </w:r>
      <w:r w:rsidR="00522463">
        <w:t>”</w:t>
      </w:r>
      <w:r>
        <w:t xml:space="preserve"> means a</w:t>
      </w:r>
      <w:r w:rsidR="00885189">
        <w:t xml:space="preserve">ny residential structure with five or more dwelling units that includes both affordable housing units </w:t>
      </w:r>
      <w:r w:rsidR="00885189">
        <w:lastRenderedPageBreak/>
        <w:t>and marke</w:t>
      </w:r>
      <w:r w:rsidR="00644C54">
        <w:t>t</w:t>
      </w:r>
      <w:r w:rsidR="00885189">
        <w:t xml:space="preserve">-rate housing units. </w:t>
      </w:r>
      <w:r w:rsidR="00522463">
        <w:t>“</w:t>
      </w:r>
      <w:r>
        <w:t>Affordable housing unit</w:t>
      </w:r>
      <w:r w:rsidR="00522463">
        <w:t>”</w:t>
      </w:r>
      <w:r>
        <w:t xml:space="preserve"> is defined to include both low- and moderate-income units.</w:t>
      </w:r>
      <w:r w:rsidR="00885189">
        <w:t xml:space="preserve"> Nothing in AB 491 prohibits the development of a separate structure with all affordable housing units. </w:t>
      </w:r>
    </w:p>
    <w:p w14:paraId="68C9CB60" w14:textId="77777777" w:rsidR="008F0127" w:rsidRDefault="001C28AF" w:rsidP="008F0127">
      <w:pPr>
        <w:pStyle w:val="Heading3"/>
      </w:pPr>
      <w:r w:rsidRPr="00522463">
        <w:rPr>
          <w:rStyle w:val="Strong"/>
          <w:rFonts w:cstheme="minorBidi"/>
          <w:b/>
          <w:szCs w:val="22"/>
        </w:rPr>
        <w:t>Restrictive Covenants</w:t>
      </w:r>
      <w:r>
        <w:t xml:space="preserve">. </w:t>
      </w:r>
    </w:p>
    <w:p w14:paraId="55717E05" w14:textId="4E27D2AB" w:rsidR="001C28AF" w:rsidRDefault="005F0727" w:rsidP="00522463">
      <w:r>
        <w:t xml:space="preserve">During this session, the </w:t>
      </w:r>
      <w:r w:rsidR="00644C54">
        <w:t>L</w:t>
      </w:r>
      <w:r>
        <w:t xml:space="preserve">egislature addressed restrictive covenants as barriers to the development of housing. First, </w:t>
      </w:r>
      <w:r w:rsidRPr="00522463">
        <w:rPr>
          <w:rStyle w:val="Emphasis"/>
          <w:rFonts w:cstheme="minorBidi"/>
          <w:szCs w:val="22"/>
        </w:rPr>
        <w:t>AB 721</w:t>
      </w:r>
      <w:r>
        <w:t xml:space="preserve"> </w:t>
      </w:r>
      <w:r w:rsidR="0097122C">
        <w:t>allows the owner of a statutorily</w:t>
      </w:r>
      <w:r w:rsidR="00644C54">
        <w:t xml:space="preserve"> </w:t>
      </w:r>
      <w:r w:rsidR="0097122C">
        <w:t xml:space="preserve">defined affordable housing development to record a restrictive covenant modification to make inoperable a recorded covenant, condition or restriction that restricts the number, size, or location of the residences that may be built on a property, or that restricts the number of people or families who may reside on the property. To qualify, the owner of the affordable housing development must submit the </w:t>
      </w:r>
      <w:r w:rsidR="00425096">
        <w:t xml:space="preserve">modification </w:t>
      </w:r>
      <w:r w:rsidR="0097122C">
        <w:t xml:space="preserve">document, along with supporting documentation, to the county recorder. The county recorder must forward the documentation to the county counsel who must make a determination whether, among other things, the original restrictive covenant contains an unlawful restriction in violation of AB 721 and the </w:t>
      </w:r>
      <w:r w:rsidR="005A4A7F">
        <w:t xml:space="preserve">property qualifies as an affordable housing development. The intended impact of AB 721 is to ensure that restrictive covenants do not curtail the type and density of development otherwise permitted on a site by the local zoning. </w:t>
      </w:r>
    </w:p>
    <w:p w14:paraId="5C7FB8E5" w14:textId="5067934C" w:rsidR="005A4A7F" w:rsidRDefault="005A4A7F" w:rsidP="00522463">
      <w:r>
        <w:t xml:space="preserve">Similarly, </w:t>
      </w:r>
      <w:r w:rsidRPr="00522463">
        <w:rPr>
          <w:rStyle w:val="Emphasis"/>
          <w:rFonts w:cstheme="minorBidi"/>
          <w:szCs w:val="22"/>
        </w:rPr>
        <w:t>AB 1584</w:t>
      </w:r>
      <w:r w:rsidR="00425096">
        <w:rPr>
          <w:b/>
          <w:bCs/>
        </w:rPr>
        <w:t xml:space="preserve"> </w:t>
      </w:r>
      <w:r>
        <w:t xml:space="preserve">makes void and unenforceable any covenant, </w:t>
      </w:r>
      <w:r w:rsidR="000507C0">
        <w:t>restriction,</w:t>
      </w:r>
      <w:r>
        <w:t xml:space="preserve"> or condition that </w:t>
      </w:r>
      <w:r w:rsidR="00522463">
        <w:t>“</w:t>
      </w:r>
      <w:r>
        <w:t>effectively prohibits or unreasonably restricts</w:t>
      </w:r>
      <w:r w:rsidR="00522463">
        <w:t>”</w:t>
      </w:r>
      <w:r>
        <w:t xml:space="preserve"> construction or use of qualifying accessory dwelling units or junior accessory dwelling units on single-family residential lots. </w:t>
      </w:r>
      <w:r w:rsidR="00793041">
        <w:t>For the purposes of the law, reasonable restrictions are those that do no</w:t>
      </w:r>
      <w:r w:rsidR="003315D1">
        <w:t>t</w:t>
      </w:r>
      <w:r w:rsidR="00793041">
        <w:t xml:space="preserve"> unreasonably increase construction costs, effectively prohibit construction, or extinguish the ability to otherwise construct. </w:t>
      </w:r>
      <w:r>
        <w:t>Unlike AB 721, AB 1584</w:t>
      </w:r>
      <w:r w:rsidR="008F0127">
        <w:t>’</w:t>
      </w:r>
      <w:r>
        <w:t xml:space="preserve">s provisions automatically void </w:t>
      </w:r>
      <w:r w:rsidR="00793041">
        <w:t xml:space="preserve">the effect of </w:t>
      </w:r>
      <w:r>
        <w:t xml:space="preserve">any CC&amp;Rs that </w:t>
      </w:r>
      <w:r w:rsidR="00793041">
        <w:t xml:space="preserve">conflict with its provisions; the owner of the property need not take any additional action. </w:t>
      </w:r>
    </w:p>
    <w:p w14:paraId="22044A24" w14:textId="11BB48E4" w:rsidR="008A4B39" w:rsidRPr="005A4A7F" w:rsidRDefault="008A4B39" w:rsidP="00522463">
      <w:r>
        <w:t xml:space="preserve">While similar provisions were passed in 2019 and 2020 that amended </w:t>
      </w:r>
      <w:r w:rsidR="00CA4F0B">
        <w:t xml:space="preserve">Civil Code </w:t>
      </w:r>
      <w:r w:rsidR="008F0127">
        <w:t>Section</w:t>
      </w:r>
      <w:r>
        <w:t xml:space="preserve"> 4740, 4741 &amp; 4751 to prohibit these types of </w:t>
      </w:r>
      <w:r w:rsidR="00DA0AC5">
        <w:t>covenants</w:t>
      </w:r>
      <w:r>
        <w:t xml:space="preserve"> from being imposed by homeowners</w:t>
      </w:r>
      <w:r w:rsidR="008F0127">
        <w:t>’</w:t>
      </w:r>
      <w:r>
        <w:t xml:space="preserve"> associations and common interest developments, AB 1584 amends </w:t>
      </w:r>
      <w:r w:rsidR="00CA4F0B">
        <w:t xml:space="preserve">Civil </w:t>
      </w:r>
      <w:r>
        <w:t xml:space="preserve">Code </w:t>
      </w:r>
      <w:r w:rsidR="008F0127">
        <w:t>Section</w:t>
      </w:r>
      <w:r>
        <w:t xml:space="preserve"> 714.3</w:t>
      </w:r>
      <w:r w:rsidR="00CA4F0B">
        <w:t xml:space="preserve"> to void any of these </w:t>
      </w:r>
      <w:r w:rsidR="00DA0AC5">
        <w:t>covenants</w:t>
      </w:r>
      <w:r w:rsidR="00CA4F0B">
        <w:t>, regardless of their origin. AB 1584 serves to reinforce previously adopted legislation.</w:t>
      </w:r>
    </w:p>
    <w:p w14:paraId="39B0FA33" w14:textId="77777777" w:rsidR="008F0127" w:rsidRDefault="00885189" w:rsidP="008F0127">
      <w:pPr>
        <w:pStyle w:val="Heading3"/>
      </w:pPr>
      <w:r w:rsidRPr="00522463">
        <w:rPr>
          <w:rStyle w:val="Strong"/>
          <w:rFonts w:cstheme="minorBidi"/>
          <w:b/>
          <w:szCs w:val="22"/>
        </w:rPr>
        <w:t>Conveyance of ADUs</w:t>
      </w:r>
      <w:r>
        <w:t>.</w:t>
      </w:r>
      <w:r w:rsidR="00D8638E">
        <w:t xml:space="preserve"> </w:t>
      </w:r>
    </w:p>
    <w:p w14:paraId="3AA3CF8A" w14:textId="208C193D" w:rsidR="00885189" w:rsidRDefault="002D75DD" w:rsidP="00522463">
      <w:r>
        <w:t xml:space="preserve">Previously, the law permitted jurisdictions to choose to allow separate conveyance of certain accessory dwelling units (ADUs) by adoption of a local ordinance. </w:t>
      </w:r>
      <w:r w:rsidR="00D8638E" w:rsidRPr="00522463">
        <w:rPr>
          <w:rStyle w:val="Emphasis"/>
          <w:rFonts w:cstheme="minorBidi"/>
          <w:szCs w:val="22"/>
        </w:rPr>
        <w:t>SB 345</w:t>
      </w:r>
      <w:r w:rsidR="00D8638E">
        <w:t xml:space="preserve"> requires local agencies to allow for separate conveyance or sale </w:t>
      </w:r>
      <w:r>
        <w:t>of these ADUs.</w:t>
      </w:r>
    </w:p>
    <w:p w14:paraId="01E28C9A" w14:textId="02691756" w:rsidR="00D8638E" w:rsidRDefault="00D8638E" w:rsidP="00522463">
      <w:r>
        <w:t xml:space="preserve">To </w:t>
      </w:r>
      <w:r w:rsidR="0055419F">
        <w:t>separately convey an ADU, it must meet the following requirements:</w:t>
      </w:r>
    </w:p>
    <w:p w14:paraId="14B0F552" w14:textId="4A0FA1B5" w:rsidR="0055419F" w:rsidRDefault="0055419F" w:rsidP="00522463">
      <w:pPr>
        <w:pStyle w:val="ListParagraph"/>
        <w:numPr>
          <w:ilvl w:val="0"/>
          <w:numId w:val="6"/>
        </w:numPr>
      </w:pPr>
      <w:r>
        <w:t>The ADU was built or developed by a statutorily</w:t>
      </w:r>
      <w:r w:rsidR="0072523D">
        <w:t xml:space="preserve"> </w:t>
      </w:r>
      <w:r>
        <w:t xml:space="preserve">defined qualified nonprofit </w:t>
      </w:r>
      <w:proofErr w:type="gramStart"/>
      <w:r>
        <w:t>corporation;</w:t>
      </w:r>
      <w:proofErr w:type="gramEnd"/>
    </w:p>
    <w:p w14:paraId="2236B8BA" w14:textId="07A1E931" w:rsidR="0055419F" w:rsidRDefault="0055419F" w:rsidP="00522463">
      <w:pPr>
        <w:pStyle w:val="ListParagraph"/>
        <w:numPr>
          <w:ilvl w:val="0"/>
          <w:numId w:val="6"/>
        </w:numPr>
      </w:pPr>
      <w:r>
        <w:t>The ADU is being sold to a statutorily</w:t>
      </w:r>
      <w:r w:rsidR="00EC52B6">
        <w:t xml:space="preserve"> </w:t>
      </w:r>
      <w:r>
        <w:t xml:space="preserve">defined qualified </w:t>
      </w:r>
      <w:proofErr w:type="gramStart"/>
      <w:r>
        <w:t>buyer;</w:t>
      </w:r>
      <w:proofErr w:type="gramEnd"/>
    </w:p>
    <w:p w14:paraId="77086606" w14:textId="35250D4D" w:rsidR="0055419F" w:rsidRDefault="0055419F" w:rsidP="00522463">
      <w:pPr>
        <w:pStyle w:val="ListParagraph"/>
        <w:numPr>
          <w:ilvl w:val="0"/>
          <w:numId w:val="6"/>
        </w:numPr>
      </w:pPr>
      <w:r>
        <w:t xml:space="preserve">There is a recorded restriction on the use of the land between the buyer and the </w:t>
      </w:r>
      <w:proofErr w:type="gramStart"/>
      <w:r>
        <w:t>nonprofit;</w:t>
      </w:r>
      <w:proofErr w:type="gramEnd"/>
    </w:p>
    <w:p w14:paraId="697C01AF" w14:textId="7BC923E3" w:rsidR="0055419F" w:rsidRDefault="0055419F" w:rsidP="00522463">
      <w:pPr>
        <w:pStyle w:val="ListParagraph"/>
        <w:numPr>
          <w:ilvl w:val="0"/>
          <w:numId w:val="6"/>
        </w:numPr>
      </w:pPr>
      <w:r>
        <w:lastRenderedPageBreak/>
        <w:t>The property is held pursuant to a tenancy in common agreement that, among other requirements,</w:t>
      </w:r>
      <w:r w:rsidR="005D1096">
        <w:t xml:space="preserve"> </w:t>
      </w:r>
      <w:r w:rsidR="00812C0A">
        <w:t xml:space="preserve">provides for affordability restrictions on the future sale or conveyance of both the ADU and the primary dwelling on the </w:t>
      </w:r>
      <w:proofErr w:type="gramStart"/>
      <w:r w:rsidR="00812C0A">
        <w:t>property;</w:t>
      </w:r>
      <w:proofErr w:type="gramEnd"/>
    </w:p>
    <w:p w14:paraId="6E72A3FD" w14:textId="7BA26A30" w:rsidR="00812C0A" w:rsidRDefault="00812C0A" w:rsidP="00522463">
      <w:pPr>
        <w:pStyle w:val="ListParagraph"/>
        <w:numPr>
          <w:ilvl w:val="0"/>
          <w:numId w:val="6"/>
        </w:numPr>
      </w:pPr>
      <w:r>
        <w:t>The recording of a grant deed with the county naming the grantor, grantee and describing the property interests being transferred; and</w:t>
      </w:r>
    </w:p>
    <w:p w14:paraId="20D0B7EA" w14:textId="22834CEE" w:rsidR="00812C0A" w:rsidRDefault="00812C0A" w:rsidP="00522463">
      <w:pPr>
        <w:pStyle w:val="ListParagraph"/>
        <w:numPr>
          <w:ilvl w:val="0"/>
          <w:numId w:val="6"/>
        </w:numPr>
      </w:pPr>
      <w:r>
        <w:t>If requested by a utility providing service to the primary dwelling unit, separate water, sewer, or electrical connection to that utility for the ADU.</w:t>
      </w:r>
    </w:p>
    <w:p w14:paraId="222B1C42" w14:textId="7088C866" w:rsidR="00812C0A" w:rsidRDefault="00812C0A" w:rsidP="00522463">
      <w:r>
        <w:t xml:space="preserve">AB 345 also requires that any tenancy in common agreement, as </w:t>
      </w:r>
      <w:r w:rsidR="002067FD">
        <w:t>outlined above, that is recorded after December 31, 2021, include the following:</w:t>
      </w:r>
    </w:p>
    <w:p w14:paraId="4A7CE39F" w14:textId="5DFAA99D" w:rsidR="002067FD" w:rsidRDefault="002067FD" w:rsidP="00522463">
      <w:pPr>
        <w:pStyle w:val="ListParagraph"/>
        <w:numPr>
          <w:ilvl w:val="0"/>
          <w:numId w:val="7"/>
        </w:numPr>
      </w:pPr>
      <w:r>
        <w:t xml:space="preserve">Delineation of all areas of the property that are for the exclusive use of a </w:t>
      </w:r>
      <w:proofErr w:type="gramStart"/>
      <w:r>
        <w:t>cotenant;</w:t>
      </w:r>
      <w:proofErr w:type="gramEnd"/>
    </w:p>
    <w:p w14:paraId="7449D947" w14:textId="1BEF2B11" w:rsidR="002067FD" w:rsidRDefault="002067FD" w:rsidP="00522463">
      <w:pPr>
        <w:pStyle w:val="ListParagraph"/>
        <w:numPr>
          <w:ilvl w:val="0"/>
          <w:numId w:val="7"/>
        </w:numPr>
      </w:pPr>
      <w:r>
        <w:t>Delineation of each cotenant</w:t>
      </w:r>
      <w:r w:rsidR="008F0127">
        <w:t>’</w:t>
      </w:r>
      <w:r>
        <w:t>s responsibility for the costs of taxes, insurance, utilities, general maintenance and repair, improvements, and any other costs, obligations or liabilities associated with the property; and</w:t>
      </w:r>
    </w:p>
    <w:p w14:paraId="2A32C06C" w14:textId="3B58A163" w:rsidR="002067FD" w:rsidRPr="002067FD" w:rsidRDefault="002067FD" w:rsidP="00522463">
      <w:pPr>
        <w:pStyle w:val="ListParagraph"/>
        <w:numPr>
          <w:ilvl w:val="0"/>
          <w:numId w:val="7"/>
        </w:numPr>
      </w:pPr>
      <w:r>
        <w:t>Procedures for the resolution of disputes among the cotenants before legal action.</w:t>
      </w:r>
    </w:p>
    <w:p w14:paraId="6C155E8C" w14:textId="5FF73916" w:rsidR="00D8638E" w:rsidRPr="002D75DD" w:rsidRDefault="00CC5984" w:rsidP="00522463">
      <w:r>
        <w:t xml:space="preserve">To the extent that jurisdictions have adopted local policies </w:t>
      </w:r>
      <w:r w:rsidR="000507C0">
        <w:t>regarding</w:t>
      </w:r>
      <w:r>
        <w:t xml:space="preserve"> the separate conveyance or sale of these types of ADUs, AB 345 would override any conflicting provisions.</w:t>
      </w:r>
    </w:p>
    <w:p w14:paraId="74D88E10" w14:textId="77777777" w:rsidR="008F0127" w:rsidRDefault="00D8638E" w:rsidP="008F0127">
      <w:pPr>
        <w:pStyle w:val="Heading3"/>
      </w:pPr>
      <w:r w:rsidRPr="00522463">
        <w:rPr>
          <w:rStyle w:val="Strong"/>
          <w:rFonts w:cstheme="minorBidi"/>
          <w:b/>
          <w:szCs w:val="22"/>
        </w:rPr>
        <w:t>Starter Home Development.</w:t>
      </w:r>
      <w:r>
        <w:t xml:space="preserve"> </w:t>
      </w:r>
    </w:p>
    <w:p w14:paraId="41D14E4B" w14:textId="557B437A" w:rsidR="00D8638E" w:rsidRDefault="00096C3F" w:rsidP="00522463">
      <w:r w:rsidRPr="00522463">
        <w:rPr>
          <w:rStyle w:val="Emphasis"/>
          <w:rFonts w:cstheme="minorBidi"/>
          <w:szCs w:val="22"/>
        </w:rPr>
        <w:t>AB 803</w:t>
      </w:r>
      <w:r w:rsidR="00117E5B">
        <w:t xml:space="preserve">, or Starter Home Revitalization Act, seeks to make it easier to develop smaller, more affordable homes to increase homeownership. AB 803 eliminates minimum lot sizes to encourage zero lot line detached homes and requires approval of projects that propose these types of homes and meet certain other criteria. </w:t>
      </w:r>
    </w:p>
    <w:p w14:paraId="4C757669" w14:textId="441C768B" w:rsidR="00CF2115" w:rsidRDefault="00117E5B" w:rsidP="00522463">
      <w:r>
        <w:t>The proposed development m</w:t>
      </w:r>
      <w:r w:rsidR="00EF6A00">
        <w:t>ust, among other requirements, meet the following requirements:</w:t>
      </w:r>
    </w:p>
    <w:p w14:paraId="7D4EE375" w14:textId="3F24105B" w:rsidR="00117E5B" w:rsidRDefault="00117E5B" w:rsidP="00522463">
      <w:pPr>
        <w:pStyle w:val="ListParagraph"/>
        <w:numPr>
          <w:ilvl w:val="0"/>
          <w:numId w:val="13"/>
        </w:numPr>
      </w:pPr>
      <w:r>
        <w:t>The site to be developed must be in a multifamily residential zone</w:t>
      </w:r>
      <w:r w:rsidR="0072523D">
        <w:t xml:space="preserve">, substantially surrounded by qualified urban uses, and at </w:t>
      </w:r>
      <w:r w:rsidR="000507C0">
        <w:t>least five acres</w:t>
      </w:r>
      <w:r w:rsidR="0072523D">
        <w:t xml:space="preserve"> in </w:t>
      </w:r>
      <w:proofErr w:type="gramStart"/>
      <w:r w:rsidR="0072523D">
        <w:t>size</w:t>
      </w:r>
      <w:r>
        <w:t>;</w:t>
      </w:r>
      <w:proofErr w:type="gramEnd"/>
    </w:p>
    <w:p w14:paraId="6AE500D1" w14:textId="167BC4F5" w:rsidR="00117E5B" w:rsidRDefault="00117E5B" w:rsidP="00522463">
      <w:pPr>
        <w:pStyle w:val="ListParagraph"/>
        <w:numPr>
          <w:ilvl w:val="0"/>
          <w:numId w:val="13"/>
        </w:numPr>
      </w:pPr>
      <w:r>
        <w:t xml:space="preserve">The project must propose to develop single-family homes on fee simple </w:t>
      </w:r>
      <w:r w:rsidR="00EF6A00">
        <w:t xml:space="preserve">ownership </w:t>
      </w:r>
      <w:proofErr w:type="gramStart"/>
      <w:r w:rsidR="00EF6A00">
        <w:t>lots;</w:t>
      </w:r>
      <w:proofErr w:type="gramEnd"/>
    </w:p>
    <w:p w14:paraId="62F79CF7" w14:textId="6789E4B7" w:rsidR="00117E5B" w:rsidRDefault="00117E5B" w:rsidP="00522463">
      <w:pPr>
        <w:pStyle w:val="ListParagraph"/>
        <w:numPr>
          <w:ilvl w:val="0"/>
          <w:numId w:val="13"/>
        </w:numPr>
      </w:pPr>
      <w:r>
        <w:t xml:space="preserve">The </w:t>
      </w:r>
      <w:r w:rsidR="0072523D">
        <w:t>project</w:t>
      </w:r>
      <w:r>
        <w:t xml:space="preserve"> must comply with existing density</w:t>
      </w:r>
      <w:r w:rsidR="00EF6A00">
        <w:t>, height requirements</w:t>
      </w:r>
      <w:r>
        <w:t xml:space="preserve"> and setbacks </w:t>
      </w:r>
      <w:r w:rsidR="0072523D">
        <w:t xml:space="preserve">in relation </w:t>
      </w:r>
      <w:r>
        <w:t xml:space="preserve">to other </w:t>
      </w:r>
      <w:proofErr w:type="gramStart"/>
      <w:r>
        <w:t>sites;</w:t>
      </w:r>
      <w:proofErr w:type="gramEnd"/>
    </w:p>
    <w:p w14:paraId="288DB17C" w14:textId="30183AC4" w:rsidR="00117E5B" w:rsidRDefault="00EF6A00" w:rsidP="00522463">
      <w:pPr>
        <w:pStyle w:val="ListParagraph"/>
        <w:numPr>
          <w:ilvl w:val="0"/>
          <w:numId w:val="13"/>
        </w:numPr>
      </w:pPr>
      <w:r>
        <w:t xml:space="preserve">The proposed development </w:t>
      </w:r>
      <w:r w:rsidR="0072523D">
        <w:t xml:space="preserve">must be </w:t>
      </w:r>
      <w:r>
        <w:t>within the boundaries of a jurisdiction that has adopted a compliant housing element.</w:t>
      </w:r>
    </w:p>
    <w:p w14:paraId="75DF014C" w14:textId="04B8CC58" w:rsidR="00906940" w:rsidRDefault="00EF6A00" w:rsidP="00522463">
      <w:r>
        <w:t xml:space="preserve">A local agency need not ministerially approve projects that meet </w:t>
      </w:r>
      <w:r w:rsidR="000507C0">
        <w:t>all</w:t>
      </w:r>
      <w:r>
        <w:t xml:space="preserve"> the criteria in AB 803</w:t>
      </w:r>
      <w:r w:rsidR="00906940">
        <w:t>, but it must approve the application so long as the development complies with non-conflicting local standards and would not have a specific, adverse impact on public health and safety that cannot be satisfactorily mitigated. A local agency</w:t>
      </w:r>
      <w:r>
        <w:t xml:space="preserve"> may impose conditions not in conflict with the law</w:t>
      </w:r>
      <w:r w:rsidR="00906940">
        <w:t>, except that it:</w:t>
      </w:r>
    </w:p>
    <w:p w14:paraId="5A8780BC" w14:textId="7F538908" w:rsidR="00EF6A00" w:rsidRPr="00906940" w:rsidRDefault="00906940" w:rsidP="00522463">
      <w:pPr>
        <w:pStyle w:val="ListParagraph"/>
        <w:numPr>
          <w:ilvl w:val="0"/>
          <w:numId w:val="15"/>
        </w:numPr>
      </w:pPr>
      <w:r>
        <w:lastRenderedPageBreak/>
        <w:t>May not i</w:t>
      </w:r>
      <w:r w:rsidRPr="00906940">
        <w:t xml:space="preserve">mpose setback requirements between buildings, except as required by the state Building </w:t>
      </w:r>
      <w:proofErr w:type="gramStart"/>
      <w:r w:rsidRPr="00906940">
        <w:t>Code;</w:t>
      </w:r>
      <w:proofErr w:type="gramEnd"/>
    </w:p>
    <w:p w14:paraId="06D14234" w14:textId="2C933577" w:rsidR="00906940" w:rsidRDefault="00906940" w:rsidP="00522463">
      <w:pPr>
        <w:pStyle w:val="ListParagraph"/>
        <w:numPr>
          <w:ilvl w:val="0"/>
          <w:numId w:val="14"/>
        </w:numPr>
      </w:pPr>
      <w:r>
        <w:t xml:space="preserve">May not impose </w:t>
      </w:r>
      <w:r w:rsidR="004152D0">
        <w:t xml:space="preserve">a </w:t>
      </w:r>
      <w:r>
        <w:t xml:space="preserve">minimum lot </w:t>
      </w:r>
      <w:proofErr w:type="gramStart"/>
      <w:r>
        <w:t>size;</w:t>
      </w:r>
      <w:proofErr w:type="gramEnd"/>
    </w:p>
    <w:p w14:paraId="5D5C1B69" w14:textId="6F8D91D9" w:rsidR="00906940" w:rsidRDefault="00906940" w:rsidP="00522463">
      <w:pPr>
        <w:pStyle w:val="ListParagraph"/>
        <w:numPr>
          <w:ilvl w:val="0"/>
          <w:numId w:val="14"/>
        </w:numPr>
      </w:pPr>
      <w:r>
        <w:t>May not require covered or enclosed parking; and</w:t>
      </w:r>
    </w:p>
    <w:p w14:paraId="25212825" w14:textId="4A0A38E8" w:rsidR="00906940" w:rsidRDefault="00906940" w:rsidP="00522463">
      <w:pPr>
        <w:pStyle w:val="ListParagraph"/>
        <w:numPr>
          <w:ilvl w:val="0"/>
          <w:numId w:val="14"/>
        </w:numPr>
      </w:pPr>
      <w:r>
        <w:t>May not require the formation of a homeowner</w:t>
      </w:r>
      <w:r w:rsidR="008F0127">
        <w:t>’</w:t>
      </w:r>
      <w:r>
        <w:t>s association.</w:t>
      </w:r>
    </w:p>
    <w:p w14:paraId="3CD1FB4B" w14:textId="19D2EBF2" w:rsidR="00906940" w:rsidRPr="00906940" w:rsidRDefault="00906940" w:rsidP="00522463">
      <w:r>
        <w:t xml:space="preserve">The </w:t>
      </w:r>
      <w:r w:rsidR="00DA0AC5">
        <w:t xml:space="preserve">applicability </w:t>
      </w:r>
      <w:r>
        <w:t xml:space="preserve">of AB 803 is likely to be limited given its narrow </w:t>
      </w:r>
      <w:r w:rsidR="00DA0AC5">
        <w:t xml:space="preserve">scope </w:t>
      </w:r>
      <w:r>
        <w:t xml:space="preserve">and </w:t>
      </w:r>
      <w:r w:rsidR="004152D0">
        <w:t xml:space="preserve">strict </w:t>
      </w:r>
      <w:r>
        <w:t>criteria.</w:t>
      </w:r>
    </w:p>
    <w:p w14:paraId="46935AA3" w14:textId="77777777" w:rsidR="008F0127" w:rsidRDefault="00B26220" w:rsidP="008F0127">
      <w:pPr>
        <w:pStyle w:val="Heading3"/>
      </w:pPr>
      <w:r w:rsidRPr="00522463">
        <w:rPr>
          <w:rStyle w:val="Strong"/>
          <w:rFonts w:cstheme="minorBidi"/>
          <w:b/>
          <w:szCs w:val="22"/>
        </w:rPr>
        <w:t>Enforcement Response to Complaints.</w:t>
      </w:r>
      <w:r>
        <w:t xml:space="preserve"> </w:t>
      </w:r>
    </w:p>
    <w:p w14:paraId="33332ED0" w14:textId="32CEE77C" w:rsidR="00C902EF" w:rsidRDefault="00A82F85" w:rsidP="00522463">
      <w:r>
        <w:t xml:space="preserve">With the goal of ensuring safe and habitable housing for tenants, </w:t>
      </w:r>
      <w:r w:rsidRPr="00522463">
        <w:rPr>
          <w:rStyle w:val="Emphasis"/>
          <w:rFonts w:cstheme="minorBidi"/>
          <w:szCs w:val="22"/>
        </w:rPr>
        <w:t>AB 838</w:t>
      </w:r>
      <w:r>
        <w:t xml:space="preserve"> imposes on cities and counties new rules for the enforcement of complaints of substandard building conditions or lead hazard violations. First, AB 838 requires that local agencies inspect the property in question as promptly after receipt of a complaint as they would a request for final inspection. Moreover, agencies cannot impose unreasonable conditions, such as that the tenant be current on rent or in compliance with their rental agreement, on responding to substandard building complaints. </w:t>
      </w:r>
    </w:p>
    <w:p w14:paraId="1DCC4214" w14:textId="0237AD78" w:rsidR="00906940" w:rsidRDefault="00A82F85" w:rsidP="00522463">
      <w:r>
        <w:t xml:space="preserve">Upon inspection, the agency must document any violations and substandard conditions. </w:t>
      </w:r>
      <w:r w:rsidR="00C902EF">
        <w:t xml:space="preserve">Thereafter, the </w:t>
      </w:r>
      <w:r>
        <w:t xml:space="preserve">agency must inform the owner of the property of any violations and required corrective actions and schedule a time for reinspection to ensure compliance with the corrective actions. </w:t>
      </w:r>
      <w:r w:rsidR="00C902EF">
        <w:t>Finally, the city or county may not collect a fee from the property owner for the inspection or the report and must provide free, certified copies of inspection reports and citations to any</w:t>
      </w:r>
      <w:r w:rsidR="00927B08">
        <w:t>one</w:t>
      </w:r>
      <w:r w:rsidR="00C902EF">
        <w:t xml:space="preserve"> who requests such copies.</w:t>
      </w:r>
    </w:p>
    <w:p w14:paraId="128C8EAB" w14:textId="6C895B2D" w:rsidR="00C902EF" w:rsidRDefault="00C902EF" w:rsidP="00522463">
      <w:r>
        <w:t xml:space="preserve">A local agency is not required to conduct an inspection where (1) the complaint does not allege one or more substandard conditions or (2) a previous complaint, submitted by a tenant, </w:t>
      </w:r>
      <w:r w:rsidR="000507C0">
        <w:t>resident,</w:t>
      </w:r>
      <w:r>
        <w:t xml:space="preserve"> or occupant about the same property, was determined to be frivolous or unfounded by an inspector in the last 180 days.</w:t>
      </w:r>
    </w:p>
    <w:p w14:paraId="56FFDA03" w14:textId="77777777" w:rsidR="008F0127" w:rsidRDefault="00FA7499" w:rsidP="008F0127">
      <w:pPr>
        <w:pStyle w:val="Heading3"/>
      </w:pPr>
      <w:r w:rsidRPr="00522463">
        <w:rPr>
          <w:rStyle w:val="Strong"/>
          <w:rFonts w:cstheme="minorBidi"/>
          <w:b/>
          <w:szCs w:val="22"/>
        </w:rPr>
        <w:t>Intergenerational Housing.</w:t>
      </w:r>
      <w:r w:rsidR="006829B1">
        <w:t xml:space="preserve"> </w:t>
      </w:r>
    </w:p>
    <w:p w14:paraId="5CDEFD70" w14:textId="1E08E9D9" w:rsidR="00FA7499" w:rsidRDefault="006829B1" w:rsidP="00522463">
      <w:r w:rsidRPr="00522463">
        <w:rPr>
          <w:rStyle w:val="Emphasis"/>
          <w:rFonts w:cstheme="minorBidi"/>
          <w:szCs w:val="22"/>
        </w:rPr>
        <w:t>SB 591</w:t>
      </w:r>
      <w:r>
        <w:t xml:space="preserve"> seeks to facilitate the establishment of intergenerational housing</w:t>
      </w:r>
      <w:r w:rsidR="000120D0">
        <w:t xml:space="preserve"> to benefit senior citizens who need special living environments and services. The new law provides that an intergenerational housing development may be established to provide housing units for senior citizens, caregivers, or transition age youth if</w:t>
      </w:r>
      <w:r w:rsidR="000B002A">
        <w:t>, among others,</w:t>
      </w:r>
      <w:r w:rsidR="000120D0">
        <w:t xml:space="preserve"> the following requirements are met:</w:t>
      </w:r>
    </w:p>
    <w:p w14:paraId="197C155E" w14:textId="557EB3E3" w:rsidR="000120D0" w:rsidRDefault="000120D0" w:rsidP="00522463">
      <w:pPr>
        <w:pStyle w:val="ListParagraph"/>
        <w:numPr>
          <w:ilvl w:val="0"/>
          <w:numId w:val="17"/>
        </w:numPr>
      </w:pPr>
      <w:r>
        <w:t xml:space="preserve">At least 80 percent of the occupied units are occupied by at least one senior citizen, which is defined as a person </w:t>
      </w:r>
      <w:r w:rsidR="000B002A">
        <w:t xml:space="preserve">55 years of age or </w:t>
      </w:r>
      <w:proofErr w:type="gramStart"/>
      <w:r w:rsidR="000B002A">
        <w:t>older;</w:t>
      </w:r>
      <w:proofErr w:type="gramEnd"/>
    </w:p>
    <w:p w14:paraId="5A80FB22" w14:textId="41B3B568" w:rsidR="000120D0" w:rsidRDefault="000120D0" w:rsidP="00522463">
      <w:pPr>
        <w:pStyle w:val="ListParagraph"/>
        <w:numPr>
          <w:ilvl w:val="0"/>
          <w:numId w:val="17"/>
        </w:numPr>
      </w:pPr>
      <w:r>
        <w:t>Up to 20 percent of the occupied units are occupied by at least one statutorily</w:t>
      </w:r>
      <w:r w:rsidR="004152D0">
        <w:t xml:space="preserve"> </w:t>
      </w:r>
      <w:r>
        <w:t>defined caregiver or transition age youth, defined as</w:t>
      </w:r>
      <w:r w:rsidR="000B002A">
        <w:t xml:space="preserve"> a person who is 18 to 24 years of age and is either a current or former foster youth or a current or former homeless </w:t>
      </w:r>
      <w:proofErr w:type="gramStart"/>
      <w:r w:rsidR="000B002A">
        <w:t>youth;</w:t>
      </w:r>
      <w:proofErr w:type="gramEnd"/>
      <w:r w:rsidR="000B002A">
        <w:t xml:space="preserve"> </w:t>
      </w:r>
    </w:p>
    <w:p w14:paraId="2C78A439" w14:textId="26433D36" w:rsidR="000120D0" w:rsidRDefault="000120D0" w:rsidP="00522463">
      <w:pPr>
        <w:pStyle w:val="ListParagraph"/>
        <w:numPr>
          <w:ilvl w:val="0"/>
          <w:numId w:val="17"/>
        </w:numPr>
      </w:pPr>
      <w:r>
        <w:t>The development is affordable to statutorily</w:t>
      </w:r>
      <w:r w:rsidR="004152D0">
        <w:t xml:space="preserve"> </w:t>
      </w:r>
      <w:r>
        <w:t>defined lower income households;</w:t>
      </w:r>
      <w:r w:rsidR="000B002A">
        <w:t xml:space="preserve"> and</w:t>
      </w:r>
    </w:p>
    <w:p w14:paraId="286B5038" w14:textId="635D5177" w:rsidR="00FA7499" w:rsidRPr="000B002A" w:rsidRDefault="000B002A" w:rsidP="00522463">
      <w:pPr>
        <w:pStyle w:val="ListParagraph"/>
        <w:numPr>
          <w:ilvl w:val="0"/>
          <w:numId w:val="17"/>
        </w:numPr>
      </w:pPr>
      <w:r>
        <w:t xml:space="preserve">The </w:t>
      </w:r>
      <w:r w:rsidR="00927B08">
        <w:t>covenant</w:t>
      </w:r>
      <w:r>
        <w:t xml:space="preserve"> or written policy for the development set forth the limitations on occupancy, </w:t>
      </w:r>
      <w:r w:rsidR="000507C0">
        <w:t>residency,</w:t>
      </w:r>
      <w:r>
        <w:t xml:space="preserve"> or use.</w:t>
      </w:r>
    </w:p>
    <w:p w14:paraId="6C21E26D" w14:textId="6DC9DC67" w:rsidR="000B002A" w:rsidRPr="000B002A" w:rsidRDefault="000B002A" w:rsidP="00522463">
      <w:r>
        <w:lastRenderedPageBreak/>
        <w:t>SB 591 is particularly important because it allows developers that have certain funds or tax credits designated for affordable rental housing to</w:t>
      </w:r>
      <w:r w:rsidR="00B22131">
        <w:t xml:space="preserve"> expand</w:t>
      </w:r>
      <w:r>
        <w:t xml:space="preserve"> occupancy to </w:t>
      </w:r>
      <w:r w:rsidR="000507C0">
        <w:t>include not only</w:t>
      </w:r>
      <w:r w:rsidR="00B22131">
        <w:t xml:space="preserve"> </w:t>
      </w:r>
      <w:r>
        <w:t xml:space="preserve">senior citizens, </w:t>
      </w:r>
      <w:r w:rsidR="00B22131">
        <w:t xml:space="preserve">but also </w:t>
      </w:r>
      <w:r>
        <w:t xml:space="preserve">caregivers and transitional youth. </w:t>
      </w:r>
    </w:p>
    <w:p w14:paraId="3FF36FB6" w14:textId="77777777" w:rsidR="008F0127" w:rsidRDefault="00FA7499" w:rsidP="008F0127">
      <w:pPr>
        <w:pStyle w:val="Heading3"/>
      </w:pPr>
      <w:r w:rsidRPr="00522463">
        <w:rPr>
          <w:rStyle w:val="Strong"/>
          <w:rFonts w:cstheme="minorBidi"/>
          <w:b/>
          <w:szCs w:val="22"/>
        </w:rPr>
        <w:t>Surplus Land Unit</w:t>
      </w:r>
      <w:r>
        <w:t xml:space="preserve">. </w:t>
      </w:r>
    </w:p>
    <w:p w14:paraId="3BAAFCC7" w14:textId="66589878" w:rsidR="00FA7499" w:rsidRDefault="00FA7499" w:rsidP="00522463">
      <w:r w:rsidRPr="00522463">
        <w:rPr>
          <w:rStyle w:val="Emphasis"/>
          <w:rFonts w:cstheme="minorBidi"/>
          <w:szCs w:val="22"/>
        </w:rPr>
        <w:t>SB 791</w:t>
      </w:r>
      <w:r>
        <w:t xml:space="preserve"> creates </w:t>
      </w:r>
      <w:r w:rsidR="00C726C6">
        <w:t xml:space="preserve">the California Surplus Land Unit within the Department of Housing and Community Development. The purpose of the Unit is to facilitate development and construction of residential housing on local surplus land, which is defined as land declared surplus by a local agency, pursuant to </w:t>
      </w:r>
      <w:r w:rsidR="008F0127">
        <w:t>Government</w:t>
      </w:r>
      <w:r w:rsidR="00C726C6">
        <w:t xml:space="preserve"> Code </w:t>
      </w:r>
      <w:r w:rsidR="008F0127">
        <w:t>Section</w:t>
      </w:r>
      <w:r w:rsidR="00C726C6">
        <w:t xml:space="preserve"> 54220, et seq., or by a school district, pursuant to </w:t>
      </w:r>
      <w:r w:rsidR="008F0127">
        <w:t>Education</w:t>
      </w:r>
      <w:r w:rsidR="00C726C6">
        <w:t xml:space="preserve"> Code </w:t>
      </w:r>
      <w:r w:rsidR="008F0127">
        <w:t>Section</w:t>
      </w:r>
      <w:r w:rsidR="00C726C6">
        <w:t xml:space="preserve"> 17455, et seq. The Unit may engage in the following activities in the furtherance of its purpose:</w:t>
      </w:r>
    </w:p>
    <w:p w14:paraId="3D07E1C8" w14:textId="16AE5E97" w:rsidR="00C726C6" w:rsidRDefault="00C726C6" w:rsidP="00522463">
      <w:pPr>
        <w:pStyle w:val="ListParagraph"/>
        <w:numPr>
          <w:ilvl w:val="0"/>
          <w:numId w:val="16"/>
        </w:numPr>
      </w:pPr>
      <w:r>
        <w:t xml:space="preserve">Facilitate agreements between housing developers and local agencies seeking to dispose of surplus </w:t>
      </w:r>
      <w:proofErr w:type="gramStart"/>
      <w:r>
        <w:t>land;</w:t>
      </w:r>
      <w:proofErr w:type="gramEnd"/>
    </w:p>
    <w:p w14:paraId="3A6F9591" w14:textId="0FB68F26" w:rsidR="00C726C6" w:rsidRDefault="00C726C6" w:rsidP="00522463">
      <w:pPr>
        <w:pStyle w:val="ListParagraph"/>
        <w:numPr>
          <w:ilvl w:val="0"/>
          <w:numId w:val="16"/>
        </w:numPr>
      </w:pPr>
      <w:r>
        <w:t xml:space="preserve">Provide advice or technical assistance and services to local agencies with surplus land or developers seeking to develop housing on the surplus </w:t>
      </w:r>
      <w:proofErr w:type="gramStart"/>
      <w:r>
        <w:t>land;</w:t>
      </w:r>
      <w:proofErr w:type="gramEnd"/>
    </w:p>
    <w:p w14:paraId="699E62C5" w14:textId="5D433820" w:rsidR="00C726C6" w:rsidRDefault="00C726C6" w:rsidP="00522463">
      <w:pPr>
        <w:pStyle w:val="ListParagraph"/>
        <w:numPr>
          <w:ilvl w:val="0"/>
          <w:numId w:val="16"/>
        </w:numPr>
      </w:pPr>
      <w:r>
        <w:t xml:space="preserve">Collaborate with other relevant state agencies, such as the California Housing Finance Agency or the California Tax Credit Allocation Committee, to assist housing developers and local agencies with obtaining grants, loans, tax credits and other types of </w:t>
      </w:r>
      <w:proofErr w:type="gramStart"/>
      <w:r>
        <w:t>financing;</w:t>
      </w:r>
      <w:proofErr w:type="gramEnd"/>
    </w:p>
    <w:p w14:paraId="76CD0E9F" w14:textId="2A4C4B84" w:rsidR="00C726C6" w:rsidRPr="00C726C6" w:rsidRDefault="0089519B" w:rsidP="00522463">
      <w:pPr>
        <w:pStyle w:val="ListParagraph"/>
        <w:numPr>
          <w:ilvl w:val="0"/>
          <w:numId w:val="16"/>
        </w:numPr>
      </w:pPr>
      <w:r>
        <w:t>Collect and compile data on housing production on local surplus land.</w:t>
      </w:r>
    </w:p>
    <w:sectPr w:rsidR="00C726C6" w:rsidRPr="00C726C6" w:rsidSect="00F0788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166D" w14:textId="77777777" w:rsidR="00E64AE6" w:rsidRDefault="00E64AE6" w:rsidP="00522463">
      <w:r>
        <w:separator/>
      </w:r>
    </w:p>
  </w:endnote>
  <w:endnote w:type="continuationSeparator" w:id="0">
    <w:p w14:paraId="6BFADB9E" w14:textId="77777777" w:rsidR="00E64AE6" w:rsidRDefault="00E64AE6" w:rsidP="0052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FFB6" w14:textId="77777777" w:rsidR="003F264C" w:rsidRDefault="003F264C" w:rsidP="00522463">
    <w:pPr>
      <w:pStyle w:val="Footer"/>
    </w:pPr>
  </w:p>
  <w:p w14:paraId="6E954ED1" w14:textId="770AFE16" w:rsidR="003F264C" w:rsidRDefault="000507C0" w:rsidP="00522463">
    <w:pPr>
      <w:pStyle w:val="DocID"/>
    </w:pPr>
    <w:r>
      <w:t>2089\03\3182867.2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795486"/>
      <w:docPartObj>
        <w:docPartGallery w:val="Page Numbers (Bottom of Page)"/>
        <w:docPartUnique/>
      </w:docPartObj>
    </w:sdtPr>
    <w:sdtEndPr>
      <w:rPr>
        <w:noProof/>
      </w:rPr>
    </w:sdtEndPr>
    <w:sdtContent>
      <w:p w14:paraId="12D05FE4" w14:textId="56FB531B" w:rsidR="004306B7" w:rsidRDefault="004306B7" w:rsidP="00522463">
        <w:pPr>
          <w:pStyle w:val="Footer"/>
        </w:pPr>
        <w:r w:rsidRPr="00522463">
          <w:fldChar w:fldCharType="begin"/>
        </w:r>
        <w:r w:rsidRPr="00522463">
          <w:instrText xml:space="preserve"> PAGE   \* MERGEFORMAT </w:instrText>
        </w:r>
        <w:r w:rsidRPr="00522463">
          <w:fldChar w:fldCharType="separate"/>
        </w:r>
        <w:r w:rsidRPr="00522463">
          <w:rPr>
            <w:noProof/>
          </w:rPr>
          <w:t>2</w:t>
        </w:r>
        <w:r w:rsidRPr="00522463">
          <w:rPr>
            <w:noProof/>
          </w:rPr>
          <w:fldChar w:fldCharType="end"/>
        </w:r>
      </w:p>
    </w:sdtContent>
  </w:sdt>
  <w:p w14:paraId="4EA925D7" w14:textId="2E4B1E26" w:rsidR="003F264C" w:rsidRDefault="003F264C" w:rsidP="00522463">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1E72" w14:textId="77777777" w:rsidR="003F264C" w:rsidRDefault="003F264C" w:rsidP="00522463">
    <w:pPr>
      <w:pStyle w:val="Footer"/>
    </w:pPr>
  </w:p>
  <w:p w14:paraId="245CEA8D" w14:textId="63BAADB7" w:rsidR="003F264C" w:rsidRDefault="003F264C" w:rsidP="00522463">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1249" w14:textId="77777777" w:rsidR="00E64AE6" w:rsidRDefault="00E64AE6" w:rsidP="00522463">
      <w:r>
        <w:separator/>
      </w:r>
    </w:p>
  </w:footnote>
  <w:footnote w:type="continuationSeparator" w:id="0">
    <w:p w14:paraId="4548D04B" w14:textId="77777777" w:rsidR="00E64AE6" w:rsidRDefault="00E64AE6" w:rsidP="00522463">
      <w:r>
        <w:continuationSeparator/>
      </w:r>
    </w:p>
  </w:footnote>
  <w:footnote w:id="1">
    <w:p w14:paraId="6816E9B3" w14:textId="67871BC3" w:rsidR="00207922" w:rsidRDefault="00207922" w:rsidP="00522463">
      <w:pPr>
        <w:pStyle w:val="FootnoteText"/>
      </w:pPr>
      <w:r>
        <w:rPr>
          <w:rStyle w:val="FootnoteReference"/>
        </w:rPr>
        <w:footnoteRef/>
      </w:r>
      <w:r>
        <w:t xml:space="preserve"> </w:t>
      </w:r>
      <w:r w:rsidR="008F0127">
        <w:t xml:space="preserve">Additional SB 9 summaries and guidance can be found on </w:t>
      </w:r>
      <w:hyperlink r:id="rId1" w:history="1">
        <w:r w:rsidR="008F0127" w:rsidRPr="00E55D95">
          <w:rPr>
            <w:rStyle w:val="Hyperlink"/>
          </w:rPr>
          <w:t>ABAG</w:t>
        </w:r>
        <w:r w:rsidR="008F0127">
          <w:rPr>
            <w:rStyle w:val="Hyperlink"/>
          </w:rPr>
          <w:t>’</w:t>
        </w:r>
        <w:r w:rsidR="008F0127" w:rsidRPr="00E55D95">
          <w:rPr>
            <w:rStyle w:val="Hyperlink"/>
          </w:rPr>
          <w:t>s SB 9 Resources page (https://abag.ca.gov/our-work/housing/regional-housing-technical-assistance/sb-9-reso</w:t>
        </w:r>
        <w:r w:rsidR="008F0127" w:rsidRPr="00E55D95">
          <w:rPr>
            <w:rStyle w:val="Hyperlink"/>
          </w:rPr>
          <w:t>u</w:t>
        </w:r>
        <w:r w:rsidR="008F0127" w:rsidRPr="00E55D95">
          <w:rPr>
            <w:rStyle w:val="Hyperlink"/>
          </w:rPr>
          <w:t>rces).</w:t>
        </w:r>
      </w:hyperlink>
      <w:r w:rsidR="008F012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E45F" w14:textId="77777777" w:rsidR="008B30E7" w:rsidRPr="00522463" w:rsidRDefault="008B30E7" w:rsidP="00522463">
    <w:pPr>
      <w:pStyle w:val="Header"/>
    </w:pPr>
    <w:r w:rsidRPr="00522463">
      <w:t>2021 New Laws Overview</w:t>
    </w:r>
  </w:p>
  <w:p w14:paraId="24DB1BEC" w14:textId="77777777" w:rsidR="008B30E7" w:rsidRDefault="008B30E7" w:rsidP="00522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2C6"/>
    <w:multiLevelType w:val="hybridMultilevel"/>
    <w:tmpl w:val="77B0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7E3A"/>
    <w:multiLevelType w:val="hybridMultilevel"/>
    <w:tmpl w:val="A81C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C5666"/>
    <w:multiLevelType w:val="hybridMultilevel"/>
    <w:tmpl w:val="A6A0C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230A3"/>
    <w:multiLevelType w:val="hybridMultilevel"/>
    <w:tmpl w:val="1608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86954"/>
    <w:multiLevelType w:val="hybridMultilevel"/>
    <w:tmpl w:val="00982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4743C"/>
    <w:multiLevelType w:val="hybridMultilevel"/>
    <w:tmpl w:val="DD08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4683A"/>
    <w:multiLevelType w:val="hybridMultilevel"/>
    <w:tmpl w:val="72406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50E84"/>
    <w:multiLevelType w:val="hybridMultilevel"/>
    <w:tmpl w:val="FAD6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5738E"/>
    <w:multiLevelType w:val="hybridMultilevel"/>
    <w:tmpl w:val="6352CB9E"/>
    <w:lvl w:ilvl="0" w:tplc="0BDC6C32">
      <w:start w:val="1"/>
      <w:numFmt w:val="bullet"/>
      <w:pStyle w:val="Heading4"/>
      <w:lvlText w:val=""/>
      <w:lvlJc w:val="left"/>
      <w:pPr>
        <w:ind w:left="720" w:hanging="360"/>
      </w:pPr>
      <w:rPr>
        <w:rFonts w:ascii="Symbol" w:hAnsi="Symbol" w:hint="default"/>
      </w:rPr>
    </w:lvl>
    <w:lvl w:ilvl="1" w:tplc="F5869F30" w:tentative="1">
      <w:start w:val="1"/>
      <w:numFmt w:val="bullet"/>
      <w:lvlText w:val="o"/>
      <w:lvlJc w:val="left"/>
      <w:pPr>
        <w:ind w:left="1440" w:hanging="360"/>
      </w:pPr>
      <w:rPr>
        <w:rFonts w:ascii="Courier New" w:hAnsi="Courier New" w:cs="Courier New" w:hint="default"/>
      </w:rPr>
    </w:lvl>
    <w:lvl w:ilvl="2" w:tplc="7AC8AD68" w:tentative="1">
      <w:start w:val="1"/>
      <w:numFmt w:val="bullet"/>
      <w:lvlText w:val=""/>
      <w:lvlJc w:val="left"/>
      <w:pPr>
        <w:ind w:left="2160" w:hanging="360"/>
      </w:pPr>
      <w:rPr>
        <w:rFonts w:ascii="Wingdings" w:hAnsi="Wingdings" w:hint="default"/>
      </w:rPr>
    </w:lvl>
    <w:lvl w:ilvl="3" w:tplc="EABA92AC" w:tentative="1">
      <w:start w:val="1"/>
      <w:numFmt w:val="bullet"/>
      <w:lvlText w:val=""/>
      <w:lvlJc w:val="left"/>
      <w:pPr>
        <w:ind w:left="2880" w:hanging="360"/>
      </w:pPr>
      <w:rPr>
        <w:rFonts w:ascii="Symbol" w:hAnsi="Symbol" w:hint="default"/>
      </w:rPr>
    </w:lvl>
    <w:lvl w:ilvl="4" w:tplc="62780CF4" w:tentative="1">
      <w:start w:val="1"/>
      <w:numFmt w:val="bullet"/>
      <w:lvlText w:val="o"/>
      <w:lvlJc w:val="left"/>
      <w:pPr>
        <w:ind w:left="3600" w:hanging="360"/>
      </w:pPr>
      <w:rPr>
        <w:rFonts w:ascii="Courier New" w:hAnsi="Courier New" w:cs="Courier New" w:hint="default"/>
      </w:rPr>
    </w:lvl>
    <w:lvl w:ilvl="5" w:tplc="3326C594" w:tentative="1">
      <w:start w:val="1"/>
      <w:numFmt w:val="bullet"/>
      <w:lvlText w:val=""/>
      <w:lvlJc w:val="left"/>
      <w:pPr>
        <w:ind w:left="4320" w:hanging="360"/>
      </w:pPr>
      <w:rPr>
        <w:rFonts w:ascii="Wingdings" w:hAnsi="Wingdings" w:hint="default"/>
      </w:rPr>
    </w:lvl>
    <w:lvl w:ilvl="6" w:tplc="5A5AB27E" w:tentative="1">
      <w:start w:val="1"/>
      <w:numFmt w:val="bullet"/>
      <w:lvlText w:val=""/>
      <w:lvlJc w:val="left"/>
      <w:pPr>
        <w:ind w:left="5040" w:hanging="360"/>
      </w:pPr>
      <w:rPr>
        <w:rFonts w:ascii="Symbol" w:hAnsi="Symbol" w:hint="default"/>
      </w:rPr>
    </w:lvl>
    <w:lvl w:ilvl="7" w:tplc="1CDA1A2C" w:tentative="1">
      <w:start w:val="1"/>
      <w:numFmt w:val="bullet"/>
      <w:lvlText w:val="o"/>
      <w:lvlJc w:val="left"/>
      <w:pPr>
        <w:ind w:left="5760" w:hanging="360"/>
      </w:pPr>
      <w:rPr>
        <w:rFonts w:ascii="Courier New" w:hAnsi="Courier New" w:cs="Courier New" w:hint="default"/>
      </w:rPr>
    </w:lvl>
    <w:lvl w:ilvl="8" w:tplc="81E24316" w:tentative="1">
      <w:start w:val="1"/>
      <w:numFmt w:val="bullet"/>
      <w:lvlText w:val=""/>
      <w:lvlJc w:val="left"/>
      <w:pPr>
        <w:ind w:left="6480" w:hanging="360"/>
      </w:pPr>
      <w:rPr>
        <w:rFonts w:ascii="Wingdings" w:hAnsi="Wingdings" w:hint="default"/>
      </w:rPr>
    </w:lvl>
  </w:abstractNum>
  <w:abstractNum w:abstractNumId="9" w15:restartNumberingAfterBreak="0">
    <w:nsid w:val="484B3729"/>
    <w:multiLevelType w:val="hybridMultilevel"/>
    <w:tmpl w:val="E1B0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C20F5"/>
    <w:multiLevelType w:val="hybridMultilevel"/>
    <w:tmpl w:val="0B70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877D6"/>
    <w:multiLevelType w:val="hybridMultilevel"/>
    <w:tmpl w:val="4068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5824"/>
    <w:multiLevelType w:val="hybridMultilevel"/>
    <w:tmpl w:val="55FA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E5DD6"/>
    <w:multiLevelType w:val="hybridMultilevel"/>
    <w:tmpl w:val="3B5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C71A9"/>
    <w:multiLevelType w:val="hybridMultilevel"/>
    <w:tmpl w:val="855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D4924"/>
    <w:multiLevelType w:val="hybridMultilevel"/>
    <w:tmpl w:val="432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432F4"/>
    <w:multiLevelType w:val="hybridMultilevel"/>
    <w:tmpl w:val="07E0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0F4869"/>
    <w:multiLevelType w:val="hybridMultilevel"/>
    <w:tmpl w:val="4078C53E"/>
    <w:lvl w:ilvl="0" w:tplc="5F62BE74">
      <w:start w:val="1"/>
      <w:numFmt w:val="bullet"/>
      <w:lvlText w:val=""/>
      <w:lvlJc w:val="left"/>
      <w:pPr>
        <w:ind w:left="720" w:hanging="360"/>
      </w:pPr>
      <w:rPr>
        <w:rFonts w:ascii="Symbol" w:hAnsi="Symbol" w:hint="default"/>
      </w:rPr>
    </w:lvl>
    <w:lvl w:ilvl="1" w:tplc="EEF84AF8" w:tentative="1">
      <w:start w:val="1"/>
      <w:numFmt w:val="bullet"/>
      <w:lvlText w:val="o"/>
      <w:lvlJc w:val="left"/>
      <w:pPr>
        <w:ind w:left="1440" w:hanging="360"/>
      </w:pPr>
      <w:rPr>
        <w:rFonts w:ascii="Courier New" w:hAnsi="Courier New" w:cs="Courier New" w:hint="default"/>
      </w:rPr>
    </w:lvl>
    <w:lvl w:ilvl="2" w:tplc="9A844A24" w:tentative="1">
      <w:start w:val="1"/>
      <w:numFmt w:val="bullet"/>
      <w:lvlText w:val=""/>
      <w:lvlJc w:val="left"/>
      <w:pPr>
        <w:ind w:left="2160" w:hanging="360"/>
      </w:pPr>
      <w:rPr>
        <w:rFonts w:ascii="Wingdings" w:hAnsi="Wingdings" w:hint="default"/>
      </w:rPr>
    </w:lvl>
    <w:lvl w:ilvl="3" w:tplc="B3960910" w:tentative="1">
      <w:start w:val="1"/>
      <w:numFmt w:val="bullet"/>
      <w:lvlText w:val=""/>
      <w:lvlJc w:val="left"/>
      <w:pPr>
        <w:ind w:left="2880" w:hanging="360"/>
      </w:pPr>
      <w:rPr>
        <w:rFonts w:ascii="Symbol" w:hAnsi="Symbol" w:hint="default"/>
      </w:rPr>
    </w:lvl>
    <w:lvl w:ilvl="4" w:tplc="F028D512" w:tentative="1">
      <w:start w:val="1"/>
      <w:numFmt w:val="bullet"/>
      <w:lvlText w:val="o"/>
      <w:lvlJc w:val="left"/>
      <w:pPr>
        <w:ind w:left="3600" w:hanging="360"/>
      </w:pPr>
      <w:rPr>
        <w:rFonts w:ascii="Courier New" w:hAnsi="Courier New" w:cs="Courier New" w:hint="default"/>
      </w:rPr>
    </w:lvl>
    <w:lvl w:ilvl="5" w:tplc="C97E5D24" w:tentative="1">
      <w:start w:val="1"/>
      <w:numFmt w:val="bullet"/>
      <w:lvlText w:val=""/>
      <w:lvlJc w:val="left"/>
      <w:pPr>
        <w:ind w:left="4320" w:hanging="360"/>
      </w:pPr>
      <w:rPr>
        <w:rFonts w:ascii="Wingdings" w:hAnsi="Wingdings" w:hint="default"/>
      </w:rPr>
    </w:lvl>
    <w:lvl w:ilvl="6" w:tplc="9E00077A" w:tentative="1">
      <w:start w:val="1"/>
      <w:numFmt w:val="bullet"/>
      <w:lvlText w:val=""/>
      <w:lvlJc w:val="left"/>
      <w:pPr>
        <w:ind w:left="5040" w:hanging="360"/>
      </w:pPr>
      <w:rPr>
        <w:rFonts w:ascii="Symbol" w:hAnsi="Symbol" w:hint="default"/>
      </w:rPr>
    </w:lvl>
    <w:lvl w:ilvl="7" w:tplc="24BCB34A" w:tentative="1">
      <w:start w:val="1"/>
      <w:numFmt w:val="bullet"/>
      <w:lvlText w:val="o"/>
      <w:lvlJc w:val="left"/>
      <w:pPr>
        <w:ind w:left="5760" w:hanging="360"/>
      </w:pPr>
      <w:rPr>
        <w:rFonts w:ascii="Courier New" w:hAnsi="Courier New" w:cs="Courier New" w:hint="default"/>
      </w:rPr>
    </w:lvl>
    <w:lvl w:ilvl="8" w:tplc="AD3C4C00" w:tentative="1">
      <w:start w:val="1"/>
      <w:numFmt w:val="bullet"/>
      <w:lvlText w:val=""/>
      <w:lvlJc w:val="left"/>
      <w:pPr>
        <w:ind w:left="6480" w:hanging="360"/>
      </w:pPr>
      <w:rPr>
        <w:rFonts w:ascii="Wingdings" w:hAnsi="Wingdings" w:hint="default"/>
      </w:rPr>
    </w:lvl>
  </w:abstractNum>
  <w:num w:numId="1" w16cid:durableId="220559220">
    <w:abstractNumId w:val="7"/>
  </w:num>
  <w:num w:numId="2" w16cid:durableId="2058164243">
    <w:abstractNumId w:val="16"/>
  </w:num>
  <w:num w:numId="3" w16cid:durableId="2116898167">
    <w:abstractNumId w:val="6"/>
  </w:num>
  <w:num w:numId="4" w16cid:durableId="1930001525">
    <w:abstractNumId w:val="15"/>
  </w:num>
  <w:num w:numId="5" w16cid:durableId="1878807674">
    <w:abstractNumId w:val="2"/>
  </w:num>
  <w:num w:numId="6" w16cid:durableId="1195657620">
    <w:abstractNumId w:val="12"/>
  </w:num>
  <w:num w:numId="7" w16cid:durableId="458182109">
    <w:abstractNumId w:val="5"/>
  </w:num>
  <w:num w:numId="8" w16cid:durableId="1941334343">
    <w:abstractNumId w:val="0"/>
  </w:num>
  <w:num w:numId="9" w16cid:durableId="620114386">
    <w:abstractNumId w:val="8"/>
  </w:num>
  <w:num w:numId="10" w16cid:durableId="1530875388">
    <w:abstractNumId w:val="17"/>
  </w:num>
  <w:num w:numId="11" w16cid:durableId="315884920">
    <w:abstractNumId w:val="10"/>
  </w:num>
  <w:num w:numId="12" w16cid:durableId="537087158">
    <w:abstractNumId w:val="13"/>
  </w:num>
  <w:num w:numId="13" w16cid:durableId="1648126939">
    <w:abstractNumId w:val="11"/>
  </w:num>
  <w:num w:numId="14" w16cid:durableId="809126705">
    <w:abstractNumId w:val="3"/>
  </w:num>
  <w:num w:numId="15" w16cid:durableId="508174717">
    <w:abstractNumId w:val="1"/>
  </w:num>
  <w:num w:numId="16" w16cid:durableId="2027125628">
    <w:abstractNumId w:val="14"/>
  </w:num>
  <w:num w:numId="17" w16cid:durableId="2051949832">
    <w:abstractNumId w:val="9"/>
  </w:num>
  <w:num w:numId="18" w16cid:durableId="1781339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C0"/>
    <w:rsid w:val="000049CA"/>
    <w:rsid w:val="00006FBC"/>
    <w:rsid w:val="000120D0"/>
    <w:rsid w:val="00023695"/>
    <w:rsid w:val="00045F54"/>
    <w:rsid w:val="000507C0"/>
    <w:rsid w:val="00075CB9"/>
    <w:rsid w:val="00096C3F"/>
    <w:rsid w:val="000B002A"/>
    <w:rsid w:val="001100BD"/>
    <w:rsid w:val="00117E5B"/>
    <w:rsid w:val="00135AA6"/>
    <w:rsid w:val="00192314"/>
    <w:rsid w:val="001945A6"/>
    <w:rsid w:val="00197B1A"/>
    <w:rsid w:val="001A14AD"/>
    <w:rsid w:val="001A26F6"/>
    <w:rsid w:val="001B10EF"/>
    <w:rsid w:val="001B519D"/>
    <w:rsid w:val="001B67F3"/>
    <w:rsid w:val="001C28AF"/>
    <w:rsid w:val="001C32AC"/>
    <w:rsid w:val="0020144C"/>
    <w:rsid w:val="002067FD"/>
    <w:rsid w:val="00207922"/>
    <w:rsid w:val="00235136"/>
    <w:rsid w:val="002470AB"/>
    <w:rsid w:val="002808BB"/>
    <w:rsid w:val="002B6D32"/>
    <w:rsid w:val="002D75DD"/>
    <w:rsid w:val="002D75F2"/>
    <w:rsid w:val="00317DD7"/>
    <w:rsid w:val="00322294"/>
    <w:rsid w:val="003315D1"/>
    <w:rsid w:val="003503E1"/>
    <w:rsid w:val="0036293C"/>
    <w:rsid w:val="003A3C0B"/>
    <w:rsid w:val="003B575C"/>
    <w:rsid w:val="003C091B"/>
    <w:rsid w:val="003C6626"/>
    <w:rsid w:val="003D473E"/>
    <w:rsid w:val="003F264C"/>
    <w:rsid w:val="004041DF"/>
    <w:rsid w:val="004152D0"/>
    <w:rsid w:val="00423C5F"/>
    <w:rsid w:val="00425096"/>
    <w:rsid w:val="0042735E"/>
    <w:rsid w:val="004306B7"/>
    <w:rsid w:val="004735E6"/>
    <w:rsid w:val="00492979"/>
    <w:rsid w:val="004B672A"/>
    <w:rsid w:val="00500B51"/>
    <w:rsid w:val="005044B5"/>
    <w:rsid w:val="00522463"/>
    <w:rsid w:val="0054119F"/>
    <w:rsid w:val="00541E39"/>
    <w:rsid w:val="0055419F"/>
    <w:rsid w:val="00561147"/>
    <w:rsid w:val="00561D76"/>
    <w:rsid w:val="0057213A"/>
    <w:rsid w:val="005778EB"/>
    <w:rsid w:val="005A4A7F"/>
    <w:rsid w:val="005D1096"/>
    <w:rsid w:val="005F0727"/>
    <w:rsid w:val="005F139C"/>
    <w:rsid w:val="00627B4E"/>
    <w:rsid w:val="00644C54"/>
    <w:rsid w:val="00674CA2"/>
    <w:rsid w:val="006829B1"/>
    <w:rsid w:val="00682C05"/>
    <w:rsid w:val="006C2470"/>
    <w:rsid w:val="007160CC"/>
    <w:rsid w:val="007169C3"/>
    <w:rsid w:val="0072523D"/>
    <w:rsid w:val="007524DE"/>
    <w:rsid w:val="0075368C"/>
    <w:rsid w:val="00792B4B"/>
    <w:rsid w:val="00793041"/>
    <w:rsid w:val="007B0081"/>
    <w:rsid w:val="00805ED8"/>
    <w:rsid w:val="00812C0A"/>
    <w:rsid w:val="00826CDD"/>
    <w:rsid w:val="008313D7"/>
    <w:rsid w:val="00840BDB"/>
    <w:rsid w:val="00860E8C"/>
    <w:rsid w:val="008624B9"/>
    <w:rsid w:val="008661EC"/>
    <w:rsid w:val="00885189"/>
    <w:rsid w:val="0089519B"/>
    <w:rsid w:val="008A4B39"/>
    <w:rsid w:val="008B30E7"/>
    <w:rsid w:val="008E1B24"/>
    <w:rsid w:val="008F0127"/>
    <w:rsid w:val="008F71D2"/>
    <w:rsid w:val="00906940"/>
    <w:rsid w:val="00923AAD"/>
    <w:rsid w:val="00927B08"/>
    <w:rsid w:val="009517D4"/>
    <w:rsid w:val="009529DD"/>
    <w:rsid w:val="0097122C"/>
    <w:rsid w:val="00993B7A"/>
    <w:rsid w:val="00993F2A"/>
    <w:rsid w:val="009A0A30"/>
    <w:rsid w:val="009B2DA3"/>
    <w:rsid w:val="009B41E5"/>
    <w:rsid w:val="009E3BFB"/>
    <w:rsid w:val="009F0243"/>
    <w:rsid w:val="009F1C35"/>
    <w:rsid w:val="00A80A17"/>
    <w:rsid w:val="00A82F85"/>
    <w:rsid w:val="00AC6195"/>
    <w:rsid w:val="00AD0F83"/>
    <w:rsid w:val="00AE6998"/>
    <w:rsid w:val="00B138F5"/>
    <w:rsid w:val="00B22131"/>
    <w:rsid w:val="00B26220"/>
    <w:rsid w:val="00B72468"/>
    <w:rsid w:val="00B73C27"/>
    <w:rsid w:val="00B811C4"/>
    <w:rsid w:val="00BA7C9E"/>
    <w:rsid w:val="00BD7CC4"/>
    <w:rsid w:val="00BE595D"/>
    <w:rsid w:val="00C00492"/>
    <w:rsid w:val="00C02136"/>
    <w:rsid w:val="00C726C6"/>
    <w:rsid w:val="00C77CAE"/>
    <w:rsid w:val="00C812DC"/>
    <w:rsid w:val="00C902EF"/>
    <w:rsid w:val="00C939C2"/>
    <w:rsid w:val="00CA4F0B"/>
    <w:rsid w:val="00CC5984"/>
    <w:rsid w:val="00CD5497"/>
    <w:rsid w:val="00CF11E9"/>
    <w:rsid w:val="00CF2115"/>
    <w:rsid w:val="00CF2559"/>
    <w:rsid w:val="00D00E6A"/>
    <w:rsid w:val="00D27FE5"/>
    <w:rsid w:val="00D35381"/>
    <w:rsid w:val="00D450F5"/>
    <w:rsid w:val="00D52450"/>
    <w:rsid w:val="00D8638E"/>
    <w:rsid w:val="00D92C5C"/>
    <w:rsid w:val="00DA0AC5"/>
    <w:rsid w:val="00DA40A0"/>
    <w:rsid w:val="00DA500F"/>
    <w:rsid w:val="00DA623A"/>
    <w:rsid w:val="00DB4EC0"/>
    <w:rsid w:val="00E052D0"/>
    <w:rsid w:val="00E267E0"/>
    <w:rsid w:val="00E64AE6"/>
    <w:rsid w:val="00E64B6E"/>
    <w:rsid w:val="00EC52B6"/>
    <w:rsid w:val="00EE6D57"/>
    <w:rsid w:val="00EF3AA2"/>
    <w:rsid w:val="00EF6A00"/>
    <w:rsid w:val="00F00A47"/>
    <w:rsid w:val="00F07884"/>
    <w:rsid w:val="00F1636F"/>
    <w:rsid w:val="00F7719D"/>
    <w:rsid w:val="00FA7066"/>
    <w:rsid w:val="00FA7499"/>
    <w:rsid w:val="00FC05DC"/>
    <w:rsid w:val="00FC4297"/>
    <w:rsid w:val="00FD47E3"/>
    <w:rsid w:val="00FE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766C"/>
  <w15:chartTrackingRefBased/>
  <w15:docId w15:val="{4FA5C711-10B8-4714-9604-E295D9AD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63"/>
    <w:pPr>
      <w:spacing w:line="276"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35AA6"/>
    <w:pPr>
      <w:keepNext/>
      <w:keepLines/>
      <w:spacing w:before="240" w:after="0"/>
      <w:outlineLvl w:val="0"/>
    </w:pPr>
    <w:rPr>
      <w:rFonts w:ascii="Times" w:eastAsiaTheme="majorEastAsia" w:hAnsi="Times" w:cstheme="majorBidi"/>
      <w:b/>
      <w:color w:val="000000" w:themeColor="text1"/>
      <w:sz w:val="28"/>
      <w:szCs w:val="32"/>
    </w:rPr>
  </w:style>
  <w:style w:type="paragraph" w:styleId="Heading2">
    <w:name w:val="heading 2"/>
    <w:basedOn w:val="Normal"/>
    <w:next w:val="Normal"/>
    <w:link w:val="Heading2Char"/>
    <w:uiPriority w:val="9"/>
    <w:unhideWhenUsed/>
    <w:qFormat/>
    <w:rsid w:val="00135AA6"/>
    <w:pPr>
      <w:jc w:val="center"/>
      <w:outlineLvl w:val="1"/>
    </w:pPr>
    <w:rPr>
      <w:b/>
      <w:bCs/>
    </w:rPr>
  </w:style>
  <w:style w:type="paragraph" w:styleId="Heading3">
    <w:name w:val="heading 3"/>
    <w:basedOn w:val="Normal"/>
    <w:next w:val="Normal"/>
    <w:link w:val="Heading3Char"/>
    <w:uiPriority w:val="9"/>
    <w:unhideWhenUsed/>
    <w:qFormat/>
    <w:rsid w:val="00522463"/>
    <w:pPr>
      <w:outlineLvl w:val="2"/>
    </w:pPr>
    <w:rPr>
      <w:b/>
      <w:u w:val="single"/>
    </w:rPr>
  </w:style>
  <w:style w:type="paragraph" w:styleId="Heading4">
    <w:name w:val="heading 4"/>
    <w:basedOn w:val="Normal"/>
    <w:next w:val="Normal"/>
    <w:link w:val="Heading4Char"/>
    <w:uiPriority w:val="9"/>
    <w:semiHidden/>
    <w:unhideWhenUsed/>
    <w:qFormat/>
    <w:rsid w:val="005224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EC0"/>
  </w:style>
  <w:style w:type="paragraph" w:styleId="Footer">
    <w:name w:val="footer"/>
    <w:basedOn w:val="Normal"/>
    <w:link w:val="FooterChar"/>
    <w:uiPriority w:val="99"/>
    <w:unhideWhenUsed/>
    <w:rsid w:val="00DB4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EC0"/>
  </w:style>
  <w:style w:type="paragraph" w:customStyle="1" w:styleId="DocID">
    <w:name w:val="Doc ID"/>
    <w:basedOn w:val="Normal"/>
    <w:link w:val="DocIDChar"/>
    <w:rsid w:val="000507C0"/>
    <w:pPr>
      <w:tabs>
        <w:tab w:val="right" w:pos="9360"/>
      </w:tabs>
      <w:spacing w:after="0" w:line="200" w:lineRule="exact"/>
    </w:pPr>
    <w:rPr>
      <w:sz w:val="16"/>
    </w:rPr>
  </w:style>
  <w:style w:type="character" w:customStyle="1" w:styleId="DocIDChar">
    <w:name w:val="Doc ID Char"/>
    <w:basedOn w:val="DefaultParagraphFont"/>
    <w:link w:val="DocID"/>
    <w:rsid w:val="000507C0"/>
    <w:rPr>
      <w:rFonts w:ascii="Times New Roman" w:hAnsi="Times New Roman" w:cs="Times New Roman"/>
      <w:sz w:val="16"/>
      <w:szCs w:val="24"/>
    </w:rPr>
  </w:style>
  <w:style w:type="paragraph" w:styleId="ListParagraph">
    <w:name w:val="List Paragraph"/>
    <w:basedOn w:val="Normal"/>
    <w:uiPriority w:val="34"/>
    <w:qFormat/>
    <w:rsid w:val="007169C3"/>
    <w:pPr>
      <w:ind w:left="720"/>
      <w:contextualSpacing/>
    </w:pPr>
  </w:style>
  <w:style w:type="character" w:styleId="CommentReference">
    <w:name w:val="annotation reference"/>
    <w:basedOn w:val="DefaultParagraphFont"/>
    <w:uiPriority w:val="99"/>
    <w:semiHidden/>
    <w:unhideWhenUsed/>
    <w:rsid w:val="008E1B24"/>
    <w:rPr>
      <w:sz w:val="16"/>
      <w:szCs w:val="16"/>
    </w:rPr>
  </w:style>
  <w:style w:type="paragraph" w:styleId="CommentText">
    <w:name w:val="annotation text"/>
    <w:basedOn w:val="Normal"/>
    <w:link w:val="CommentTextChar"/>
    <w:uiPriority w:val="99"/>
    <w:semiHidden/>
    <w:unhideWhenUsed/>
    <w:rsid w:val="008E1B24"/>
    <w:pPr>
      <w:spacing w:line="240" w:lineRule="auto"/>
    </w:pPr>
    <w:rPr>
      <w:sz w:val="20"/>
      <w:szCs w:val="20"/>
    </w:rPr>
  </w:style>
  <w:style w:type="character" w:customStyle="1" w:styleId="CommentTextChar">
    <w:name w:val="Comment Text Char"/>
    <w:basedOn w:val="DefaultParagraphFont"/>
    <w:link w:val="CommentText"/>
    <w:uiPriority w:val="99"/>
    <w:semiHidden/>
    <w:rsid w:val="008E1B24"/>
    <w:rPr>
      <w:sz w:val="20"/>
      <w:szCs w:val="20"/>
    </w:rPr>
  </w:style>
  <w:style w:type="paragraph" w:styleId="CommentSubject">
    <w:name w:val="annotation subject"/>
    <w:basedOn w:val="CommentText"/>
    <w:next w:val="CommentText"/>
    <w:link w:val="CommentSubjectChar"/>
    <w:uiPriority w:val="99"/>
    <w:semiHidden/>
    <w:unhideWhenUsed/>
    <w:rsid w:val="008E1B24"/>
    <w:rPr>
      <w:b/>
      <w:bCs/>
    </w:rPr>
  </w:style>
  <w:style w:type="character" w:customStyle="1" w:styleId="CommentSubjectChar">
    <w:name w:val="Comment Subject Char"/>
    <w:basedOn w:val="CommentTextChar"/>
    <w:link w:val="CommentSubject"/>
    <w:uiPriority w:val="99"/>
    <w:semiHidden/>
    <w:rsid w:val="008E1B24"/>
    <w:rPr>
      <w:b/>
      <w:bCs/>
      <w:sz w:val="20"/>
      <w:szCs w:val="20"/>
    </w:rPr>
  </w:style>
  <w:style w:type="paragraph" w:styleId="Revision">
    <w:name w:val="Revision"/>
    <w:hidden/>
    <w:uiPriority w:val="99"/>
    <w:semiHidden/>
    <w:rsid w:val="009B2DA3"/>
    <w:pPr>
      <w:spacing w:after="0" w:line="240" w:lineRule="auto"/>
    </w:pPr>
  </w:style>
  <w:style w:type="character" w:styleId="Hyperlink">
    <w:name w:val="Hyperlink"/>
    <w:basedOn w:val="DefaultParagraphFont"/>
    <w:uiPriority w:val="99"/>
    <w:unhideWhenUsed/>
    <w:rsid w:val="00541E39"/>
    <w:rPr>
      <w:color w:val="0563C1" w:themeColor="hyperlink"/>
      <w:u w:val="single"/>
    </w:rPr>
  </w:style>
  <w:style w:type="character" w:styleId="UnresolvedMention">
    <w:name w:val="Unresolved Mention"/>
    <w:basedOn w:val="DefaultParagraphFont"/>
    <w:uiPriority w:val="99"/>
    <w:semiHidden/>
    <w:unhideWhenUsed/>
    <w:rsid w:val="00541E39"/>
    <w:rPr>
      <w:color w:val="605E5C"/>
      <w:shd w:val="clear" w:color="auto" w:fill="E1DFDD"/>
    </w:rPr>
  </w:style>
  <w:style w:type="paragraph" w:styleId="FootnoteText">
    <w:name w:val="footnote text"/>
    <w:basedOn w:val="Normal"/>
    <w:link w:val="FootnoteTextChar"/>
    <w:uiPriority w:val="99"/>
    <w:unhideWhenUsed/>
    <w:rsid w:val="00207922"/>
    <w:pPr>
      <w:spacing w:after="0" w:line="240" w:lineRule="auto"/>
    </w:pPr>
    <w:rPr>
      <w:sz w:val="20"/>
      <w:szCs w:val="20"/>
    </w:rPr>
  </w:style>
  <w:style w:type="character" w:customStyle="1" w:styleId="FootnoteTextChar">
    <w:name w:val="Footnote Text Char"/>
    <w:basedOn w:val="DefaultParagraphFont"/>
    <w:link w:val="FootnoteText"/>
    <w:uiPriority w:val="99"/>
    <w:rsid w:val="00207922"/>
    <w:rPr>
      <w:sz w:val="20"/>
      <w:szCs w:val="20"/>
    </w:rPr>
  </w:style>
  <w:style w:type="character" w:styleId="FootnoteReference">
    <w:name w:val="footnote reference"/>
    <w:basedOn w:val="DefaultParagraphFont"/>
    <w:uiPriority w:val="99"/>
    <w:semiHidden/>
    <w:unhideWhenUsed/>
    <w:rsid w:val="00207922"/>
    <w:rPr>
      <w:vertAlign w:val="superscript"/>
    </w:rPr>
  </w:style>
  <w:style w:type="character" w:customStyle="1" w:styleId="Heading1Char">
    <w:name w:val="Heading 1 Char"/>
    <w:basedOn w:val="DefaultParagraphFont"/>
    <w:link w:val="Heading1"/>
    <w:uiPriority w:val="9"/>
    <w:rsid w:val="00135AA6"/>
    <w:rPr>
      <w:rFonts w:ascii="Times" w:eastAsiaTheme="majorEastAsia" w:hAnsi="Times" w:cstheme="majorBidi"/>
      <w:b/>
      <w:color w:val="000000" w:themeColor="text1"/>
      <w:sz w:val="28"/>
      <w:szCs w:val="32"/>
    </w:rPr>
  </w:style>
  <w:style w:type="character" w:styleId="Strong">
    <w:name w:val="Strong"/>
    <w:basedOn w:val="DefaultParagraphFont"/>
    <w:uiPriority w:val="22"/>
    <w:qFormat/>
    <w:rsid w:val="00D00E6A"/>
    <w:rPr>
      <w:rFonts w:ascii="Times" w:hAnsi="Times"/>
      <w:b/>
      <w:bCs/>
      <w:color w:val="000000" w:themeColor="text1"/>
      <w:sz w:val="24"/>
      <w:u w:val="single"/>
    </w:rPr>
  </w:style>
  <w:style w:type="character" w:styleId="Emphasis">
    <w:name w:val="Emphasis"/>
    <w:basedOn w:val="DefaultParagraphFont"/>
    <w:uiPriority w:val="20"/>
    <w:qFormat/>
    <w:rsid w:val="001B519D"/>
    <w:rPr>
      <w:rFonts w:ascii="Times" w:hAnsi="Times"/>
      <w:b/>
      <w:i w:val="0"/>
      <w:iCs/>
      <w:sz w:val="24"/>
    </w:rPr>
  </w:style>
  <w:style w:type="character" w:customStyle="1" w:styleId="Heading2Char">
    <w:name w:val="Heading 2 Char"/>
    <w:basedOn w:val="DefaultParagraphFont"/>
    <w:link w:val="Heading2"/>
    <w:uiPriority w:val="9"/>
    <w:rsid w:val="00135AA6"/>
    <w:rPr>
      <w:rFonts w:ascii="Times New Roman" w:hAnsi="Times New Roman" w:cs="Times New Roman"/>
      <w:b/>
      <w:bCs/>
      <w:sz w:val="24"/>
      <w:szCs w:val="24"/>
    </w:rPr>
  </w:style>
  <w:style w:type="character" w:styleId="FollowedHyperlink">
    <w:name w:val="FollowedHyperlink"/>
    <w:basedOn w:val="DefaultParagraphFont"/>
    <w:uiPriority w:val="99"/>
    <w:semiHidden/>
    <w:unhideWhenUsed/>
    <w:rsid w:val="00135AA6"/>
    <w:rPr>
      <w:color w:val="954F72" w:themeColor="followedHyperlink"/>
      <w:u w:val="single"/>
    </w:rPr>
  </w:style>
  <w:style w:type="character" w:customStyle="1" w:styleId="Heading3Char">
    <w:name w:val="Heading 3 Char"/>
    <w:basedOn w:val="DefaultParagraphFont"/>
    <w:link w:val="Heading3"/>
    <w:uiPriority w:val="9"/>
    <w:rsid w:val="00522463"/>
    <w:rPr>
      <w:rFonts w:ascii="Times New Roman" w:hAnsi="Times New Roman" w:cs="Times New Roman"/>
      <w:b/>
      <w:sz w:val="24"/>
      <w:szCs w:val="24"/>
      <w:u w:val="single"/>
    </w:rPr>
  </w:style>
  <w:style w:type="character" w:customStyle="1" w:styleId="Heading4Char">
    <w:name w:val="Heading 4 Char"/>
    <w:basedOn w:val="DefaultParagraphFont"/>
    <w:link w:val="Heading4"/>
    <w:uiPriority w:val="9"/>
    <w:semiHidden/>
    <w:rsid w:val="0052246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ABAG&#8217;s%20SB%209%20Resources%20page%20(https://abag.ca.gov/our-work/housing/regional-housing-technical-assistance/sb-9-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5459</Words>
  <Characters>29048</Characters>
  <Application>Microsoft Office Word</Application>
  <DocSecurity>0</DocSecurity>
  <Lines>433</Lines>
  <Paragraphs>150</Paragraphs>
  <ScaleCrop>false</ScaleCrop>
  <HeadingPairs>
    <vt:vector size="2" baseType="variant">
      <vt:variant>
        <vt:lpstr>Title</vt:lpstr>
      </vt:variant>
      <vt:variant>
        <vt:i4>1</vt:i4>
      </vt:variant>
    </vt:vector>
  </HeadingPairs>
  <TitlesOfParts>
    <vt:vector size="1" baseType="lpstr">
      <vt:lpstr>New Housing Legislation Summary 2021 </vt:lpstr>
    </vt:vector>
  </TitlesOfParts>
  <Manager/>
  <Company/>
  <LinksUpToDate>false</LinksUpToDate>
  <CharactersWithSpaces>34357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Housing Legislation Summary 2021 </dc:title>
  <dc:subject/>
  <dc:creator>Nazanin Salehi</dc:creator>
  <cp:keywords/>
  <dc:description/>
  <cp:lastModifiedBy>Bowen Close</cp:lastModifiedBy>
  <cp:revision>3</cp:revision>
  <dcterms:created xsi:type="dcterms:W3CDTF">2022-07-14T22:22:00Z</dcterms:created>
  <dcterms:modified xsi:type="dcterms:W3CDTF">2022-07-14T22:33:00Z</dcterms:modified>
  <cp:category/>
</cp:coreProperties>
</file>