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539F4" w14:textId="7CA43571" w:rsidR="00383260" w:rsidRPr="00217B67" w:rsidRDefault="006D0940" w:rsidP="00217B67">
      <w:pPr>
        <w:pStyle w:val="Title"/>
      </w:pPr>
      <w:r w:rsidRPr="00217B67">
        <w:drawing>
          <wp:inline distT="0" distB="0" distL="0" distR="0" wp14:anchorId="53EC1DDE" wp14:editId="04365483">
            <wp:extent cx="7315200" cy="1828800"/>
            <wp:effectExtent l="0" t="0" r="0" b="0"/>
            <wp:docPr id="1" name="Graphic 1" descr="Header with ABAG logo and logo for Technical Assistance for Local Planning: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eader with ABAG logo and logo for Technical Assistance for Local Planning: Housin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315200" cy="1828800"/>
                    </a:xfrm>
                    <a:prstGeom prst="rect">
                      <a:avLst/>
                    </a:prstGeom>
                  </pic:spPr>
                </pic:pic>
              </a:graphicData>
            </a:graphic>
          </wp:inline>
        </w:drawing>
      </w:r>
      <w:r w:rsidR="00383260" w:rsidRPr="00217B67">
        <w:t>SB 9 Key Actions</w:t>
      </w:r>
      <w:r w:rsidR="00A437F5" w:rsidRPr="00217B67">
        <w:t>/</w:t>
      </w:r>
      <w:r w:rsidR="00383260" w:rsidRPr="00217B67">
        <w:t xml:space="preserve">Decisions </w:t>
      </w:r>
      <w:r w:rsidR="00A437F5" w:rsidRPr="00217B67">
        <w:t>Worksheet for Planners</w:t>
      </w:r>
    </w:p>
    <w:p w14:paraId="42A324A4" w14:textId="26E7A807" w:rsidR="00217B67" w:rsidRPr="00217B67" w:rsidRDefault="00217B67" w:rsidP="00217B67">
      <w:pPr>
        <w:pStyle w:val="Subtitle"/>
      </w:pPr>
      <w:r w:rsidRPr="00217B67">
        <w:t>6/14/22</w:t>
      </w:r>
    </w:p>
    <w:p w14:paraId="3029FF77" w14:textId="77777777" w:rsidR="00217B67" w:rsidRDefault="008B2ABB" w:rsidP="00383260">
      <w:pPr>
        <w:tabs>
          <w:tab w:val="num" w:pos="720"/>
        </w:tabs>
        <w:rPr>
          <w:rFonts w:ascii="Calibri" w:hAnsi="Calibri" w:cs="Calibri"/>
          <w:i/>
          <w:iCs/>
          <w:sz w:val="20"/>
          <w:szCs w:val="20"/>
        </w:rPr>
      </w:pPr>
      <w:r w:rsidRPr="00233F85">
        <w:rPr>
          <w:rFonts w:ascii="Calibri" w:hAnsi="Calibri" w:cs="Calibri"/>
          <w:i/>
          <w:iCs/>
          <w:sz w:val="20"/>
          <w:szCs w:val="20"/>
        </w:rPr>
        <w:t>Please note that</w:t>
      </w:r>
      <w:r w:rsidR="00217B67">
        <w:rPr>
          <w:rFonts w:ascii="Calibri" w:hAnsi="Calibri" w:cs="Calibri"/>
          <w:i/>
          <w:iCs/>
          <w:sz w:val="20"/>
          <w:szCs w:val="20"/>
        </w:rPr>
        <w:t>:</w:t>
      </w:r>
    </w:p>
    <w:p w14:paraId="3883ED5B" w14:textId="77777777" w:rsidR="00217B67" w:rsidRDefault="008B2ABB" w:rsidP="00217B67">
      <w:pPr>
        <w:pStyle w:val="ListParagraph"/>
        <w:numPr>
          <w:ilvl w:val="0"/>
          <w:numId w:val="5"/>
        </w:numPr>
        <w:tabs>
          <w:tab w:val="num" w:pos="720"/>
        </w:tabs>
        <w:ind w:left="810"/>
        <w:rPr>
          <w:rFonts w:ascii="Calibri" w:hAnsi="Calibri" w:cs="Calibri"/>
          <w:i/>
          <w:iCs/>
          <w:sz w:val="20"/>
          <w:szCs w:val="20"/>
        </w:rPr>
      </w:pPr>
      <w:r w:rsidRPr="00217B67">
        <w:rPr>
          <w:rFonts w:ascii="Calibri" w:hAnsi="Calibri" w:cs="Calibri"/>
          <w:i/>
          <w:iCs/>
          <w:sz w:val="20"/>
          <w:szCs w:val="20"/>
        </w:rPr>
        <w:t xml:space="preserve">this technical assistance is for informational purposes only and does not constitute legal advice, </w:t>
      </w:r>
    </w:p>
    <w:p w14:paraId="15ECB17C" w14:textId="77777777" w:rsidR="00217B67" w:rsidRDefault="008B2ABB" w:rsidP="00217B67">
      <w:pPr>
        <w:pStyle w:val="ListParagraph"/>
        <w:numPr>
          <w:ilvl w:val="0"/>
          <w:numId w:val="5"/>
        </w:numPr>
        <w:tabs>
          <w:tab w:val="num" w:pos="720"/>
        </w:tabs>
        <w:ind w:left="810"/>
        <w:rPr>
          <w:rFonts w:ascii="Calibri" w:hAnsi="Calibri" w:cs="Calibri"/>
          <w:i/>
          <w:iCs/>
          <w:sz w:val="20"/>
          <w:szCs w:val="20"/>
        </w:rPr>
      </w:pPr>
      <w:r w:rsidRPr="00217B67">
        <w:rPr>
          <w:rFonts w:ascii="Calibri" w:hAnsi="Calibri" w:cs="Calibri"/>
          <w:i/>
          <w:iCs/>
          <w:sz w:val="20"/>
          <w:szCs w:val="20"/>
        </w:rPr>
        <w:t xml:space="preserve">no attorney-client relationship will be created with any local jurisdictions, and </w:t>
      </w:r>
    </w:p>
    <w:p w14:paraId="1868D117" w14:textId="34619EBD" w:rsidR="008B2ABB" w:rsidRPr="00217B67" w:rsidRDefault="008B2ABB" w:rsidP="00217B67">
      <w:pPr>
        <w:pStyle w:val="ListParagraph"/>
        <w:numPr>
          <w:ilvl w:val="0"/>
          <w:numId w:val="5"/>
        </w:numPr>
        <w:tabs>
          <w:tab w:val="num" w:pos="720"/>
        </w:tabs>
        <w:ind w:left="810"/>
        <w:rPr>
          <w:rFonts w:ascii="Calibri" w:hAnsi="Calibri" w:cs="Calibri"/>
          <w:i/>
          <w:iCs/>
          <w:sz w:val="20"/>
          <w:szCs w:val="20"/>
        </w:rPr>
      </w:pPr>
      <w:r w:rsidRPr="00217B67">
        <w:rPr>
          <w:rFonts w:ascii="Calibri" w:hAnsi="Calibri" w:cs="Calibri"/>
          <w:i/>
          <w:iCs/>
          <w:sz w:val="20"/>
          <w:szCs w:val="20"/>
        </w:rPr>
        <w:t>jurisdictions are advised to seek legal counsel for advice on implementing all laws.</w:t>
      </w:r>
    </w:p>
    <w:p w14:paraId="259C8642" w14:textId="416A8314" w:rsidR="00383260" w:rsidRPr="006D0940" w:rsidRDefault="00383260" w:rsidP="00217B67">
      <w:r w:rsidRPr="006D0940">
        <w:t xml:space="preserve">Senate Bill 9 (SB 9) is a new California state Law taking effect January 1, 2022. </w:t>
      </w:r>
      <w:r w:rsidR="0037027D" w:rsidRPr="006D0940">
        <w:t>It</w:t>
      </w:r>
      <w:r w:rsidR="0038354D" w:rsidRPr="006D0940">
        <w:t xml:space="preserve"> is intended to support increasing the supply of starter, modestly priced homes by encouraging building of smaller houses on small lots. SB 9 changes existing density limits in single-family zones, and it</w:t>
      </w:r>
      <w:r w:rsidRPr="006D0940">
        <w:t xml:space="preserve"> waives discretionary review and public hearings for two types of projects:</w:t>
      </w:r>
    </w:p>
    <w:p w14:paraId="00D749A7" w14:textId="77777777" w:rsidR="00383260" w:rsidRPr="00217B67" w:rsidRDefault="00383260" w:rsidP="00217B67">
      <w:pPr>
        <w:pStyle w:val="ListParagraph"/>
        <w:numPr>
          <w:ilvl w:val="0"/>
          <w:numId w:val="7"/>
        </w:numPr>
      </w:pPr>
      <w:r w:rsidRPr="00217B67">
        <w:t>2-unit developments on a parcel in a single-family zone</w:t>
      </w:r>
    </w:p>
    <w:p w14:paraId="3A3F5582" w14:textId="3FB18ABA" w:rsidR="00383260" w:rsidRPr="006D0940" w:rsidRDefault="00383260" w:rsidP="00217B67">
      <w:pPr>
        <w:pStyle w:val="ListParagraph"/>
        <w:numPr>
          <w:ilvl w:val="0"/>
          <w:numId w:val="7"/>
        </w:numPr>
      </w:pPr>
      <w:r w:rsidRPr="00217B67">
        <w:t xml:space="preserve">Subdividing one parcel into two (“urban lot split”) in a single-family zone </w:t>
      </w:r>
    </w:p>
    <w:p w14:paraId="2A6C9748" w14:textId="0740A445" w:rsidR="00383260" w:rsidRPr="006D0940" w:rsidRDefault="00383260" w:rsidP="00217B67">
      <w:r w:rsidRPr="006D0940">
        <w:t xml:space="preserve">In general, this means that most single-family parcels could now hold four units, though </w:t>
      </w:r>
      <w:r w:rsidR="0038354D" w:rsidRPr="006D0940">
        <w:t xml:space="preserve">staff </w:t>
      </w:r>
      <w:r w:rsidRPr="006D0940">
        <w:t>should seek guidance from legal counsel to confirm</w:t>
      </w:r>
      <w:r w:rsidR="001A0B79" w:rsidRPr="006D0940">
        <w:t xml:space="preserve">. </w:t>
      </w:r>
    </w:p>
    <w:p w14:paraId="0421590F" w14:textId="2E33605F" w:rsidR="006D0940" w:rsidRPr="00217B67" w:rsidRDefault="007C31CC" w:rsidP="00217B67">
      <w:r w:rsidRPr="006D0940">
        <w:t xml:space="preserve">SB 9 lays out several requirements for jurisdictions regarding what actions they can take, must </w:t>
      </w:r>
      <w:r w:rsidR="0038354D" w:rsidRPr="006D0940">
        <w:t>take,</w:t>
      </w:r>
      <w:r w:rsidRPr="006D0940">
        <w:t xml:space="preserve"> or may not take, but it also affords local discretion</w:t>
      </w:r>
      <w:r w:rsidR="0043016C" w:rsidRPr="006D0940">
        <w:t xml:space="preserve"> on several points. </w:t>
      </w:r>
    </w:p>
    <w:p w14:paraId="63536C49" w14:textId="4A70BD57" w:rsidR="002D6DAB" w:rsidRPr="00217B67" w:rsidRDefault="00CF6A79" w:rsidP="00217B67">
      <w:pPr>
        <w:pStyle w:val="Heading1"/>
      </w:pPr>
      <w:r w:rsidRPr="00217B67">
        <w:t>SECTION 1 – CONSIDER</w:t>
      </w:r>
      <w:r w:rsidR="00720C2F" w:rsidRPr="00217B67">
        <w:t xml:space="preserve"> MISSING MIDDLE HOUSING</w:t>
      </w:r>
      <w:r w:rsidRPr="00217B67">
        <w:t xml:space="preserve"> </w:t>
      </w:r>
    </w:p>
    <w:p w14:paraId="762E8BEF" w14:textId="155E80E6" w:rsidR="008B2ABB" w:rsidRPr="00217B67" w:rsidRDefault="00720C2F" w:rsidP="00217B67">
      <w:r w:rsidRPr="00217B67">
        <w:t>SB 9 may be an opportunity for</w:t>
      </w:r>
      <w:r w:rsidR="007640FD" w:rsidRPr="00217B67">
        <w:t xml:space="preserve"> jurisdictions </w:t>
      </w:r>
      <w:r w:rsidRPr="00217B67">
        <w:t xml:space="preserve">to provide </w:t>
      </w:r>
      <w:r w:rsidR="007640FD" w:rsidRPr="00217B67">
        <w:t>more “missing middle” housing in their communities</w:t>
      </w:r>
      <w:r w:rsidR="00CC0621" w:rsidRPr="00217B67">
        <w:t xml:space="preserve">. </w:t>
      </w:r>
    </w:p>
    <w:p w14:paraId="226073FE" w14:textId="5984D5C6" w:rsidR="0038354D" w:rsidRPr="00217B67" w:rsidRDefault="007640FD" w:rsidP="00217B67">
      <w:r w:rsidRPr="00217B67">
        <w:t>“Missing middle housing” refers to small-scale multifamily housing that can range from</w:t>
      </w:r>
      <w:r w:rsidR="0038354D" w:rsidRPr="00217B67">
        <w:t xml:space="preserve"> ADUs to</w:t>
      </w:r>
      <w:r w:rsidRPr="00217B67">
        <w:t xml:space="preserve"> duplexes to townhouses to smaller apartment buildings. Missing middle housing has captured the interest of many jurisdictions that seek to increase housing density in </w:t>
      </w:r>
      <w:r w:rsidR="00720C2F" w:rsidRPr="00217B67">
        <w:t xml:space="preserve">existing </w:t>
      </w:r>
      <w:r w:rsidR="00726E33" w:rsidRPr="00217B67">
        <w:t xml:space="preserve">single-family home </w:t>
      </w:r>
      <w:r w:rsidR="00720C2F" w:rsidRPr="00217B67">
        <w:t>neighborhoods</w:t>
      </w:r>
      <w:r w:rsidRPr="00217B67">
        <w:t xml:space="preserve">. </w:t>
      </w:r>
      <w:r w:rsidR="00CC0621" w:rsidRPr="00217B67">
        <w:t xml:space="preserve">Because of </w:t>
      </w:r>
      <w:r w:rsidRPr="00217B67">
        <w:t>zoning changes in the mid-1940s and later</w:t>
      </w:r>
      <w:r w:rsidR="005E050C" w:rsidRPr="00217B67">
        <w:t>,</w:t>
      </w:r>
      <w:r w:rsidRPr="00217B67">
        <w:t xml:space="preserve"> </w:t>
      </w:r>
      <w:r w:rsidR="005E050C" w:rsidRPr="00217B67">
        <w:t xml:space="preserve">new </w:t>
      </w:r>
      <w:r w:rsidRPr="00217B67">
        <w:t xml:space="preserve">duplexes, triplexes and quads </w:t>
      </w:r>
      <w:r w:rsidR="00167C8D" w:rsidRPr="00217B67">
        <w:t xml:space="preserve">generally </w:t>
      </w:r>
      <w:r w:rsidR="00720C2F" w:rsidRPr="00217B67">
        <w:t xml:space="preserve">are not allowed uses </w:t>
      </w:r>
      <w:r w:rsidRPr="00217B67">
        <w:t xml:space="preserve">in </w:t>
      </w:r>
      <w:r w:rsidR="00720C2F" w:rsidRPr="00217B67">
        <w:t xml:space="preserve">single-family home </w:t>
      </w:r>
      <w:r w:rsidRPr="00217B67">
        <w:t xml:space="preserve">residential neighborhoods, </w:t>
      </w:r>
      <w:r w:rsidR="00167C8D" w:rsidRPr="00217B67">
        <w:t xml:space="preserve">although </w:t>
      </w:r>
      <w:r w:rsidRPr="00217B67">
        <w:t xml:space="preserve">many of these house-scaled multifamily buildings exist </w:t>
      </w:r>
      <w:r w:rsidR="00636CE9" w:rsidRPr="00217B67">
        <w:t xml:space="preserve">and are compatible with single family homes </w:t>
      </w:r>
      <w:r w:rsidRPr="00217B67">
        <w:t xml:space="preserve">in many older communities throughout the Bay Area. </w:t>
      </w:r>
      <w:r w:rsidR="0037027D" w:rsidRPr="00217B67">
        <w:t xml:space="preserve">Additionally, missing middle housing tends to be more affordable than single family homes. </w:t>
      </w:r>
      <w:r w:rsidR="003E535F" w:rsidRPr="00217B67">
        <w:t>ABAG</w:t>
      </w:r>
      <w:r w:rsidR="0038354D" w:rsidRPr="00217B67">
        <w:t xml:space="preserve"> has created several resources on missing middle housing and </w:t>
      </w:r>
      <w:r w:rsidR="003E535F" w:rsidRPr="00217B67">
        <w:t xml:space="preserve">is building an inventory of </w:t>
      </w:r>
      <w:r w:rsidR="0038354D" w:rsidRPr="00217B67">
        <w:t>relevant</w:t>
      </w:r>
      <w:r w:rsidR="003E535F" w:rsidRPr="00217B67">
        <w:t xml:space="preserve"> </w:t>
      </w:r>
      <w:r w:rsidR="000908A9" w:rsidRPr="00217B67">
        <w:t>p</w:t>
      </w:r>
      <w:r w:rsidR="003E535F" w:rsidRPr="00217B67">
        <w:t>hotographs</w:t>
      </w:r>
      <w:r w:rsidR="000908A9" w:rsidRPr="00217B67">
        <w:t xml:space="preserve"> and reference images</w:t>
      </w:r>
    </w:p>
    <w:p w14:paraId="3647E787" w14:textId="28B96052" w:rsidR="001A0B79" w:rsidRPr="00217B67" w:rsidRDefault="0043016C" w:rsidP="00217B67">
      <w:r w:rsidRPr="00217B67">
        <w:t>Missing middle housing can assist with fulfilling RHNA requirements and alleviating the region’s housing shortage. SB 9 could be one of many tools that jurisdictions use to support the creation of missing middle housing</w:t>
      </w:r>
      <w:r w:rsidR="0038354D" w:rsidRPr="00217B67">
        <w:t>. Each</w:t>
      </w:r>
      <w:r w:rsidR="00DA200D" w:rsidRPr="00217B67">
        <w:t xml:space="preserve"> jurisdiction's approach to SB 9 implementation will impact the feasibility and practical utility of </w:t>
      </w:r>
      <w:r w:rsidR="000263F5" w:rsidRPr="00217B67">
        <w:t xml:space="preserve">SB 9 </w:t>
      </w:r>
      <w:r w:rsidR="0038354D" w:rsidRPr="00217B67">
        <w:t xml:space="preserve">as a </w:t>
      </w:r>
      <w:r w:rsidR="00DA200D" w:rsidRPr="00217B67">
        <w:t xml:space="preserve">tool. </w:t>
      </w:r>
    </w:p>
    <w:p w14:paraId="6AB0F610" w14:textId="51205FF7" w:rsidR="00FE59FF" w:rsidRPr="00217B67" w:rsidRDefault="00CE069C" w:rsidP="00217B67">
      <w:r w:rsidRPr="00217B67">
        <w:t>A broad-based Missing Middle approach would likely start with a public meeting to study Missing Middle and a well-crafted package of incentives and policy changes to promote this type of development. Jurisdictions may want to hire an urban e</w:t>
      </w:r>
      <w:r w:rsidR="00FE59FF" w:rsidRPr="00217B67">
        <w:t xml:space="preserve">conomist to predict likely uptake. Additionally, they can utilize the resources and interactive feasibility tool developed for ABAG’s Middle Housing Work Group. </w:t>
      </w:r>
    </w:p>
    <w:p w14:paraId="694EC20D" w14:textId="3D4E19C4" w:rsidR="002D6DAB" w:rsidRPr="00217B67" w:rsidRDefault="002D6DAB" w:rsidP="00217B67">
      <w:r w:rsidRPr="00217B67">
        <w:lastRenderedPageBreak/>
        <w:t>Helpful resources:</w:t>
      </w:r>
    </w:p>
    <w:p w14:paraId="3667E34A" w14:textId="3FF7EBB6" w:rsidR="00FE59FF" w:rsidRPr="00217B67" w:rsidRDefault="00000000" w:rsidP="00217B67">
      <w:pPr>
        <w:pStyle w:val="ListParagraph"/>
        <w:numPr>
          <w:ilvl w:val="0"/>
          <w:numId w:val="8"/>
        </w:numPr>
      </w:pPr>
      <w:r w:rsidRPr="00217B67">
        <w:fldChar w:fldCharType="begin"/>
      </w:r>
      <w:r w:rsidRPr="00217B67">
        <w:instrText>HYPERLINK "https://abag.ca.gov/our-work/housing/regional-housing-technical-assistance/peer-cohorts-work-groups"</w:instrText>
      </w:r>
      <w:r w:rsidRPr="00217B67">
        <w:fldChar w:fldCharType="separate"/>
      </w:r>
      <w:r w:rsidR="00FE59FF" w:rsidRPr="00217B67">
        <w:rPr>
          <w:rStyle w:val="Hyperlink"/>
        </w:rPr>
        <w:t>ABAG</w:t>
      </w:r>
      <w:r w:rsidR="00613ADD">
        <w:rPr>
          <w:rStyle w:val="Hyperlink"/>
        </w:rPr>
        <w:t>’</w:t>
      </w:r>
      <w:r w:rsidR="00FE59FF" w:rsidRPr="00217B67">
        <w:rPr>
          <w:rStyle w:val="Hyperlink"/>
        </w:rPr>
        <w:t>s Missing Middle Housing Workgroup resources</w:t>
      </w:r>
      <w:r w:rsidRPr="00217B67">
        <w:fldChar w:fldCharType="end"/>
      </w:r>
    </w:p>
    <w:p w14:paraId="0457C6DD" w14:textId="3A9C240B" w:rsidR="002D6DAB" w:rsidRPr="00217B67" w:rsidRDefault="00000000" w:rsidP="00217B67">
      <w:pPr>
        <w:pStyle w:val="ListParagraph"/>
        <w:numPr>
          <w:ilvl w:val="0"/>
          <w:numId w:val="8"/>
        </w:numPr>
      </w:pPr>
      <w:hyperlink r:id="rId10" w:history="1">
        <w:r w:rsidR="00FE59FF" w:rsidRPr="00217B67">
          <w:rPr>
            <w:rStyle w:val="Hyperlink"/>
          </w:rPr>
          <w:t>Missing Middle Housing resources on ABAG</w:t>
        </w:r>
        <w:r w:rsidR="00613ADD">
          <w:rPr>
            <w:rStyle w:val="Hyperlink"/>
          </w:rPr>
          <w:t>’</w:t>
        </w:r>
        <w:r w:rsidR="00FE59FF" w:rsidRPr="00217B67">
          <w:rPr>
            <w:rStyle w:val="Hyperlink"/>
          </w:rPr>
          <w:t>s Technical Assistance Portal</w:t>
        </w:r>
      </w:hyperlink>
      <w:r w:rsidR="001A0B79" w:rsidRPr="00217B67">
        <w:t xml:space="preserve"> to assist in community engagement and education</w:t>
      </w:r>
    </w:p>
    <w:p w14:paraId="29ACA9B1" w14:textId="269BD443" w:rsidR="001A0B79" w:rsidRDefault="00000000" w:rsidP="00217B67">
      <w:pPr>
        <w:pStyle w:val="ListParagraph"/>
        <w:numPr>
          <w:ilvl w:val="0"/>
          <w:numId w:val="8"/>
        </w:numPr>
      </w:pPr>
      <w:hyperlink r:id="rId11" w:history="1">
        <w:r w:rsidR="001A0B79" w:rsidRPr="00217B67">
          <w:rPr>
            <w:rStyle w:val="Hyperlink"/>
          </w:rPr>
          <w:t>Additional SB 9 technical assistance materials from ABAG</w:t>
        </w:r>
      </w:hyperlink>
    </w:p>
    <w:p w14:paraId="16BA3907" w14:textId="685265D4" w:rsidR="00CF6A79" w:rsidRPr="00A437F5" w:rsidRDefault="00CF6A79" w:rsidP="00217B67">
      <w:pPr>
        <w:pStyle w:val="Heading1"/>
      </w:pPr>
      <w:r w:rsidRPr="00A437F5">
        <w:t xml:space="preserve">SECTION 2 – CONSIDERATIONS WHEN </w:t>
      </w:r>
      <w:r w:rsidR="00CC0621">
        <w:t>DRAFTING</w:t>
      </w:r>
      <w:r w:rsidR="00CC0621" w:rsidRPr="00A437F5">
        <w:t xml:space="preserve"> </w:t>
      </w:r>
      <w:r w:rsidR="008A7707">
        <w:t>AN</w:t>
      </w:r>
      <w:r w:rsidR="008A7707" w:rsidRPr="00A437F5">
        <w:t xml:space="preserve"> </w:t>
      </w:r>
      <w:r w:rsidRPr="00A437F5">
        <w:t>ORDINANCE</w:t>
      </w:r>
    </w:p>
    <w:p w14:paraId="6C477F63" w14:textId="18B2290D" w:rsidR="001A0B79" w:rsidRDefault="002D6DAB" w:rsidP="00CF6A79">
      <w:r w:rsidRPr="00217B67">
        <w:t xml:space="preserve">SB 9 will require </w:t>
      </w:r>
      <w:r w:rsidR="000263F5" w:rsidRPr="00217B67">
        <w:t xml:space="preserve">policymakers </w:t>
      </w:r>
      <w:r w:rsidRPr="00217B67">
        <w:t xml:space="preserve">to make several decisions </w:t>
      </w:r>
      <w:r w:rsidR="001F67F6" w:rsidRPr="00217B67">
        <w:t xml:space="preserve">when </w:t>
      </w:r>
      <w:r w:rsidR="00CC0621" w:rsidRPr="00217B67">
        <w:t>a</w:t>
      </w:r>
      <w:r w:rsidR="001F67F6" w:rsidRPr="00217B67">
        <w:t xml:space="preserve"> jurisdiction adopts an ordinance to implement </w:t>
      </w:r>
      <w:r w:rsidR="00CC0621" w:rsidRPr="00217B67">
        <w:t>this state legislation</w:t>
      </w:r>
      <w:r w:rsidR="008B2ABB" w:rsidRPr="00217B67">
        <w:t xml:space="preserve">. The below worksheet </w:t>
      </w:r>
      <w:r w:rsidR="001F67F6" w:rsidRPr="00217B67">
        <w:t xml:space="preserve">identifies </w:t>
      </w:r>
      <w:r w:rsidR="008B2ABB" w:rsidRPr="00217B67">
        <w:t>some of the more significant decision</w:t>
      </w:r>
      <w:r w:rsidR="001F67F6" w:rsidRPr="00217B67">
        <w:t xml:space="preserve"> point</w:t>
      </w:r>
      <w:r w:rsidR="008B2ABB" w:rsidRPr="00217B67">
        <w:t xml:space="preserve">s required by SB 9. </w:t>
      </w:r>
      <w:r w:rsidR="00DB03A5" w:rsidRPr="00217B67">
        <w:t>ABAG’s model application checklist</w:t>
      </w:r>
      <w:r w:rsidR="00E41A75" w:rsidRPr="00217B67">
        <w:t xml:space="preserve">, which will be located on </w:t>
      </w:r>
      <w:hyperlink r:id="rId12" w:history="1">
        <w:r w:rsidR="00E41A75" w:rsidRPr="00217B67">
          <w:rPr>
            <w:rStyle w:val="Hyperlink"/>
          </w:rPr>
          <w:t>ABAG’s SB 9 resources webpage</w:t>
        </w:r>
      </w:hyperlink>
      <w:r w:rsidR="00E41A75" w:rsidRPr="00217B67">
        <w:t>,</w:t>
      </w:r>
      <w:r w:rsidR="00DB03A5" w:rsidRPr="00217B67">
        <w:t xml:space="preserve"> comprehensively enumerates these detailed aspects of SB 9 implementation. </w:t>
      </w:r>
    </w:p>
    <w:p w14:paraId="21101D15" w14:textId="2DFC8699" w:rsidR="00CF6A79" w:rsidRDefault="00CF6A79" w:rsidP="00217B67">
      <w:pPr>
        <w:pStyle w:val="Heading2"/>
      </w:pPr>
      <w:r w:rsidRPr="00217B67">
        <w:t>Applies to both 2</w:t>
      </w:r>
      <w:r w:rsidR="002D6DAB" w:rsidRPr="00217B67">
        <w:t>-</w:t>
      </w:r>
      <w:r w:rsidRPr="00217B67">
        <w:t>unit development</w:t>
      </w:r>
      <w:r w:rsidR="002D6DAB" w:rsidRPr="00217B67">
        <w:t>s</w:t>
      </w:r>
      <w:r w:rsidRPr="00217B67">
        <w:t xml:space="preserve"> and </w:t>
      </w:r>
      <w:r w:rsidR="002D6DAB" w:rsidRPr="00217B67">
        <w:t xml:space="preserve">urban </w:t>
      </w:r>
      <w:r w:rsidRPr="00217B67">
        <w:t>lot splits</w:t>
      </w:r>
    </w:p>
    <w:p w14:paraId="4BC461F0" w14:textId="22F430C9" w:rsidR="00EE4A2F" w:rsidRDefault="00EE4A2F" w:rsidP="00EE4A2F">
      <w:pPr>
        <w:pStyle w:val="Heading3"/>
      </w:pPr>
      <w:r w:rsidRPr="00EE4A2F">
        <w:t>2-unit developments or urban lot splits</w:t>
      </w:r>
    </w:p>
    <w:tbl>
      <w:tblPr>
        <w:tblStyle w:val="TableGrid"/>
        <w:tblW w:w="5000" w:type="pct"/>
        <w:tblLook w:val="0600" w:firstRow="0" w:lastRow="0" w:firstColumn="0" w:lastColumn="0" w:noHBand="1" w:noVBand="1"/>
      </w:tblPr>
      <w:tblGrid>
        <w:gridCol w:w="6165"/>
        <w:gridCol w:w="5345"/>
      </w:tblGrid>
      <w:tr w:rsidR="00EE4A2F" w:rsidRPr="00A437F5" w14:paraId="3FCC09E1" w14:textId="77777777" w:rsidTr="00EE4A2F">
        <w:trPr>
          <w:cantSplit/>
        </w:trPr>
        <w:tc>
          <w:tcPr>
            <w:tcW w:w="2678" w:type="pct"/>
          </w:tcPr>
          <w:p w14:paraId="0D75F7A3" w14:textId="5AF9F91E" w:rsidR="00EE4A2F" w:rsidRPr="00EE4A2F" w:rsidRDefault="00EE4A2F" w:rsidP="00613ADD">
            <w:pPr>
              <w:pStyle w:val="Heading4"/>
              <w:spacing w:after="160"/>
            </w:pPr>
            <w:r w:rsidRPr="00EE4A2F">
              <w:t>Does the jurisdiction prefer to incentivize owners to choose 2-unit developments on a single lot or urban lot splits? Or is there no preference?</w:t>
            </w:r>
          </w:p>
          <w:p w14:paraId="6CA003FF" w14:textId="2D1F91DD" w:rsidR="00EE4A2F" w:rsidRPr="00EE4A2F" w:rsidRDefault="00EE4A2F" w:rsidP="00613ADD">
            <w:pPr>
              <w:spacing w:after="160" w:line="276" w:lineRule="auto"/>
            </w:pPr>
            <w:r w:rsidRPr="00EE4A2F">
              <w:t xml:space="preserve">Considerations may include aesthetic/design outcomes (attached duplexes vs. separate structures, the higher likelihood of flag lots with urban lot splits), property tax consequences (different market demand, market valuation, rates of turnover) and affordability (different market demand and market valuation). </w:t>
            </w:r>
          </w:p>
          <w:p w14:paraId="3CDF0E43" w14:textId="2F63E85A" w:rsidR="00EE4A2F" w:rsidRPr="00A437F5" w:rsidRDefault="00EE4A2F" w:rsidP="00613ADD">
            <w:pPr>
              <w:spacing w:after="160" w:line="276" w:lineRule="auto"/>
            </w:pPr>
            <w:r>
              <w:t xml:space="preserve">Within the limitations of SB 9, jurisdictions may also choose to allow greater flexibility (larger units, smaller lots, more units) with the SB 9 option they prefer to see built.  </w:t>
            </w:r>
          </w:p>
        </w:tc>
        <w:tc>
          <w:tcPr>
            <w:tcW w:w="2322" w:type="pct"/>
          </w:tcPr>
          <w:p w14:paraId="5432E6C6" w14:textId="77777777" w:rsidR="00EE4A2F" w:rsidRPr="00A437F5" w:rsidRDefault="00EE4A2F" w:rsidP="00EE4A2F">
            <w:pPr>
              <w:pStyle w:val="Heading4"/>
            </w:pPr>
            <w:r>
              <w:t xml:space="preserve">Jurisdiction plans: </w:t>
            </w:r>
          </w:p>
        </w:tc>
      </w:tr>
    </w:tbl>
    <w:p w14:paraId="0D006617" w14:textId="63593660" w:rsidR="00EE4A2F" w:rsidRDefault="00EE4A2F" w:rsidP="00EE4A2F"/>
    <w:p w14:paraId="34A2A9E8" w14:textId="388EEF93" w:rsidR="00EE4A2F" w:rsidRDefault="00EE4A2F" w:rsidP="00EE4A2F">
      <w:pPr>
        <w:pStyle w:val="Heading3"/>
      </w:pPr>
      <w:r>
        <w:t xml:space="preserve">Units Permitted, including </w:t>
      </w:r>
      <w:r w:rsidRPr="008405F3">
        <w:t>ADUs</w:t>
      </w:r>
    </w:p>
    <w:tbl>
      <w:tblPr>
        <w:tblStyle w:val="TableGrid"/>
        <w:tblW w:w="5000" w:type="pct"/>
        <w:tblLook w:val="0600" w:firstRow="0" w:lastRow="0" w:firstColumn="0" w:lastColumn="0" w:noHBand="1" w:noVBand="1"/>
      </w:tblPr>
      <w:tblGrid>
        <w:gridCol w:w="6165"/>
        <w:gridCol w:w="5345"/>
      </w:tblGrid>
      <w:tr w:rsidR="00EE4A2F" w:rsidRPr="00A437F5" w14:paraId="7BF9B9D2" w14:textId="77777777" w:rsidTr="005B4F5B">
        <w:trPr>
          <w:cantSplit/>
        </w:trPr>
        <w:tc>
          <w:tcPr>
            <w:tcW w:w="2678" w:type="pct"/>
          </w:tcPr>
          <w:p w14:paraId="52967A85" w14:textId="1F6939B0" w:rsidR="00EE4A2F" w:rsidRPr="00EE4A2F" w:rsidRDefault="00EE4A2F" w:rsidP="00613ADD">
            <w:pPr>
              <w:pStyle w:val="Heading4"/>
              <w:spacing w:after="160"/>
            </w:pPr>
            <w:r w:rsidRPr="002B2152">
              <w:t xml:space="preserve">To the extent SB 9 permits </w:t>
            </w:r>
            <w:r>
              <w:t>a</w:t>
            </w:r>
            <w:r w:rsidRPr="00A437F5">
              <w:t xml:space="preserve"> jurisdiction</w:t>
            </w:r>
            <w:r w:rsidRPr="002B2152">
              <w:t xml:space="preserve"> to decide, should </w:t>
            </w:r>
            <w:r>
              <w:t>the jurisdiction</w:t>
            </w:r>
            <w:r w:rsidRPr="002B2152">
              <w:t xml:space="preserve"> allow </w:t>
            </w:r>
            <w:r>
              <w:t>Accessory Dwelling Unit</w:t>
            </w:r>
            <w:r w:rsidRPr="002B2152">
              <w:t xml:space="preserve">s </w:t>
            </w:r>
            <w:r>
              <w:t>(ADUs) on properties that have been subject to</w:t>
            </w:r>
            <w:r w:rsidRPr="002B2152">
              <w:t xml:space="preserve"> SB 9 </w:t>
            </w:r>
            <w:r>
              <w:t>divisions</w:t>
            </w:r>
            <w:r w:rsidRPr="002B2152">
              <w:t>?</w:t>
            </w:r>
          </w:p>
          <w:p w14:paraId="61774267" w14:textId="0CDDADDE" w:rsidR="00EE4A2F" w:rsidRPr="00EE4A2F" w:rsidRDefault="00EE4A2F" w:rsidP="00613ADD">
            <w:pPr>
              <w:pStyle w:val="Tabletext"/>
              <w:spacing w:after="160"/>
            </w:pPr>
            <w:r>
              <w:t xml:space="preserve">SB 9 does not require jurisdictions to allow ADUs and JADUs on a site using both the 2-unit development and urban lot split provisions of the law. However, jurisdictions may by ordinance allow more units (ADUs and JADUs) on those parcels if they choose. </w:t>
            </w:r>
          </w:p>
        </w:tc>
        <w:tc>
          <w:tcPr>
            <w:tcW w:w="2322" w:type="pct"/>
          </w:tcPr>
          <w:p w14:paraId="373B60B4" w14:textId="77777777" w:rsidR="00EE4A2F" w:rsidRPr="00A437F5" w:rsidRDefault="00EE4A2F" w:rsidP="005B4F5B">
            <w:pPr>
              <w:pStyle w:val="Heading4"/>
            </w:pPr>
            <w:r>
              <w:t>Jurisdiction plans:</w:t>
            </w:r>
          </w:p>
        </w:tc>
      </w:tr>
      <w:tr w:rsidR="00EE4A2F" w:rsidRPr="00EA71F9" w14:paraId="26E31549" w14:textId="77777777" w:rsidTr="005B4F5B">
        <w:trPr>
          <w:cantSplit/>
        </w:trPr>
        <w:tc>
          <w:tcPr>
            <w:tcW w:w="2678" w:type="pct"/>
          </w:tcPr>
          <w:p w14:paraId="4E6E3BBA" w14:textId="32B7DDAB" w:rsidR="00EE4A2F" w:rsidRPr="00EE4A2F" w:rsidRDefault="00EE4A2F" w:rsidP="00613ADD">
            <w:pPr>
              <w:pStyle w:val="Heading4"/>
              <w:spacing w:after="160"/>
            </w:pPr>
            <w:r w:rsidRPr="00A437F5">
              <w:lastRenderedPageBreak/>
              <w:t xml:space="preserve">SB 9 is not clear on the maximum number of units allowed </w:t>
            </w:r>
            <w:r>
              <w:t xml:space="preserve">on sites that only utilize the </w:t>
            </w:r>
            <w:r w:rsidRPr="00A437F5">
              <w:t>2-unit development</w:t>
            </w:r>
            <w:r>
              <w:t xml:space="preserve"> provisions without an urban lot split</w:t>
            </w:r>
            <w:r w:rsidRPr="00A437F5">
              <w:t xml:space="preserve">. Jurisdictions should clarify their interpretation in their implementing ordinance.  </w:t>
            </w:r>
          </w:p>
          <w:p w14:paraId="75F62556" w14:textId="77777777" w:rsidR="00EE4A2F" w:rsidRDefault="00EE4A2F" w:rsidP="00613ADD">
            <w:pPr>
              <w:pStyle w:val="Tabletext"/>
              <w:spacing w:after="160"/>
            </w:pPr>
            <w:r>
              <w:t>SB 9 also does no</w:t>
            </w:r>
            <w:r w:rsidRPr="003C3175">
              <w:t xml:space="preserve">t indicate how existing nonconforming duplexes or triplexes should be treated. </w:t>
            </w:r>
            <w:r>
              <w:t xml:space="preserve">Can new units be added, expanding an existing nonconforming use? </w:t>
            </w:r>
            <w:r w:rsidRPr="003C3175">
              <w:t xml:space="preserve">Jurisdictions should clarify their interpretation in their implementing ordinance. </w:t>
            </w:r>
          </w:p>
          <w:p w14:paraId="7F033B1D" w14:textId="77777777" w:rsidR="00EE4A2F" w:rsidRPr="002B2152" w:rsidRDefault="00EE4A2F" w:rsidP="005B4F5B">
            <w:pPr>
              <w:rPr>
                <w:b/>
                <w:bCs/>
              </w:rPr>
            </w:pPr>
          </w:p>
        </w:tc>
        <w:tc>
          <w:tcPr>
            <w:tcW w:w="2322" w:type="pct"/>
          </w:tcPr>
          <w:p w14:paraId="39FFD6E0" w14:textId="77777777" w:rsidR="00EE4A2F" w:rsidRPr="00EA71F9" w:rsidRDefault="00EE4A2F" w:rsidP="00EE4A2F">
            <w:pPr>
              <w:pStyle w:val="Heading4"/>
            </w:pPr>
            <w:r>
              <w:t>Jurisdiction Plans:</w:t>
            </w:r>
          </w:p>
        </w:tc>
      </w:tr>
    </w:tbl>
    <w:p w14:paraId="5E899EF6" w14:textId="60A424EC" w:rsidR="00EE4A2F" w:rsidRDefault="00EE4A2F" w:rsidP="00EE4A2F"/>
    <w:p w14:paraId="14295E9C" w14:textId="620D78D9" w:rsidR="00EE4A2F" w:rsidRDefault="00EE4A2F" w:rsidP="00EE4A2F">
      <w:pPr>
        <w:pStyle w:val="Heading3"/>
      </w:pPr>
      <w:r w:rsidRPr="008405F3">
        <w:t>Larger units</w:t>
      </w:r>
    </w:p>
    <w:tbl>
      <w:tblPr>
        <w:tblStyle w:val="TableGrid"/>
        <w:tblW w:w="5000" w:type="pct"/>
        <w:tblLook w:val="0600" w:firstRow="0" w:lastRow="0" w:firstColumn="0" w:lastColumn="0" w:noHBand="1" w:noVBand="1"/>
      </w:tblPr>
      <w:tblGrid>
        <w:gridCol w:w="6165"/>
        <w:gridCol w:w="5345"/>
      </w:tblGrid>
      <w:tr w:rsidR="00EE4A2F" w:rsidRPr="00A437F5" w14:paraId="1F0A894C" w14:textId="77777777" w:rsidTr="005B4F5B">
        <w:trPr>
          <w:cantSplit/>
        </w:trPr>
        <w:tc>
          <w:tcPr>
            <w:tcW w:w="2678" w:type="pct"/>
          </w:tcPr>
          <w:p w14:paraId="775E5009" w14:textId="3EB406E8" w:rsidR="00EE4A2F" w:rsidRDefault="00EE4A2F" w:rsidP="00613ADD">
            <w:pPr>
              <w:pStyle w:val="Heading4"/>
              <w:spacing w:after="160"/>
            </w:pPr>
            <w:r w:rsidRPr="002B2152">
              <w:t xml:space="preserve">Does </w:t>
            </w:r>
            <w:r>
              <w:t xml:space="preserve">the </w:t>
            </w:r>
            <w:r w:rsidRPr="00A437F5">
              <w:t>jurisdiction</w:t>
            </w:r>
            <w:r w:rsidRPr="002B2152">
              <w:t xml:space="preserve"> want to encourage</w:t>
            </w:r>
            <w:r w:rsidRPr="00A437F5">
              <w:t xml:space="preserve"> new</w:t>
            </w:r>
            <w:r w:rsidRPr="002B2152">
              <w:t xml:space="preserve"> units larger than 800 sf?</w:t>
            </w:r>
          </w:p>
          <w:p w14:paraId="78316E1D" w14:textId="77777777" w:rsidR="00EE4A2F" w:rsidRDefault="00EE4A2F" w:rsidP="00613ADD">
            <w:pPr>
              <w:pStyle w:val="Tabletext"/>
              <w:spacing w:after="160"/>
            </w:pPr>
            <w:r>
              <w:t xml:space="preserve">Under SB 9, objective standards for all SB 9 projects may not preclude the construction of two 800-square-foot units. However, if the jurisdiction prefers to encourage new units that are larger than 800 square feet to encourage family-friendly housing, staff may want to look at the jurisdiction’s standards to allow for and facilitate larger units. </w:t>
            </w:r>
          </w:p>
          <w:p w14:paraId="1B5A50B0" w14:textId="77777777" w:rsidR="00EE4A2F" w:rsidRPr="0099416F" w:rsidRDefault="00EE4A2F" w:rsidP="005B4F5B"/>
        </w:tc>
        <w:tc>
          <w:tcPr>
            <w:tcW w:w="2322" w:type="pct"/>
          </w:tcPr>
          <w:p w14:paraId="72D6370B" w14:textId="77777777" w:rsidR="00EE4A2F" w:rsidRPr="00A437F5" w:rsidRDefault="00EE4A2F" w:rsidP="00EE4A2F">
            <w:pPr>
              <w:pStyle w:val="Heading4"/>
            </w:pPr>
            <w:r>
              <w:t>Jurisdiction plans:</w:t>
            </w:r>
          </w:p>
        </w:tc>
      </w:tr>
    </w:tbl>
    <w:p w14:paraId="39E208E1" w14:textId="56507E7B" w:rsidR="00EE4A2F" w:rsidRDefault="00EE4A2F" w:rsidP="00EE4A2F"/>
    <w:p w14:paraId="6911120B" w14:textId="701AFE3A" w:rsidR="00EE4A2F" w:rsidRDefault="00EE4A2F" w:rsidP="00EE4A2F">
      <w:pPr>
        <w:pStyle w:val="Heading3"/>
      </w:pPr>
      <w:r w:rsidRPr="008405F3">
        <w:t>Parking</w:t>
      </w:r>
    </w:p>
    <w:tbl>
      <w:tblPr>
        <w:tblStyle w:val="TableGrid"/>
        <w:tblW w:w="5000" w:type="pct"/>
        <w:tblLook w:val="0600" w:firstRow="0" w:lastRow="0" w:firstColumn="0" w:lastColumn="0" w:noHBand="1" w:noVBand="1"/>
      </w:tblPr>
      <w:tblGrid>
        <w:gridCol w:w="6165"/>
        <w:gridCol w:w="5345"/>
      </w:tblGrid>
      <w:tr w:rsidR="00EE4A2F" w:rsidRPr="00A437F5" w14:paraId="169C54AB" w14:textId="77777777" w:rsidTr="005B4F5B">
        <w:trPr>
          <w:cantSplit/>
        </w:trPr>
        <w:tc>
          <w:tcPr>
            <w:tcW w:w="2678" w:type="pct"/>
          </w:tcPr>
          <w:p w14:paraId="4E8C77D6" w14:textId="77777777" w:rsidR="00EE4A2F" w:rsidRPr="00A437F5" w:rsidRDefault="00EE4A2F" w:rsidP="00613ADD">
            <w:pPr>
              <w:pStyle w:val="Heading4"/>
              <w:spacing w:after="160"/>
            </w:pPr>
            <w:r w:rsidRPr="00A437F5">
              <w:t>Should parking be set to the state limits or lowered?</w:t>
            </w:r>
          </w:p>
          <w:p w14:paraId="51AE2EF1" w14:textId="77777777" w:rsidR="00EE4A2F" w:rsidRPr="00613ADD" w:rsidRDefault="00EE4A2F" w:rsidP="00613ADD">
            <w:pPr>
              <w:pStyle w:val="Tabletext"/>
              <w:spacing w:after="160"/>
            </w:pPr>
            <w:r w:rsidRPr="00613ADD">
              <w:t>SB 9 allows jurisdictions to require up to 1 parking space per unit, except in certain transit-accessible locations where no parking requirements are allowed.</w:t>
            </w:r>
          </w:p>
          <w:p w14:paraId="4E6F8E2B" w14:textId="77777777" w:rsidR="00EE4A2F" w:rsidRPr="00613ADD" w:rsidRDefault="00EE4A2F" w:rsidP="00613ADD">
            <w:pPr>
              <w:pStyle w:val="Tabletext"/>
              <w:spacing w:after="160"/>
            </w:pPr>
            <w:r w:rsidRPr="00613ADD">
              <w:t xml:space="preserve">However, jurisdictions may choose to require less than 1 parking space per unit or eliminate parking requirements if they wish. Reducing parking requirements may make small-scale multifamily more feasible on many parcels. </w:t>
            </w:r>
          </w:p>
          <w:p w14:paraId="4A01A02F" w14:textId="505C15FF" w:rsidR="00EE4A2F" w:rsidRPr="00613ADD" w:rsidRDefault="00EE4A2F" w:rsidP="00613ADD">
            <w:pPr>
              <w:pStyle w:val="Tabletext"/>
              <w:spacing w:after="160"/>
            </w:pPr>
            <w:r w:rsidRPr="00613ADD">
              <w:t>Jurisdictions will want to establish or clarify their parking requirements in these zones.</w:t>
            </w:r>
          </w:p>
        </w:tc>
        <w:tc>
          <w:tcPr>
            <w:tcW w:w="2322" w:type="pct"/>
          </w:tcPr>
          <w:p w14:paraId="3B6B189F" w14:textId="77777777" w:rsidR="00EE4A2F" w:rsidRPr="00A437F5" w:rsidRDefault="00EE4A2F" w:rsidP="00EE4A2F">
            <w:pPr>
              <w:pStyle w:val="Heading4"/>
            </w:pPr>
            <w:r w:rsidRPr="00A437F5">
              <w:t xml:space="preserve">Jurisdiction plans: </w:t>
            </w:r>
          </w:p>
        </w:tc>
      </w:tr>
    </w:tbl>
    <w:p w14:paraId="5697EE5B" w14:textId="3F0F27AB" w:rsidR="00EE4A2F" w:rsidRDefault="00EE4A2F" w:rsidP="00EE4A2F"/>
    <w:p w14:paraId="4371966D" w14:textId="0106713D" w:rsidR="00EE4A2F" w:rsidRDefault="00EE4A2F" w:rsidP="00EE4A2F">
      <w:pPr>
        <w:pStyle w:val="Heading3"/>
      </w:pPr>
      <w:r>
        <w:t>O</w:t>
      </w:r>
      <w:r w:rsidRPr="008405F3">
        <w:t>bjective standards</w:t>
      </w:r>
    </w:p>
    <w:tbl>
      <w:tblPr>
        <w:tblStyle w:val="TableGrid"/>
        <w:tblW w:w="5000" w:type="pct"/>
        <w:tblLook w:val="0600" w:firstRow="0" w:lastRow="0" w:firstColumn="0" w:lastColumn="0" w:noHBand="1" w:noVBand="1"/>
      </w:tblPr>
      <w:tblGrid>
        <w:gridCol w:w="6165"/>
        <w:gridCol w:w="5345"/>
      </w:tblGrid>
      <w:tr w:rsidR="00A437F5" w:rsidRPr="00A437F5" w14:paraId="4A753C79" w14:textId="77777777" w:rsidTr="00EE4A2F">
        <w:trPr>
          <w:cantSplit/>
        </w:trPr>
        <w:tc>
          <w:tcPr>
            <w:tcW w:w="2678" w:type="pct"/>
          </w:tcPr>
          <w:p w14:paraId="7F513E29" w14:textId="6ED28C91" w:rsidR="002B2152" w:rsidRPr="002B2152" w:rsidRDefault="002B2152" w:rsidP="00613ADD">
            <w:pPr>
              <w:pStyle w:val="Heading4"/>
              <w:spacing w:after="160"/>
            </w:pPr>
            <w:r w:rsidRPr="002B2152">
              <w:lastRenderedPageBreak/>
              <w:t xml:space="preserve">Should </w:t>
            </w:r>
            <w:r w:rsidR="00713629">
              <w:t>a</w:t>
            </w:r>
            <w:r w:rsidR="00A437F5">
              <w:t xml:space="preserve"> jurisdiction </w:t>
            </w:r>
            <w:r w:rsidRPr="002B2152">
              <w:t xml:space="preserve">apply </w:t>
            </w:r>
            <w:r w:rsidR="0099416F">
              <w:t>existing</w:t>
            </w:r>
            <w:r w:rsidRPr="002B2152">
              <w:t xml:space="preserve"> </w:t>
            </w:r>
            <w:r w:rsidR="0099416F">
              <w:t xml:space="preserve">objective zoning and design </w:t>
            </w:r>
            <w:r w:rsidRPr="002B2152">
              <w:t xml:space="preserve">standards to the extent they </w:t>
            </w:r>
            <w:r w:rsidR="004F79C8" w:rsidRPr="002B2152">
              <w:t>do</w:t>
            </w:r>
            <w:r w:rsidR="004F79C8">
              <w:t xml:space="preserve"> not </w:t>
            </w:r>
            <w:r w:rsidR="009107FF">
              <w:t xml:space="preserve">conflict with the requirements </w:t>
            </w:r>
            <w:r w:rsidR="004F79C8">
              <w:t xml:space="preserve">of </w:t>
            </w:r>
            <w:r w:rsidR="009107FF">
              <w:t>SB 9</w:t>
            </w:r>
            <w:r w:rsidRPr="002B2152">
              <w:t xml:space="preserve">, or should </w:t>
            </w:r>
            <w:r w:rsidR="00713629">
              <w:t>the jurisdiction</w:t>
            </w:r>
            <w:r w:rsidRPr="002B2152">
              <w:t xml:space="preserve"> adopt a new set of objective standards?</w:t>
            </w:r>
          </w:p>
          <w:p w14:paraId="073FC9F3" w14:textId="14D9698B" w:rsidR="00A437F5" w:rsidRDefault="00A437F5" w:rsidP="00613ADD">
            <w:pPr>
              <w:pStyle w:val="Tabletext"/>
            </w:pPr>
            <w:r w:rsidRPr="008B2ABB">
              <w:t>Considerations may in</w:t>
            </w:r>
            <w:r w:rsidR="0099416F" w:rsidRPr="008B2ABB">
              <w:t>clude</w:t>
            </w:r>
            <w:r w:rsidR="006D5AA0">
              <w:t xml:space="preserve"> speedier adoption </w:t>
            </w:r>
            <w:r w:rsidR="005C0B71">
              <w:t xml:space="preserve">of an SB 9 ordinance </w:t>
            </w:r>
            <w:r w:rsidR="006D5AA0">
              <w:t xml:space="preserve">vs. better tailoring </w:t>
            </w:r>
            <w:r w:rsidR="005C0B71">
              <w:t xml:space="preserve">of the legislation </w:t>
            </w:r>
            <w:r w:rsidR="006D5AA0">
              <w:t xml:space="preserve">to missing middle housing needs. </w:t>
            </w:r>
            <w:r w:rsidR="00DF0CD1">
              <w:t xml:space="preserve">Some jurisdictions are taking an overlay zone approach to expediently meet state requirements without doing a larger overhaul of their zoning code or design standards. </w:t>
            </w:r>
          </w:p>
          <w:p w14:paraId="1B5D0746" w14:textId="6A98E96C" w:rsidR="008B2ABB" w:rsidRPr="00A437F5" w:rsidRDefault="008B2ABB" w:rsidP="00CF6A79"/>
        </w:tc>
        <w:tc>
          <w:tcPr>
            <w:tcW w:w="2322" w:type="pct"/>
          </w:tcPr>
          <w:p w14:paraId="5AECD35B" w14:textId="7A89E90E" w:rsidR="00A437F5" w:rsidRPr="00A437F5" w:rsidRDefault="00A437F5" w:rsidP="00EE4A2F">
            <w:pPr>
              <w:pStyle w:val="Heading4"/>
            </w:pPr>
            <w:r>
              <w:t>Jurisdiction plans:</w:t>
            </w:r>
          </w:p>
        </w:tc>
      </w:tr>
    </w:tbl>
    <w:p w14:paraId="74515D0A" w14:textId="20C98B38" w:rsidR="00CE069C" w:rsidRDefault="00CE069C">
      <w:pPr>
        <w:rPr>
          <w:b/>
          <w:bCs/>
          <w:sz w:val="32"/>
          <w:szCs w:val="32"/>
        </w:rPr>
      </w:pPr>
    </w:p>
    <w:p w14:paraId="0D80A7A7" w14:textId="6EEEA6C7" w:rsidR="002D6DAB" w:rsidRDefault="002D6DAB" w:rsidP="00217B67">
      <w:pPr>
        <w:pStyle w:val="Heading2"/>
      </w:pPr>
      <w:r>
        <w:t>Applies to 2-unit developments only</w:t>
      </w:r>
    </w:p>
    <w:p w14:paraId="54810C6A" w14:textId="41BD1CEF" w:rsidR="00613ADD" w:rsidRPr="00613ADD" w:rsidRDefault="00613ADD" w:rsidP="00613ADD">
      <w:pPr>
        <w:pStyle w:val="Heading3"/>
      </w:pPr>
      <w:r>
        <w:t>Owner Occupancy</w:t>
      </w:r>
    </w:p>
    <w:tbl>
      <w:tblPr>
        <w:tblStyle w:val="TableGrid"/>
        <w:tblW w:w="5000" w:type="pct"/>
        <w:tblLook w:val="0600" w:firstRow="0" w:lastRow="0" w:firstColumn="0" w:lastColumn="0" w:noHBand="1" w:noVBand="1"/>
      </w:tblPr>
      <w:tblGrid>
        <w:gridCol w:w="6165"/>
        <w:gridCol w:w="5345"/>
      </w:tblGrid>
      <w:tr w:rsidR="002D6DAB" w14:paraId="74E822B3" w14:textId="77777777" w:rsidTr="00613ADD">
        <w:tc>
          <w:tcPr>
            <w:tcW w:w="2678" w:type="pct"/>
          </w:tcPr>
          <w:p w14:paraId="50A584EC" w14:textId="5892E64A" w:rsidR="002D6DAB" w:rsidRDefault="002B2152" w:rsidP="00613ADD">
            <w:pPr>
              <w:pStyle w:val="Heading4"/>
            </w:pPr>
            <w:r w:rsidRPr="002D6DAB">
              <w:t>Should there be owner occupancy requirements for 2-unit developments?</w:t>
            </w:r>
          </w:p>
          <w:p w14:paraId="1AABF2CE" w14:textId="16999B0C" w:rsidR="008B2ABB" w:rsidRDefault="00383260" w:rsidP="00613ADD">
            <w:pPr>
              <w:pStyle w:val="Tabletext"/>
              <w:spacing w:after="160"/>
            </w:pPr>
            <w:r w:rsidRPr="00131197">
              <w:t xml:space="preserve">SB 9 </w:t>
            </w:r>
            <w:r>
              <w:t xml:space="preserve">requires an affidavit from </w:t>
            </w:r>
            <w:r w:rsidRPr="008B2ABB">
              <w:t xml:space="preserve">urban lot split applicants </w:t>
            </w:r>
            <w:r>
              <w:t>stating their intention to live on the property for 3 years</w:t>
            </w:r>
            <w:r w:rsidR="008B2ABB">
              <w:t>. It also</w:t>
            </w:r>
            <w:r>
              <w:t xml:space="preserve"> prohibits any additiona</w:t>
            </w:r>
            <w:r w:rsidR="008B2ABB">
              <w:t xml:space="preserve">l </w:t>
            </w:r>
            <w:r>
              <w:t xml:space="preserve">owner occupancy restrictions on urban lot split parcels. </w:t>
            </w:r>
          </w:p>
          <w:p w14:paraId="06C7679D" w14:textId="1DDDDFFF" w:rsidR="00383260" w:rsidRDefault="00383260" w:rsidP="00613ADD">
            <w:pPr>
              <w:pStyle w:val="Tabletext"/>
              <w:spacing w:after="160"/>
            </w:pPr>
            <w:r>
              <w:t xml:space="preserve">However, the law </w:t>
            </w:r>
            <w:r w:rsidRPr="00131197">
              <w:t xml:space="preserve">does not specify an owner occupancy requirement for 2-unit developments, nor does it limit jurisdictions’ ability to set owner occupancy requirements for 2-unit developments. </w:t>
            </w:r>
          </w:p>
          <w:p w14:paraId="78E93383" w14:textId="63E6FBCC" w:rsidR="008B2ABB" w:rsidRPr="00613ADD" w:rsidRDefault="00383260" w:rsidP="00613ADD">
            <w:pPr>
              <w:pStyle w:val="Tabletext"/>
              <w:spacing w:after="160"/>
            </w:pPr>
            <w:r w:rsidRPr="00131197">
              <w:t xml:space="preserve">Jurisdictions </w:t>
            </w:r>
            <w:r>
              <w:t>should</w:t>
            </w:r>
            <w:r w:rsidRPr="00131197">
              <w:t xml:space="preserve"> decide if they want to require applicants to live in one of the units and how to document compliance.</w:t>
            </w:r>
            <w:r>
              <w:t xml:space="preserve"> ABAG’s model affidavit for urban lot splits includes language that could be imported to the 2-unit affidavit. </w:t>
            </w:r>
          </w:p>
        </w:tc>
        <w:tc>
          <w:tcPr>
            <w:tcW w:w="2322" w:type="pct"/>
          </w:tcPr>
          <w:p w14:paraId="256A2A5E" w14:textId="77777777" w:rsidR="002D6DAB" w:rsidRDefault="002D6DAB" w:rsidP="00613ADD">
            <w:pPr>
              <w:pStyle w:val="Heading4"/>
            </w:pPr>
            <w:r>
              <w:t xml:space="preserve">Jurisdiction plans: </w:t>
            </w:r>
          </w:p>
        </w:tc>
      </w:tr>
    </w:tbl>
    <w:p w14:paraId="1D8E3213" w14:textId="77777777" w:rsidR="004974D5" w:rsidRDefault="004974D5" w:rsidP="004974D5"/>
    <w:p w14:paraId="7323C4C3" w14:textId="799DE9CB" w:rsidR="004974D5" w:rsidRPr="00217B67" w:rsidRDefault="004974D5" w:rsidP="00217B67">
      <w:r w:rsidRPr="00217B67">
        <w:t>Published by the</w:t>
      </w:r>
      <w:r w:rsidR="00217B67">
        <w:t xml:space="preserve"> </w:t>
      </w:r>
      <w:r w:rsidRPr="00217B67">
        <w:t>Association of Bay Area Governments: June 2022</w:t>
      </w:r>
    </w:p>
    <w:p w14:paraId="2767CFBD" w14:textId="784BDED2" w:rsidR="00CF6A79" w:rsidRDefault="004974D5">
      <w:r w:rsidRPr="00217B67">
        <w:t xml:space="preserve">Association of Bay Area Governments </w:t>
      </w:r>
      <w:r w:rsidR="00613ADD">
        <w:t>(ABAG)</w:t>
      </w:r>
      <w:r w:rsidRPr="00217B67">
        <w:br/>
        <w:t>Bay Area Metro Center</w:t>
      </w:r>
      <w:r w:rsidRPr="00217B67">
        <w:br/>
        <w:t>375 Beale Street, Suite 700</w:t>
      </w:r>
      <w:r w:rsidRPr="00217B67">
        <w:br/>
        <w:t>San Francisco, CA 94105</w:t>
      </w:r>
      <w:r w:rsidRPr="00217B67">
        <w:br/>
      </w:r>
      <w:hyperlink r:id="rId13" w:history="1">
        <w:r w:rsidR="00613ADD">
          <w:rPr>
            <w:rStyle w:val="Hyperlink"/>
          </w:rPr>
          <w:t>ABAG website (a</w:t>
        </w:r>
        <w:r w:rsidRPr="00217B67">
          <w:rPr>
            <w:rStyle w:val="Hyperlink"/>
          </w:rPr>
          <w:t>bag.ca.go</w:t>
        </w:r>
        <w:r w:rsidR="00613ADD">
          <w:rPr>
            <w:rStyle w:val="Hyperlink"/>
          </w:rPr>
          <w:t>v)</w:t>
        </w:r>
      </w:hyperlink>
      <w:r w:rsidR="00613ADD">
        <w:t xml:space="preserve"> </w:t>
      </w:r>
    </w:p>
    <w:sectPr w:rsidR="00CF6A79" w:rsidSect="00CE069C">
      <w:footerReference w:type="even" r:id="rId14"/>
      <w:footerReference w:type="default" r:id="rId15"/>
      <w:pgSz w:w="12240" w:h="15840"/>
      <w:pgMar w:top="360" w:right="360" w:bottom="806" w:left="3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9189E" w14:textId="77777777" w:rsidR="0001775E" w:rsidRDefault="0001775E" w:rsidP="007640FD">
      <w:pPr>
        <w:spacing w:after="0" w:line="240" w:lineRule="auto"/>
      </w:pPr>
      <w:r>
        <w:separator/>
      </w:r>
    </w:p>
  </w:endnote>
  <w:endnote w:type="continuationSeparator" w:id="0">
    <w:p w14:paraId="2741D197" w14:textId="77777777" w:rsidR="0001775E" w:rsidRDefault="0001775E" w:rsidP="0076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3411873"/>
      <w:docPartObj>
        <w:docPartGallery w:val="Page Numbers (Bottom of Page)"/>
        <w:docPartUnique/>
      </w:docPartObj>
    </w:sdtPr>
    <w:sdtContent>
      <w:p w14:paraId="3F5B3452" w14:textId="3BB3D047" w:rsidR="001A0B79" w:rsidRDefault="001A0B79" w:rsidP="00A95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516">
          <w:rPr>
            <w:rStyle w:val="PageNumber"/>
            <w:noProof/>
          </w:rPr>
          <w:t>1</w:t>
        </w:r>
        <w:r>
          <w:rPr>
            <w:rStyle w:val="PageNumber"/>
          </w:rPr>
          <w:fldChar w:fldCharType="end"/>
        </w:r>
      </w:p>
    </w:sdtContent>
  </w:sdt>
  <w:p w14:paraId="599189AA" w14:textId="77777777" w:rsidR="001A0B79" w:rsidRDefault="001A0B79" w:rsidP="001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038631"/>
      <w:docPartObj>
        <w:docPartGallery w:val="Page Numbers (Bottom of Page)"/>
        <w:docPartUnique/>
      </w:docPartObj>
    </w:sdtPr>
    <w:sdtContent>
      <w:p w14:paraId="616EC065" w14:textId="29B3736B" w:rsidR="001A0B79" w:rsidRDefault="001A0B79" w:rsidP="00A95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325834" w14:textId="02A12F67" w:rsidR="001A0B79" w:rsidRPr="006D0940" w:rsidRDefault="001A0B79" w:rsidP="006D0940">
    <w:pPr>
      <w:tabs>
        <w:tab w:val="num" w:pos="720"/>
      </w:tabs>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10B3" w14:textId="77777777" w:rsidR="0001775E" w:rsidRDefault="0001775E" w:rsidP="007640FD">
      <w:pPr>
        <w:spacing w:after="0" w:line="240" w:lineRule="auto"/>
      </w:pPr>
      <w:r>
        <w:separator/>
      </w:r>
    </w:p>
  </w:footnote>
  <w:footnote w:type="continuationSeparator" w:id="0">
    <w:p w14:paraId="6062CD41" w14:textId="77777777" w:rsidR="0001775E" w:rsidRDefault="0001775E" w:rsidP="00764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E689D"/>
    <w:multiLevelType w:val="hybridMultilevel"/>
    <w:tmpl w:val="1AE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8814CC"/>
    <w:multiLevelType w:val="hybridMultilevel"/>
    <w:tmpl w:val="20A81F7A"/>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 w15:restartNumberingAfterBreak="0">
    <w:nsid w:val="4C5761DB"/>
    <w:multiLevelType w:val="hybridMultilevel"/>
    <w:tmpl w:val="EF088F10"/>
    <w:lvl w:ilvl="0" w:tplc="46E094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4B5463"/>
    <w:multiLevelType w:val="hybridMultilevel"/>
    <w:tmpl w:val="4CDAB22C"/>
    <w:lvl w:ilvl="0" w:tplc="3C7009B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4" w15:restartNumberingAfterBreak="0">
    <w:nsid w:val="5E942008"/>
    <w:multiLevelType w:val="hybridMultilevel"/>
    <w:tmpl w:val="2A14B3EE"/>
    <w:lvl w:ilvl="0" w:tplc="37866458">
      <w:start w:val="1"/>
      <w:numFmt w:val="bullet"/>
      <w:lvlText w:val="•"/>
      <w:lvlJc w:val="left"/>
      <w:pPr>
        <w:tabs>
          <w:tab w:val="num" w:pos="720"/>
        </w:tabs>
        <w:ind w:left="720" w:hanging="360"/>
      </w:pPr>
      <w:rPr>
        <w:rFonts w:ascii="Arial" w:hAnsi="Arial" w:hint="default"/>
      </w:rPr>
    </w:lvl>
    <w:lvl w:ilvl="1" w:tplc="DF8694DC" w:tentative="1">
      <w:start w:val="1"/>
      <w:numFmt w:val="bullet"/>
      <w:lvlText w:val="•"/>
      <w:lvlJc w:val="left"/>
      <w:pPr>
        <w:tabs>
          <w:tab w:val="num" w:pos="1440"/>
        </w:tabs>
        <w:ind w:left="1440" w:hanging="360"/>
      </w:pPr>
      <w:rPr>
        <w:rFonts w:ascii="Arial" w:hAnsi="Arial" w:hint="default"/>
      </w:rPr>
    </w:lvl>
    <w:lvl w:ilvl="2" w:tplc="6296956E" w:tentative="1">
      <w:start w:val="1"/>
      <w:numFmt w:val="bullet"/>
      <w:lvlText w:val="•"/>
      <w:lvlJc w:val="left"/>
      <w:pPr>
        <w:tabs>
          <w:tab w:val="num" w:pos="2160"/>
        </w:tabs>
        <w:ind w:left="2160" w:hanging="360"/>
      </w:pPr>
      <w:rPr>
        <w:rFonts w:ascii="Arial" w:hAnsi="Arial" w:hint="default"/>
      </w:rPr>
    </w:lvl>
    <w:lvl w:ilvl="3" w:tplc="35EE7DF8" w:tentative="1">
      <w:start w:val="1"/>
      <w:numFmt w:val="bullet"/>
      <w:lvlText w:val="•"/>
      <w:lvlJc w:val="left"/>
      <w:pPr>
        <w:tabs>
          <w:tab w:val="num" w:pos="2880"/>
        </w:tabs>
        <w:ind w:left="2880" w:hanging="360"/>
      </w:pPr>
      <w:rPr>
        <w:rFonts w:ascii="Arial" w:hAnsi="Arial" w:hint="default"/>
      </w:rPr>
    </w:lvl>
    <w:lvl w:ilvl="4" w:tplc="2DF22B26" w:tentative="1">
      <w:start w:val="1"/>
      <w:numFmt w:val="bullet"/>
      <w:lvlText w:val="•"/>
      <w:lvlJc w:val="left"/>
      <w:pPr>
        <w:tabs>
          <w:tab w:val="num" w:pos="3600"/>
        </w:tabs>
        <w:ind w:left="3600" w:hanging="360"/>
      </w:pPr>
      <w:rPr>
        <w:rFonts w:ascii="Arial" w:hAnsi="Arial" w:hint="default"/>
      </w:rPr>
    </w:lvl>
    <w:lvl w:ilvl="5" w:tplc="95D6B1A0" w:tentative="1">
      <w:start w:val="1"/>
      <w:numFmt w:val="bullet"/>
      <w:lvlText w:val="•"/>
      <w:lvlJc w:val="left"/>
      <w:pPr>
        <w:tabs>
          <w:tab w:val="num" w:pos="4320"/>
        </w:tabs>
        <w:ind w:left="4320" w:hanging="360"/>
      </w:pPr>
      <w:rPr>
        <w:rFonts w:ascii="Arial" w:hAnsi="Arial" w:hint="default"/>
      </w:rPr>
    </w:lvl>
    <w:lvl w:ilvl="6" w:tplc="E4AC336C" w:tentative="1">
      <w:start w:val="1"/>
      <w:numFmt w:val="bullet"/>
      <w:lvlText w:val="•"/>
      <w:lvlJc w:val="left"/>
      <w:pPr>
        <w:tabs>
          <w:tab w:val="num" w:pos="5040"/>
        </w:tabs>
        <w:ind w:left="5040" w:hanging="360"/>
      </w:pPr>
      <w:rPr>
        <w:rFonts w:ascii="Arial" w:hAnsi="Arial" w:hint="default"/>
      </w:rPr>
    </w:lvl>
    <w:lvl w:ilvl="7" w:tplc="37F04C6C" w:tentative="1">
      <w:start w:val="1"/>
      <w:numFmt w:val="bullet"/>
      <w:lvlText w:val="•"/>
      <w:lvlJc w:val="left"/>
      <w:pPr>
        <w:tabs>
          <w:tab w:val="num" w:pos="5760"/>
        </w:tabs>
        <w:ind w:left="5760" w:hanging="360"/>
      </w:pPr>
      <w:rPr>
        <w:rFonts w:ascii="Arial" w:hAnsi="Arial" w:hint="default"/>
      </w:rPr>
    </w:lvl>
    <w:lvl w:ilvl="8" w:tplc="1BAC11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07830D0"/>
    <w:multiLevelType w:val="hybridMultilevel"/>
    <w:tmpl w:val="C29E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3E2E6A"/>
    <w:multiLevelType w:val="hybridMultilevel"/>
    <w:tmpl w:val="CF4C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DA2754"/>
    <w:multiLevelType w:val="hybridMultilevel"/>
    <w:tmpl w:val="DFC4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604365">
    <w:abstractNumId w:val="4"/>
  </w:num>
  <w:num w:numId="2" w16cid:durableId="1965455004">
    <w:abstractNumId w:val="6"/>
  </w:num>
  <w:num w:numId="3" w16cid:durableId="276646708">
    <w:abstractNumId w:val="2"/>
  </w:num>
  <w:num w:numId="4" w16cid:durableId="1520847978">
    <w:abstractNumId w:val="1"/>
  </w:num>
  <w:num w:numId="5" w16cid:durableId="2067486833">
    <w:abstractNumId w:val="3"/>
  </w:num>
  <w:num w:numId="6" w16cid:durableId="1750806786">
    <w:abstractNumId w:val="5"/>
  </w:num>
  <w:num w:numId="7" w16cid:durableId="112478222">
    <w:abstractNumId w:val="7"/>
  </w:num>
  <w:num w:numId="8" w16cid:durableId="1672444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79"/>
    <w:rsid w:val="0001775E"/>
    <w:rsid w:val="000263F5"/>
    <w:rsid w:val="00087906"/>
    <w:rsid w:val="000908A9"/>
    <w:rsid w:val="000A38EB"/>
    <w:rsid w:val="0011503F"/>
    <w:rsid w:val="00147341"/>
    <w:rsid w:val="00167C8D"/>
    <w:rsid w:val="001A0B79"/>
    <w:rsid w:val="001C6669"/>
    <w:rsid w:val="001D3290"/>
    <w:rsid w:val="001F67F6"/>
    <w:rsid w:val="00217B67"/>
    <w:rsid w:val="002515FA"/>
    <w:rsid w:val="002B2152"/>
    <w:rsid w:val="002D6DAB"/>
    <w:rsid w:val="002D7CE4"/>
    <w:rsid w:val="003558A5"/>
    <w:rsid w:val="0037027D"/>
    <w:rsid w:val="00383260"/>
    <w:rsid w:val="0038354D"/>
    <w:rsid w:val="003A4D43"/>
    <w:rsid w:val="003E535F"/>
    <w:rsid w:val="00405B64"/>
    <w:rsid w:val="00410D06"/>
    <w:rsid w:val="0043016C"/>
    <w:rsid w:val="00444516"/>
    <w:rsid w:val="00483331"/>
    <w:rsid w:val="004974D5"/>
    <w:rsid w:val="004A0BC1"/>
    <w:rsid w:val="004E5CF9"/>
    <w:rsid w:val="004F281E"/>
    <w:rsid w:val="004F5983"/>
    <w:rsid w:val="004F79C8"/>
    <w:rsid w:val="00541BC5"/>
    <w:rsid w:val="00552E76"/>
    <w:rsid w:val="005C0B71"/>
    <w:rsid w:val="005D3F08"/>
    <w:rsid w:val="005E050C"/>
    <w:rsid w:val="00613ADD"/>
    <w:rsid w:val="00636CE9"/>
    <w:rsid w:val="006415D4"/>
    <w:rsid w:val="00647D10"/>
    <w:rsid w:val="00681AF0"/>
    <w:rsid w:val="006A2094"/>
    <w:rsid w:val="006D0940"/>
    <w:rsid w:val="006D5AA0"/>
    <w:rsid w:val="00703E22"/>
    <w:rsid w:val="00713629"/>
    <w:rsid w:val="00720C2F"/>
    <w:rsid w:val="00726E33"/>
    <w:rsid w:val="0072765B"/>
    <w:rsid w:val="007640FD"/>
    <w:rsid w:val="0076457B"/>
    <w:rsid w:val="007B0121"/>
    <w:rsid w:val="007C31CC"/>
    <w:rsid w:val="00804669"/>
    <w:rsid w:val="00807D4D"/>
    <w:rsid w:val="00830E41"/>
    <w:rsid w:val="008405F3"/>
    <w:rsid w:val="00855731"/>
    <w:rsid w:val="008A7707"/>
    <w:rsid w:val="008B2ABB"/>
    <w:rsid w:val="008C5D8C"/>
    <w:rsid w:val="009107FF"/>
    <w:rsid w:val="0099416F"/>
    <w:rsid w:val="009F0A93"/>
    <w:rsid w:val="00A437F5"/>
    <w:rsid w:val="00AA3060"/>
    <w:rsid w:val="00B02663"/>
    <w:rsid w:val="00B17E44"/>
    <w:rsid w:val="00BC2C93"/>
    <w:rsid w:val="00BD7901"/>
    <w:rsid w:val="00C57B64"/>
    <w:rsid w:val="00C71EE8"/>
    <w:rsid w:val="00CB65EB"/>
    <w:rsid w:val="00CC0621"/>
    <w:rsid w:val="00CE069C"/>
    <w:rsid w:val="00CF6A79"/>
    <w:rsid w:val="00D650DD"/>
    <w:rsid w:val="00DA200D"/>
    <w:rsid w:val="00DB03A5"/>
    <w:rsid w:val="00DB7B1F"/>
    <w:rsid w:val="00DD0E08"/>
    <w:rsid w:val="00DF0CD1"/>
    <w:rsid w:val="00DF4E96"/>
    <w:rsid w:val="00E41A75"/>
    <w:rsid w:val="00EA71F9"/>
    <w:rsid w:val="00EB10DA"/>
    <w:rsid w:val="00EE4A2F"/>
    <w:rsid w:val="00F2706C"/>
    <w:rsid w:val="00F33CA9"/>
    <w:rsid w:val="00F37084"/>
    <w:rsid w:val="00F5784A"/>
    <w:rsid w:val="00F66753"/>
    <w:rsid w:val="00FA25BB"/>
    <w:rsid w:val="00FC40F5"/>
    <w:rsid w:val="00FE59FF"/>
    <w:rsid w:val="00FF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05B4"/>
  <w15:chartTrackingRefBased/>
  <w15:docId w15:val="{25CD5B57-48C9-43F6-B33F-09DB5F5B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B67"/>
    <w:pPr>
      <w:outlineLvl w:val="0"/>
    </w:pPr>
    <w:rPr>
      <w:b/>
      <w:bCs/>
      <w:sz w:val="36"/>
      <w:szCs w:val="36"/>
    </w:rPr>
  </w:style>
  <w:style w:type="paragraph" w:styleId="Heading2">
    <w:name w:val="heading 2"/>
    <w:basedOn w:val="Normal"/>
    <w:next w:val="Normal"/>
    <w:link w:val="Heading2Char"/>
    <w:uiPriority w:val="9"/>
    <w:unhideWhenUsed/>
    <w:qFormat/>
    <w:rsid w:val="00217B67"/>
    <w:pPr>
      <w:outlineLvl w:val="1"/>
    </w:pPr>
    <w:rPr>
      <w:b/>
      <w:bCs/>
      <w:sz w:val="32"/>
      <w:szCs w:val="32"/>
    </w:rPr>
  </w:style>
  <w:style w:type="paragraph" w:styleId="Heading3">
    <w:name w:val="heading 3"/>
    <w:basedOn w:val="Normal"/>
    <w:next w:val="Normal"/>
    <w:link w:val="Heading3Char"/>
    <w:uiPriority w:val="9"/>
    <w:unhideWhenUsed/>
    <w:qFormat/>
    <w:rsid w:val="00EE4A2F"/>
    <w:pPr>
      <w:outlineLvl w:val="2"/>
    </w:pPr>
    <w:rPr>
      <w:rFonts w:ascii="Calibri" w:eastAsia="Times New Roman" w:hAnsi="Calibri" w:cs="Calibri"/>
      <w:b/>
      <w:bCs/>
      <w:sz w:val="28"/>
      <w:szCs w:val="28"/>
    </w:rPr>
  </w:style>
  <w:style w:type="paragraph" w:styleId="Heading4">
    <w:name w:val="heading 4"/>
    <w:basedOn w:val="Normal"/>
    <w:next w:val="Normal"/>
    <w:link w:val="Heading4Char"/>
    <w:uiPriority w:val="9"/>
    <w:unhideWhenUsed/>
    <w:qFormat/>
    <w:rsid w:val="00EE4A2F"/>
    <w:pPr>
      <w:spacing w:line="276" w:lineRule="auto"/>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6DAB"/>
    <w:rPr>
      <w:color w:val="0563C1" w:themeColor="hyperlink"/>
      <w:u w:val="single"/>
    </w:rPr>
  </w:style>
  <w:style w:type="character" w:styleId="UnresolvedMention">
    <w:name w:val="Unresolved Mention"/>
    <w:basedOn w:val="DefaultParagraphFont"/>
    <w:uiPriority w:val="99"/>
    <w:semiHidden/>
    <w:unhideWhenUsed/>
    <w:rsid w:val="002D6DAB"/>
    <w:rPr>
      <w:color w:val="605E5C"/>
      <w:shd w:val="clear" w:color="auto" w:fill="E1DFDD"/>
    </w:rPr>
  </w:style>
  <w:style w:type="paragraph" w:styleId="ListParagraph">
    <w:name w:val="List Paragraph"/>
    <w:basedOn w:val="Normal"/>
    <w:uiPriority w:val="34"/>
    <w:qFormat/>
    <w:rsid w:val="002D6DAB"/>
    <w:pPr>
      <w:ind w:left="720"/>
      <w:contextualSpacing/>
    </w:pPr>
  </w:style>
  <w:style w:type="character" w:styleId="CommentReference">
    <w:name w:val="annotation reference"/>
    <w:basedOn w:val="DefaultParagraphFont"/>
    <w:uiPriority w:val="99"/>
    <w:semiHidden/>
    <w:unhideWhenUsed/>
    <w:rsid w:val="00383260"/>
    <w:rPr>
      <w:sz w:val="16"/>
      <w:szCs w:val="16"/>
    </w:rPr>
  </w:style>
  <w:style w:type="paragraph" w:styleId="CommentText">
    <w:name w:val="annotation text"/>
    <w:basedOn w:val="Normal"/>
    <w:link w:val="CommentTextChar"/>
    <w:uiPriority w:val="99"/>
    <w:semiHidden/>
    <w:unhideWhenUsed/>
    <w:rsid w:val="0038326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83260"/>
    <w:rPr>
      <w:sz w:val="20"/>
      <w:szCs w:val="20"/>
    </w:rPr>
  </w:style>
  <w:style w:type="table" w:customStyle="1" w:styleId="TableGrid1">
    <w:name w:val="Table Grid1"/>
    <w:basedOn w:val="TableNormal"/>
    <w:next w:val="TableGrid"/>
    <w:uiPriority w:val="39"/>
    <w:rsid w:val="00A437F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437F5"/>
    <w:pPr>
      <w:spacing w:after="160"/>
    </w:pPr>
    <w:rPr>
      <w:b/>
      <w:bCs/>
    </w:rPr>
  </w:style>
  <w:style w:type="character" w:customStyle="1" w:styleId="CommentSubjectChar">
    <w:name w:val="Comment Subject Char"/>
    <w:basedOn w:val="CommentTextChar"/>
    <w:link w:val="CommentSubject"/>
    <w:uiPriority w:val="99"/>
    <w:semiHidden/>
    <w:rsid w:val="00A437F5"/>
    <w:rPr>
      <w:b/>
      <w:bCs/>
      <w:sz w:val="20"/>
      <w:szCs w:val="20"/>
    </w:rPr>
  </w:style>
  <w:style w:type="paragraph" w:styleId="FootnoteText">
    <w:name w:val="footnote text"/>
    <w:basedOn w:val="Normal"/>
    <w:link w:val="FootnoteTextChar"/>
    <w:uiPriority w:val="99"/>
    <w:semiHidden/>
    <w:unhideWhenUsed/>
    <w:rsid w:val="007640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40FD"/>
    <w:rPr>
      <w:sz w:val="20"/>
      <w:szCs w:val="20"/>
    </w:rPr>
  </w:style>
  <w:style w:type="character" w:styleId="FootnoteReference">
    <w:name w:val="footnote reference"/>
    <w:basedOn w:val="DefaultParagraphFont"/>
    <w:uiPriority w:val="99"/>
    <w:semiHidden/>
    <w:unhideWhenUsed/>
    <w:rsid w:val="007640FD"/>
    <w:rPr>
      <w:vertAlign w:val="superscript"/>
    </w:rPr>
  </w:style>
  <w:style w:type="character" w:styleId="FollowedHyperlink">
    <w:name w:val="FollowedHyperlink"/>
    <w:basedOn w:val="DefaultParagraphFont"/>
    <w:uiPriority w:val="99"/>
    <w:semiHidden/>
    <w:unhideWhenUsed/>
    <w:rsid w:val="001A0B79"/>
    <w:rPr>
      <w:color w:val="954F72" w:themeColor="followedHyperlink"/>
      <w:u w:val="single"/>
    </w:rPr>
  </w:style>
  <w:style w:type="paragraph" w:styleId="Footer">
    <w:name w:val="footer"/>
    <w:basedOn w:val="Normal"/>
    <w:link w:val="FooterChar"/>
    <w:uiPriority w:val="99"/>
    <w:unhideWhenUsed/>
    <w:rsid w:val="001A0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79"/>
  </w:style>
  <w:style w:type="character" w:styleId="PageNumber">
    <w:name w:val="page number"/>
    <w:basedOn w:val="DefaultParagraphFont"/>
    <w:uiPriority w:val="99"/>
    <w:semiHidden/>
    <w:unhideWhenUsed/>
    <w:rsid w:val="001A0B79"/>
  </w:style>
  <w:style w:type="paragraph" w:styleId="Revision">
    <w:name w:val="Revision"/>
    <w:hidden/>
    <w:uiPriority w:val="99"/>
    <w:semiHidden/>
    <w:rsid w:val="003E535F"/>
    <w:pPr>
      <w:spacing w:after="0" w:line="240" w:lineRule="auto"/>
    </w:pPr>
  </w:style>
  <w:style w:type="paragraph" w:styleId="Header">
    <w:name w:val="header"/>
    <w:basedOn w:val="Normal"/>
    <w:link w:val="HeaderChar"/>
    <w:uiPriority w:val="99"/>
    <w:unhideWhenUsed/>
    <w:rsid w:val="00444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16"/>
  </w:style>
  <w:style w:type="paragraph" w:styleId="Title">
    <w:name w:val="Title"/>
    <w:basedOn w:val="Normal"/>
    <w:next w:val="Normal"/>
    <w:link w:val="TitleChar"/>
    <w:uiPriority w:val="10"/>
    <w:qFormat/>
    <w:rsid w:val="00217B67"/>
    <w:rPr>
      <w:b/>
      <w:noProof/>
      <w:color w:val="000000" w:themeColor="text1"/>
      <w:sz w:val="48"/>
      <w:szCs w:val="48"/>
    </w:rPr>
  </w:style>
  <w:style w:type="character" w:customStyle="1" w:styleId="TitleChar">
    <w:name w:val="Title Char"/>
    <w:basedOn w:val="DefaultParagraphFont"/>
    <w:link w:val="Title"/>
    <w:uiPriority w:val="10"/>
    <w:rsid w:val="00217B67"/>
    <w:rPr>
      <w:b/>
      <w:noProof/>
      <w:color w:val="000000" w:themeColor="text1"/>
      <w:sz w:val="48"/>
      <w:szCs w:val="48"/>
    </w:rPr>
  </w:style>
  <w:style w:type="paragraph" w:styleId="Subtitle">
    <w:name w:val="Subtitle"/>
    <w:basedOn w:val="Normal"/>
    <w:next w:val="Normal"/>
    <w:link w:val="SubtitleChar"/>
    <w:uiPriority w:val="11"/>
    <w:qFormat/>
    <w:rsid w:val="00217B67"/>
    <w:pPr>
      <w:tabs>
        <w:tab w:val="num" w:pos="720"/>
      </w:tabs>
    </w:pPr>
    <w:rPr>
      <w:rFonts w:ascii="Calibri" w:hAnsi="Calibri" w:cs="Calibri"/>
    </w:rPr>
  </w:style>
  <w:style w:type="character" w:customStyle="1" w:styleId="SubtitleChar">
    <w:name w:val="Subtitle Char"/>
    <w:basedOn w:val="DefaultParagraphFont"/>
    <w:link w:val="Subtitle"/>
    <w:uiPriority w:val="11"/>
    <w:rsid w:val="00217B67"/>
    <w:rPr>
      <w:rFonts w:ascii="Calibri" w:hAnsi="Calibri" w:cs="Calibri"/>
    </w:rPr>
  </w:style>
  <w:style w:type="character" w:customStyle="1" w:styleId="Heading1Char">
    <w:name w:val="Heading 1 Char"/>
    <w:basedOn w:val="DefaultParagraphFont"/>
    <w:link w:val="Heading1"/>
    <w:uiPriority w:val="9"/>
    <w:rsid w:val="00217B67"/>
    <w:rPr>
      <w:b/>
      <w:bCs/>
      <w:sz w:val="36"/>
      <w:szCs w:val="36"/>
    </w:rPr>
  </w:style>
  <w:style w:type="character" w:customStyle="1" w:styleId="Heading2Char">
    <w:name w:val="Heading 2 Char"/>
    <w:basedOn w:val="DefaultParagraphFont"/>
    <w:link w:val="Heading2"/>
    <w:uiPriority w:val="9"/>
    <w:rsid w:val="00217B67"/>
    <w:rPr>
      <w:b/>
      <w:bCs/>
      <w:sz w:val="32"/>
      <w:szCs w:val="32"/>
    </w:rPr>
  </w:style>
  <w:style w:type="character" w:customStyle="1" w:styleId="Heading3Char">
    <w:name w:val="Heading 3 Char"/>
    <w:basedOn w:val="DefaultParagraphFont"/>
    <w:link w:val="Heading3"/>
    <w:uiPriority w:val="9"/>
    <w:rsid w:val="00EE4A2F"/>
    <w:rPr>
      <w:rFonts w:ascii="Calibri" w:eastAsia="Times New Roman" w:hAnsi="Calibri" w:cs="Calibri"/>
      <w:b/>
      <w:bCs/>
      <w:sz w:val="28"/>
      <w:szCs w:val="28"/>
    </w:rPr>
  </w:style>
  <w:style w:type="character" w:customStyle="1" w:styleId="Heading4Char">
    <w:name w:val="Heading 4 Char"/>
    <w:basedOn w:val="DefaultParagraphFont"/>
    <w:link w:val="Heading4"/>
    <w:uiPriority w:val="9"/>
    <w:rsid w:val="00EE4A2F"/>
    <w:rPr>
      <w:b/>
      <w:bCs/>
    </w:rPr>
  </w:style>
  <w:style w:type="paragraph" w:styleId="NoSpacing">
    <w:name w:val="No Spacing"/>
    <w:uiPriority w:val="1"/>
    <w:qFormat/>
    <w:rsid w:val="00EE4A2F"/>
    <w:pPr>
      <w:spacing w:after="0" w:line="240" w:lineRule="auto"/>
    </w:pPr>
  </w:style>
  <w:style w:type="paragraph" w:customStyle="1" w:styleId="Tabletext">
    <w:name w:val="Table text"/>
    <w:basedOn w:val="Normal"/>
    <w:qFormat/>
    <w:rsid w:val="00613ADD"/>
    <w:pPr>
      <w:spacing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55552">
      <w:bodyDiv w:val="1"/>
      <w:marLeft w:val="0"/>
      <w:marRight w:val="0"/>
      <w:marTop w:val="0"/>
      <w:marBottom w:val="0"/>
      <w:divBdr>
        <w:top w:val="none" w:sz="0" w:space="0" w:color="auto"/>
        <w:left w:val="none" w:sz="0" w:space="0" w:color="auto"/>
        <w:bottom w:val="none" w:sz="0" w:space="0" w:color="auto"/>
        <w:right w:val="none" w:sz="0" w:space="0" w:color="auto"/>
      </w:divBdr>
      <w:divsChild>
        <w:div w:id="466312850">
          <w:marLeft w:val="360"/>
          <w:marRight w:val="0"/>
          <w:marTop w:val="200"/>
          <w:marBottom w:val="0"/>
          <w:divBdr>
            <w:top w:val="none" w:sz="0" w:space="0" w:color="auto"/>
            <w:left w:val="none" w:sz="0" w:space="0" w:color="auto"/>
            <w:bottom w:val="none" w:sz="0" w:space="0" w:color="auto"/>
            <w:right w:val="none" w:sz="0" w:space="0" w:color="auto"/>
          </w:divBdr>
        </w:div>
        <w:div w:id="1018897792">
          <w:marLeft w:val="360"/>
          <w:marRight w:val="0"/>
          <w:marTop w:val="200"/>
          <w:marBottom w:val="0"/>
          <w:divBdr>
            <w:top w:val="none" w:sz="0" w:space="0" w:color="auto"/>
            <w:left w:val="none" w:sz="0" w:space="0" w:color="auto"/>
            <w:bottom w:val="none" w:sz="0" w:space="0" w:color="auto"/>
            <w:right w:val="none" w:sz="0" w:space="0" w:color="auto"/>
          </w:divBdr>
        </w:div>
        <w:div w:id="894969973">
          <w:marLeft w:val="360"/>
          <w:marRight w:val="0"/>
          <w:marTop w:val="200"/>
          <w:marBottom w:val="0"/>
          <w:divBdr>
            <w:top w:val="none" w:sz="0" w:space="0" w:color="auto"/>
            <w:left w:val="none" w:sz="0" w:space="0" w:color="auto"/>
            <w:bottom w:val="none" w:sz="0" w:space="0" w:color="auto"/>
            <w:right w:val="none" w:sz="0" w:space="0" w:color="auto"/>
          </w:divBdr>
        </w:div>
        <w:div w:id="1877546962">
          <w:marLeft w:val="360"/>
          <w:marRight w:val="0"/>
          <w:marTop w:val="200"/>
          <w:marBottom w:val="0"/>
          <w:divBdr>
            <w:top w:val="none" w:sz="0" w:space="0" w:color="auto"/>
            <w:left w:val="none" w:sz="0" w:space="0" w:color="auto"/>
            <w:bottom w:val="none" w:sz="0" w:space="0" w:color="auto"/>
            <w:right w:val="none" w:sz="0" w:space="0" w:color="auto"/>
          </w:divBdr>
        </w:div>
        <w:div w:id="761341962">
          <w:marLeft w:val="360"/>
          <w:marRight w:val="0"/>
          <w:marTop w:val="200"/>
          <w:marBottom w:val="0"/>
          <w:divBdr>
            <w:top w:val="none" w:sz="0" w:space="0" w:color="auto"/>
            <w:left w:val="none" w:sz="0" w:space="0" w:color="auto"/>
            <w:bottom w:val="none" w:sz="0" w:space="0" w:color="auto"/>
            <w:right w:val="none" w:sz="0" w:space="0" w:color="auto"/>
          </w:divBdr>
        </w:div>
        <w:div w:id="10027236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bag.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bag.ca.gov/our-work/housing/regional-housing-technical-assistance/sb-9-resour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ag.ca.gov/our-work/housing/regional-housing-technical-assistance/sb-9-resour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bag.ca.gov/technical-assistance/results?search=missing+middl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AC004-9FEA-407E-96D8-24F08C5B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1260</Words>
  <Characters>7107</Characters>
  <Application>Microsoft Office Word</Application>
  <DocSecurity>0</DocSecurity>
  <Lines>173</Lines>
  <Paragraphs>67</Paragraphs>
  <ScaleCrop>false</ScaleCrop>
  <HeadingPairs>
    <vt:vector size="2" baseType="variant">
      <vt:variant>
        <vt:lpstr>Title</vt:lpstr>
      </vt:variant>
      <vt:variant>
        <vt:i4>1</vt:i4>
      </vt:variant>
    </vt:vector>
  </HeadingPairs>
  <TitlesOfParts>
    <vt:vector size="1" baseType="lpstr">
      <vt:lpstr>SB 9 Key Actions and Decisions Worksheet for Planners</vt:lpstr>
    </vt:vector>
  </TitlesOfParts>
  <Manager/>
  <Company/>
  <LinksUpToDate>false</LinksUpToDate>
  <CharactersWithSpaces>8300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9 Key Actions and Decisions Worksheet for Planners</dc:title>
  <dc:subject/>
  <dc:creator>Joshua Abrams</dc:creator>
  <cp:keywords/>
  <dc:description/>
  <cp:lastModifiedBy>Bowen Close</cp:lastModifiedBy>
  <cp:revision>3</cp:revision>
  <dcterms:created xsi:type="dcterms:W3CDTF">2022-07-14T16:53:00Z</dcterms:created>
  <dcterms:modified xsi:type="dcterms:W3CDTF">2022-07-14T17:10:00Z</dcterms:modified>
  <cp:category/>
</cp:coreProperties>
</file>