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C6BF4" w14:textId="6BD8D566" w:rsidR="00A92587" w:rsidRDefault="00A92587" w:rsidP="00A92587">
      <w:pPr>
        <w:pStyle w:val="NNCoverTitle"/>
      </w:pPr>
      <w:r>
        <w:rPr>
          <w:noProof/>
        </w:rPr>
        <w:drawing>
          <wp:inline distT="0" distB="0" distL="0" distR="0" wp14:anchorId="2EEB506D" wp14:editId="230A98EE">
            <wp:extent cx="3974123" cy="836930"/>
            <wp:effectExtent l="0" t="0" r="0" b="0"/>
            <wp:docPr id="1" name="Picture 1" descr="Logos for Metropolitan Transportation Commission and Association of Bay Area Govern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s for Metropolitan Transportation Commission and Association of Bay Area Governments"/>
                    <pic:cNvPicPr/>
                  </pic:nvPicPr>
                  <pic:blipFill rotWithShape="1">
                    <a:blip r:embed="rId11">
                      <a:extLst>
                        <a:ext uri="{28A0092B-C50C-407E-A947-70E740481C1C}">
                          <a14:useLocalDpi xmlns:a14="http://schemas.microsoft.com/office/drawing/2010/main" val="0"/>
                        </a:ext>
                      </a:extLst>
                    </a:blip>
                    <a:srcRect r="21163" b="27323"/>
                    <a:stretch/>
                  </pic:blipFill>
                  <pic:spPr bwMode="auto">
                    <a:xfrm>
                      <a:off x="0" y="0"/>
                      <a:ext cx="3992015" cy="840698"/>
                    </a:xfrm>
                    <a:prstGeom prst="rect">
                      <a:avLst/>
                    </a:prstGeom>
                    <a:ln>
                      <a:noFill/>
                    </a:ln>
                    <a:extLst>
                      <a:ext uri="{53640926-AAD7-44D8-BBD7-CCE9431645EC}">
                        <a14:shadowObscured xmlns:a14="http://schemas.microsoft.com/office/drawing/2010/main"/>
                      </a:ext>
                    </a:extLst>
                  </pic:spPr>
                </pic:pic>
              </a:graphicData>
            </a:graphic>
          </wp:inline>
        </w:drawing>
      </w:r>
      <w:r w:rsidRPr="008B60BA">
        <w:rPr>
          <w:noProof/>
        </w:rPr>
        <w:drawing>
          <wp:inline distT="0" distB="0" distL="0" distR="0" wp14:anchorId="787F9580" wp14:editId="3C2D3F3A">
            <wp:extent cx="685800" cy="97155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96DAC541-7B7A-43D3-8B79-37D633B846F1}">
                          <asvg:svgBlip xmlns:asvg="http://schemas.microsoft.com/office/drawing/2016/SVG/main" r:embed="rId13"/>
                        </a:ext>
                      </a:extLst>
                    </a:blip>
                    <a:stretch>
                      <a:fillRect/>
                    </a:stretch>
                  </pic:blipFill>
                  <pic:spPr>
                    <a:xfrm>
                      <a:off x="0" y="0"/>
                      <a:ext cx="685800" cy="971550"/>
                    </a:xfrm>
                    <a:prstGeom prst="rect">
                      <a:avLst/>
                    </a:prstGeom>
                  </pic:spPr>
                </pic:pic>
              </a:graphicData>
            </a:graphic>
          </wp:inline>
        </w:drawing>
      </w:r>
    </w:p>
    <w:p w14:paraId="5105DCFF" w14:textId="21AD26FF" w:rsidR="4DA4C557" w:rsidRDefault="4DA4C557" w:rsidP="4DA4C557">
      <w:pPr>
        <w:pStyle w:val="NNCoverTitle"/>
        <w:jc w:val="left"/>
      </w:pPr>
      <w:r>
        <w:t>SB 743 Policy Adoption Technical Assistance program</w:t>
      </w:r>
    </w:p>
    <w:p w14:paraId="382725EA" w14:textId="2FF15246" w:rsidR="00A92587" w:rsidRDefault="00F92002" w:rsidP="00F92002">
      <w:pPr>
        <w:pStyle w:val="NNCoverTitle"/>
        <w:jc w:val="left"/>
      </w:pPr>
      <w:r>
        <w:t>Memo Template</w:t>
      </w:r>
    </w:p>
    <w:p w14:paraId="57EE2277" w14:textId="3380E72B" w:rsidR="00F92002" w:rsidRPr="000A6EDE" w:rsidRDefault="00F92002" w:rsidP="000A6EDE">
      <w:pPr>
        <w:pStyle w:val="NNCoverTitle"/>
        <w:jc w:val="left"/>
        <w:rPr>
          <w:sz w:val="44"/>
          <w:szCs w:val="44"/>
        </w:rPr>
      </w:pPr>
      <w:r w:rsidRPr="000A6EDE">
        <w:rPr>
          <w:sz w:val="44"/>
          <w:szCs w:val="44"/>
        </w:rPr>
        <w:t>Overview of SB 743, Review of Existing Policies and engagement needs</w:t>
      </w:r>
    </w:p>
    <w:p w14:paraId="28970FD7" w14:textId="68DA00C0" w:rsidR="00514C98" w:rsidRDefault="002130B1" w:rsidP="002130B1">
      <w:pPr>
        <w:pStyle w:val="TOCHeading"/>
      </w:pPr>
      <w:r>
        <w:t>How to Use This Template</w:t>
      </w:r>
    </w:p>
    <w:p w14:paraId="06289112" w14:textId="5F24FAC1" w:rsidR="00ED4FB0" w:rsidRDefault="002130B1" w:rsidP="005A7544">
      <w:r>
        <w:t xml:space="preserve">The </w:t>
      </w:r>
      <w:r w:rsidR="00922DC5">
        <w:t>template is intended to serve as an introductory staff memo</w:t>
      </w:r>
      <w:r w:rsidR="00D75CFE">
        <w:t xml:space="preserve"> </w:t>
      </w:r>
      <w:r w:rsidR="00ED4FB0">
        <w:t xml:space="preserve">to facilitate VMT conversations and identify your jurisdiction’s approach to adopting VMT policies. strategy for stakeholder involvement in this effort. </w:t>
      </w:r>
    </w:p>
    <w:p w14:paraId="7591F98E" w14:textId="65817439" w:rsidR="00ED4FB0" w:rsidRPr="0069650F" w:rsidRDefault="00ED4FB0" w:rsidP="00ED4FB0">
      <w:r>
        <w:t>This memo is a first step jurisdictions usually complete to VMT policy adoptions as it summarizes the connections to other staff and jurisdiction policies</w:t>
      </w:r>
      <w:r w:rsidR="00F92002">
        <w:t>.</w:t>
      </w:r>
      <w:r>
        <w:t xml:space="preserve"> Therefore, the sections included in t</w:t>
      </w:r>
      <w:r w:rsidRPr="0069650F">
        <w:t>h</w:t>
      </w:r>
      <w:r>
        <w:t>i</w:t>
      </w:r>
      <w:r w:rsidRPr="0069650F">
        <w:t xml:space="preserve">s memo </w:t>
      </w:r>
      <w:r>
        <w:t>template are:</w:t>
      </w:r>
    </w:p>
    <w:p w14:paraId="6CCF1439" w14:textId="3DE9B3F8" w:rsidR="00ED4FB0" w:rsidRDefault="00ED4FB0" w:rsidP="00ED4FB0">
      <w:pPr>
        <w:pStyle w:val="ListParagraph"/>
        <w:numPr>
          <w:ilvl w:val="0"/>
          <w:numId w:val="8"/>
        </w:numPr>
      </w:pPr>
      <w:r>
        <w:t>Overview and requirements of SB 743</w:t>
      </w:r>
    </w:p>
    <w:p w14:paraId="5F47BDD3" w14:textId="096FEE3A" w:rsidR="00ED4FB0" w:rsidRDefault="00F92002" w:rsidP="00ED4FB0">
      <w:pPr>
        <w:pStyle w:val="ListParagraph"/>
        <w:numPr>
          <w:ilvl w:val="0"/>
          <w:numId w:val="8"/>
        </w:numPr>
      </w:pPr>
      <w:r>
        <w:t>E</w:t>
      </w:r>
      <w:r w:rsidR="00ED4FB0">
        <w:t>xisting processes and practices</w:t>
      </w:r>
    </w:p>
    <w:p w14:paraId="2612CBDD" w14:textId="053BE122" w:rsidR="00F92002" w:rsidRDefault="00F92002" w:rsidP="00ED4FB0">
      <w:pPr>
        <w:pStyle w:val="ListParagraph"/>
        <w:numPr>
          <w:ilvl w:val="0"/>
          <w:numId w:val="8"/>
        </w:numPr>
      </w:pPr>
      <w:r>
        <w:t>Stakeholder engagement needs</w:t>
      </w:r>
    </w:p>
    <w:p w14:paraId="5F1B979D" w14:textId="2644EE2D" w:rsidR="00ED4FB0" w:rsidRDefault="00F92002" w:rsidP="00ED4FB0">
      <w:pPr>
        <w:pStyle w:val="ListParagraph"/>
        <w:numPr>
          <w:ilvl w:val="0"/>
          <w:numId w:val="8"/>
        </w:numPr>
      </w:pPr>
      <w:r>
        <w:t>List of t</w:t>
      </w:r>
      <w:r w:rsidR="00ED4FB0">
        <w:t>ransportation policies and programs relevant to CEQA mitigations and VMT</w:t>
      </w:r>
    </w:p>
    <w:p w14:paraId="0EDDD9FF" w14:textId="45CBDCC1" w:rsidR="00F92002" w:rsidRPr="002130B1" w:rsidRDefault="00F92002" w:rsidP="005A7544">
      <w:r>
        <w:t>The template provides</w:t>
      </w:r>
      <w:r w:rsidR="00D75CFE">
        <w:t xml:space="preserve"> text and</w:t>
      </w:r>
      <w:r>
        <w:t xml:space="preserve"> instructions for</w:t>
      </w:r>
      <w:r w:rsidR="00D75CFE">
        <w:t xml:space="preserve"> jurisdiction specific information that you will need to fill in</w:t>
      </w:r>
      <w:r w:rsidR="00C73BC7">
        <w:t xml:space="preserve"> are provided in italicized text that should be removed from the final memo</w:t>
      </w:r>
      <w:r w:rsidR="00D75CFE">
        <w:t xml:space="preserve">. </w:t>
      </w:r>
    </w:p>
    <w:p w14:paraId="05B78977" w14:textId="3ECDE746" w:rsidR="004264BD" w:rsidRDefault="004264BD" w:rsidP="00A92587">
      <w:pPr>
        <w:pStyle w:val="TOCHeading"/>
      </w:pPr>
      <w:bookmarkStart w:id="0" w:name="_Toc104566428"/>
      <w:r>
        <w:t>Abbreviations and Glossary</w:t>
      </w:r>
      <w:bookmarkEnd w:id="0"/>
    </w:p>
    <w:p w14:paraId="43C8EFC0" w14:textId="5830B92D" w:rsidR="004264BD" w:rsidRDefault="004264BD" w:rsidP="004264BD">
      <w:pPr>
        <w:pStyle w:val="ListParagraph"/>
        <w:numPr>
          <w:ilvl w:val="0"/>
          <w:numId w:val="6"/>
        </w:numPr>
      </w:pPr>
      <w:r w:rsidRPr="00D77BF4">
        <w:rPr>
          <w:b/>
          <w:bCs/>
        </w:rPr>
        <w:t>CEQA</w:t>
      </w:r>
      <w:r w:rsidR="003C065F">
        <w:t xml:space="preserve"> – California Environmental Quality Act</w:t>
      </w:r>
      <w:r w:rsidR="00703BD7" w:rsidRPr="00703BD7">
        <w:t xml:space="preserve"> </w:t>
      </w:r>
      <w:r w:rsidR="00703BD7">
        <w:t>requires proposed discretionary projects to d</w:t>
      </w:r>
      <w:r w:rsidR="00703BD7" w:rsidRPr="00703BD7">
        <w:t>isclos</w:t>
      </w:r>
      <w:r w:rsidR="00703BD7">
        <w:t>e</w:t>
      </w:r>
      <w:r w:rsidR="00703BD7" w:rsidRPr="00703BD7">
        <w:t xml:space="preserve"> to the public</w:t>
      </w:r>
      <w:r w:rsidR="00703BD7">
        <w:t xml:space="preserve"> the</w:t>
      </w:r>
      <w:r w:rsidR="00703BD7" w:rsidRPr="00703BD7">
        <w:t xml:space="preserve"> significant environmental effects</w:t>
      </w:r>
      <w:r w:rsidR="002E01D6">
        <w:t xml:space="preserve"> caused by the project</w:t>
      </w:r>
      <w:r w:rsidR="00703BD7" w:rsidRPr="00703BD7">
        <w:t>, through the preparation of an initial study, negative declaration, mitigated negative declaration, or environmental impact report</w:t>
      </w:r>
    </w:p>
    <w:p w14:paraId="702F672C" w14:textId="77777777" w:rsidR="00D77BF4" w:rsidRDefault="00D77BF4" w:rsidP="00D77BF4">
      <w:pPr>
        <w:pStyle w:val="ListParagraph"/>
        <w:numPr>
          <w:ilvl w:val="0"/>
          <w:numId w:val="6"/>
        </w:numPr>
      </w:pPr>
      <w:r w:rsidRPr="005A7544">
        <w:rPr>
          <w:b/>
          <w:bCs/>
        </w:rPr>
        <w:t>LOS</w:t>
      </w:r>
      <w:r>
        <w:t xml:space="preserve"> – level of service</w:t>
      </w:r>
    </w:p>
    <w:p w14:paraId="6595E5BD" w14:textId="77777777" w:rsidR="00D77BF4" w:rsidRPr="005A7544" w:rsidRDefault="00D77BF4" w:rsidP="00D77BF4">
      <w:pPr>
        <w:pStyle w:val="ListParagraph"/>
        <w:numPr>
          <w:ilvl w:val="0"/>
          <w:numId w:val="6"/>
        </w:numPr>
        <w:rPr>
          <w:b/>
          <w:bCs/>
        </w:rPr>
      </w:pPr>
      <w:r w:rsidRPr="005A7544">
        <w:rPr>
          <w:b/>
          <w:bCs/>
        </w:rPr>
        <w:lastRenderedPageBreak/>
        <w:t>Mitigation</w:t>
      </w:r>
      <w:r>
        <w:rPr>
          <w:b/>
          <w:bCs/>
        </w:rPr>
        <w:t xml:space="preserve"> – </w:t>
      </w:r>
      <w:r>
        <w:t>feasible measures required as part of the approval process to reduce impacts below the threshold of significance</w:t>
      </w:r>
    </w:p>
    <w:p w14:paraId="78A11871" w14:textId="43F2534B" w:rsidR="004264BD" w:rsidRDefault="004264BD" w:rsidP="004264BD">
      <w:pPr>
        <w:pStyle w:val="ListParagraph"/>
        <w:numPr>
          <w:ilvl w:val="0"/>
          <w:numId w:val="6"/>
        </w:numPr>
      </w:pPr>
      <w:r w:rsidRPr="00D77BF4">
        <w:rPr>
          <w:b/>
          <w:bCs/>
        </w:rPr>
        <w:t>OPR</w:t>
      </w:r>
      <w:r w:rsidR="003C065F">
        <w:t xml:space="preserve"> – Governor’s Office of Planning and Research</w:t>
      </w:r>
    </w:p>
    <w:p w14:paraId="5357999B" w14:textId="67490E19" w:rsidR="004264BD" w:rsidRDefault="004264BD" w:rsidP="004264BD">
      <w:pPr>
        <w:pStyle w:val="ListParagraph"/>
        <w:numPr>
          <w:ilvl w:val="0"/>
          <w:numId w:val="6"/>
        </w:numPr>
      </w:pPr>
      <w:r w:rsidRPr="00D77BF4">
        <w:rPr>
          <w:b/>
          <w:bCs/>
        </w:rPr>
        <w:t>Threshold</w:t>
      </w:r>
      <w:r w:rsidR="00703BD7" w:rsidRPr="00D77BF4">
        <w:rPr>
          <w:b/>
          <w:bCs/>
        </w:rPr>
        <w:t>s of Significance</w:t>
      </w:r>
      <w:r w:rsidR="003C065F">
        <w:t xml:space="preserve"> – </w:t>
      </w:r>
      <w:r w:rsidR="00703BD7">
        <w:t>used to determine whether an impact is significant or not</w:t>
      </w:r>
    </w:p>
    <w:p w14:paraId="5A9F69F2" w14:textId="130472A2" w:rsidR="004264BD" w:rsidRDefault="004264BD" w:rsidP="004264BD">
      <w:pPr>
        <w:pStyle w:val="ListParagraph"/>
        <w:numPr>
          <w:ilvl w:val="0"/>
          <w:numId w:val="6"/>
        </w:numPr>
      </w:pPr>
      <w:r w:rsidRPr="005A7544">
        <w:rPr>
          <w:b/>
          <w:bCs/>
        </w:rPr>
        <w:t>Screen</w:t>
      </w:r>
      <w:r w:rsidR="00703BD7" w:rsidRPr="005A7544">
        <w:rPr>
          <w:b/>
          <w:bCs/>
        </w:rPr>
        <w:t>ing Thresholds</w:t>
      </w:r>
      <w:r w:rsidR="00703BD7">
        <w:t xml:space="preserve"> – also knowns as screens, are used to quickly identify when a project should be expected to cause a less-than-significant impact without conducting a details study. </w:t>
      </w:r>
    </w:p>
    <w:p w14:paraId="27CDD48B" w14:textId="232C6F3C" w:rsidR="00703BD7" w:rsidRPr="005A7544" w:rsidRDefault="00703BD7" w:rsidP="00703BD7">
      <w:pPr>
        <w:pStyle w:val="ListParagraph"/>
        <w:numPr>
          <w:ilvl w:val="0"/>
          <w:numId w:val="6"/>
        </w:numPr>
        <w:rPr>
          <w:b/>
          <w:bCs/>
        </w:rPr>
      </w:pPr>
      <w:r w:rsidRPr="00221765">
        <w:rPr>
          <w:b/>
          <w:bCs/>
        </w:rPr>
        <w:t>Significant Impact</w:t>
      </w:r>
      <w:r w:rsidR="005C05EC">
        <w:rPr>
          <w:b/>
          <w:bCs/>
        </w:rPr>
        <w:t xml:space="preserve"> – </w:t>
      </w:r>
      <w:r w:rsidR="00396194">
        <w:t>an impact greater than the threshold of significance, requires mitigation</w:t>
      </w:r>
    </w:p>
    <w:p w14:paraId="3DBA853C" w14:textId="1E652341" w:rsidR="0515274A" w:rsidRDefault="0515274A" w:rsidP="007F753A">
      <w:pPr>
        <w:pStyle w:val="ListParagraph"/>
        <w:numPr>
          <w:ilvl w:val="0"/>
          <w:numId w:val="6"/>
        </w:numPr>
      </w:pPr>
      <w:r w:rsidRPr="005A7544">
        <w:rPr>
          <w:b/>
          <w:bCs/>
        </w:rPr>
        <w:t>VMT</w:t>
      </w:r>
      <w:r w:rsidR="007F753A">
        <w:t xml:space="preserve"> </w:t>
      </w:r>
      <w:proofErr w:type="gramStart"/>
      <w:r w:rsidR="007F753A">
        <w:t xml:space="preserve">– </w:t>
      </w:r>
      <w:r w:rsidR="00703BD7">
        <w:t xml:space="preserve"> Vehicle</w:t>
      </w:r>
      <w:proofErr w:type="gramEnd"/>
      <w:r w:rsidR="00703BD7">
        <w:t xml:space="preserve"> miles traveled</w:t>
      </w:r>
    </w:p>
    <w:p w14:paraId="32473142" w14:textId="69E2DAC6" w:rsidR="00F92002" w:rsidRDefault="00F92002">
      <w:pPr>
        <w:overflowPunct/>
        <w:autoSpaceDE/>
        <w:autoSpaceDN/>
        <w:adjustRightInd/>
        <w:spacing w:after="160" w:line="259" w:lineRule="auto"/>
        <w:textAlignment w:val="auto"/>
      </w:pPr>
      <w:r>
        <w:br w:type="page"/>
      </w:r>
    </w:p>
    <w:p w14:paraId="3EEFDA76" w14:textId="548224C7" w:rsidR="00F92002" w:rsidRDefault="00F92002" w:rsidP="00F92002">
      <w:pPr>
        <w:ind w:left="360"/>
      </w:pPr>
      <w:r w:rsidRPr="000A6EDE">
        <w:rPr>
          <w:highlight w:val="yellow"/>
        </w:rPr>
        <w:lastRenderedPageBreak/>
        <w:t>&lt;&lt;Insert logo</w:t>
      </w:r>
      <w:r w:rsidR="002B694C">
        <w:rPr>
          <w:highlight w:val="yellow"/>
        </w:rPr>
        <w:t>(</w:t>
      </w:r>
      <w:r w:rsidRPr="000A6EDE">
        <w:rPr>
          <w:highlight w:val="yellow"/>
        </w:rPr>
        <w:t>s</w:t>
      </w:r>
      <w:r w:rsidR="002B694C">
        <w:rPr>
          <w:highlight w:val="yellow"/>
        </w:rPr>
        <w:t>)</w:t>
      </w:r>
      <w:r w:rsidRPr="000A6EDE">
        <w:rPr>
          <w:highlight w:val="yellow"/>
        </w:rPr>
        <w:t xml:space="preserve"> here&gt;&gt;</w:t>
      </w:r>
    </w:p>
    <w:p w14:paraId="6584CC3C" w14:textId="77777777" w:rsidR="00F92002" w:rsidRDefault="00F92002" w:rsidP="000A6EDE">
      <w:pPr>
        <w:ind w:left="360"/>
      </w:pPr>
    </w:p>
    <w:p w14:paraId="6C2772C2" w14:textId="77777777" w:rsidR="005A7544" w:rsidRPr="00C073A0" w:rsidRDefault="005A7544" w:rsidP="005A7544">
      <w:pPr>
        <w:pStyle w:val="NNCoverTitle"/>
      </w:pPr>
      <w:r w:rsidRPr="001803C8">
        <w:t>Memorandum</w:t>
      </w:r>
    </w:p>
    <w:p w14:paraId="406A73C3" w14:textId="77777777" w:rsidR="005A7544" w:rsidRPr="000A6EDE" w:rsidRDefault="005A7544" w:rsidP="005A7544">
      <w:pPr>
        <w:pStyle w:val="NNMemoCategories"/>
        <w:rPr>
          <w:rStyle w:val="Strong"/>
          <w:szCs w:val="24"/>
        </w:rPr>
      </w:pPr>
      <w:r w:rsidRPr="000A6EDE">
        <w:rPr>
          <w:rStyle w:val="Strong"/>
          <w:szCs w:val="24"/>
        </w:rPr>
        <w:t>To:</w:t>
      </w:r>
      <w:r w:rsidRPr="000A6EDE">
        <w:rPr>
          <w:rStyle w:val="Strong"/>
          <w:szCs w:val="24"/>
        </w:rPr>
        <w:tab/>
      </w:r>
    </w:p>
    <w:p w14:paraId="4EE7E046" w14:textId="77777777" w:rsidR="005A7544" w:rsidRPr="000A6EDE" w:rsidRDefault="005A7544" w:rsidP="005A7544">
      <w:pPr>
        <w:pStyle w:val="NNMemoCategories"/>
        <w:rPr>
          <w:rStyle w:val="Strong"/>
          <w:szCs w:val="24"/>
        </w:rPr>
      </w:pPr>
      <w:r w:rsidRPr="000A6EDE">
        <w:rPr>
          <w:rStyle w:val="Strong"/>
          <w:szCs w:val="24"/>
        </w:rPr>
        <w:t>From:</w:t>
      </w:r>
      <w:r w:rsidRPr="000A6EDE">
        <w:rPr>
          <w:rStyle w:val="Strong"/>
          <w:szCs w:val="24"/>
        </w:rPr>
        <w:tab/>
      </w:r>
    </w:p>
    <w:p w14:paraId="3093AE81" w14:textId="77777777" w:rsidR="005A7544" w:rsidRPr="000A6EDE" w:rsidRDefault="005A7544" w:rsidP="005A7544">
      <w:pPr>
        <w:pStyle w:val="NNMemoCategories"/>
        <w:rPr>
          <w:szCs w:val="24"/>
        </w:rPr>
      </w:pPr>
      <w:r w:rsidRPr="000A6EDE">
        <w:rPr>
          <w:rStyle w:val="Strong"/>
          <w:szCs w:val="24"/>
        </w:rPr>
        <w:t>Date:</w:t>
      </w:r>
      <w:r w:rsidRPr="000A6EDE">
        <w:rPr>
          <w:szCs w:val="24"/>
        </w:rPr>
        <w:tab/>
      </w:r>
      <w:sdt>
        <w:sdtPr>
          <w:rPr>
            <w:szCs w:val="24"/>
          </w:rPr>
          <w:id w:val="1783840897"/>
          <w:placeholder>
            <w:docPart w:val="1196421A04864D72B86B8891B4AA1459"/>
          </w:placeholder>
          <w:showingPlcHdr/>
          <w:dataBinding w:prefixMappings="xmlns:ns0='http://schemas.microsoft.com/office/2006/coverPageProps'" w:xpath="/ns0:CoverPageProperties[1]/ns0:PublishDate[1]" w:storeItemID="{55AF091B-3C7A-41E3-B477-F2FDAA23CFDA}"/>
          <w:date w:fullDate="2021-01-02T00:00:00Z">
            <w:dateFormat w:val="MMMM d, yyyy"/>
            <w:lid w:val="en-US"/>
            <w:storeMappedDataAs w:val="dateTime"/>
            <w:calendar w:val="gregorian"/>
          </w:date>
        </w:sdtPr>
        <w:sdtEndPr/>
        <w:sdtContent>
          <w:r w:rsidRPr="00286349">
            <w:rPr>
              <w:szCs w:val="24"/>
            </w:rPr>
            <w:t>[Pick the date]</w:t>
          </w:r>
        </w:sdtContent>
      </w:sdt>
    </w:p>
    <w:p w14:paraId="2C9A52DF" w14:textId="77777777" w:rsidR="005A7544" w:rsidRPr="000A6EDE" w:rsidRDefault="005A7544" w:rsidP="005A7544">
      <w:pPr>
        <w:pStyle w:val="NNMemoCategories"/>
        <w:pBdr>
          <w:bottom w:val="single" w:sz="4" w:space="1" w:color="auto"/>
        </w:pBdr>
        <w:rPr>
          <w:rStyle w:val="Strong"/>
          <w:szCs w:val="24"/>
        </w:rPr>
      </w:pPr>
      <w:r w:rsidRPr="000A6EDE">
        <w:rPr>
          <w:rStyle w:val="Strong"/>
          <w:szCs w:val="24"/>
        </w:rPr>
        <w:t>Subject:</w:t>
      </w:r>
      <w:r w:rsidRPr="000A6EDE">
        <w:rPr>
          <w:rStyle w:val="Strong"/>
          <w:szCs w:val="24"/>
        </w:rPr>
        <w:tab/>
        <w:t>MTC Technical Assistance on VMT Policy Adoption. Module 1 – Overview of SB 743, Review of Existing Policies, and Engagement Needs</w:t>
      </w:r>
    </w:p>
    <w:p w14:paraId="3280D83D" w14:textId="77777777" w:rsidR="00F92002" w:rsidRDefault="00F92002" w:rsidP="00CA05A3">
      <w:pPr>
        <w:pStyle w:val="Heading1"/>
      </w:pPr>
    </w:p>
    <w:p w14:paraId="340CA557" w14:textId="50A4B9BB" w:rsidR="00F92002" w:rsidRDefault="00F92002" w:rsidP="00CA05A3">
      <w:pPr>
        <w:pStyle w:val="Heading1"/>
      </w:pPr>
      <w:r>
        <w:t>Purpose of Memo</w:t>
      </w:r>
    </w:p>
    <w:p w14:paraId="2391BF6E" w14:textId="272CD2B1" w:rsidR="00F92002" w:rsidRPr="00F92002" w:rsidRDefault="00A02C38" w:rsidP="00F92002">
      <w:r>
        <w:t xml:space="preserve">To provide an overview of SB 743 and requirements and identify </w:t>
      </w:r>
      <w:r w:rsidRPr="000A6EDE">
        <w:rPr>
          <w:highlight w:val="yellow"/>
        </w:rPr>
        <w:t>JURISDICTION’S</w:t>
      </w:r>
      <w:r>
        <w:t xml:space="preserve"> existing policies that align with SB 743. Additionally, stakeholders who will be part of the VMT adoption process are also identified.</w:t>
      </w:r>
    </w:p>
    <w:p w14:paraId="0219CF9C" w14:textId="19F5CC9E" w:rsidR="00CA05A3" w:rsidRDefault="00CA05A3" w:rsidP="00CA05A3">
      <w:pPr>
        <w:pStyle w:val="Heading1"/>
      </w:pPr>
      <w:bookmarkStart w:id="1" w:name="_Toc104566429"/>
      <w:r>
        <w:t>Senate Bill 743 Overview</w:t>
      </w:r>
      <w:bookmarkEnd w:id="1"/>
    </w:p>
    <w:p w14:paraId="2E577C38" w14:textId="31840AFD" w:rsidR="00F9286D" w:rsidRDefault="1256B7F8" w:rsidP="00F9286D">
      <w:r>
        <w:t xml:space="preserve">The California Environmental Quality Act (CEQA) requires land use development and transportation projects to identify, disclose, and mitigate environmental impacts. </w:t>
      </w:r>
      <w:r w:rsidR="36F1A563">
        <w:t xml:space="preserve">Transportation is one of 18 environmental resources studies in CEQA analysis. </w:t>
      </w:r>
      <w:r w:rsidR="592F8851">
        <w:t>Historically</w:t>
      </w:r>
      <w:r w:rsidR="3156B306">
        <w:t xml:space="preserve">, many lead agencies chose to </w:t>
      </w:r>
      <w:proofErr w:type="gramStart"/>
      <w:r w:rsidR="3156B306">
        <w:t>use  Level</w:t>
      </w:r>
      <w:proofErr w:type="gramEnd"/>
      <w:r w:rsidR="3156B306">
        <w:t xml:space="preserve"> of Service (LOS)</w:t>
      </w:r>
      <w:r w:rsidR="6E84E410">
        <w:t>, a measure of vehicle delay,</w:t>
      </w:r>
      <w:r w:rsidR="3156B306">
        <w:t xml:space="preserve"> to define transportation impacts under CEQA</w:t>
      </w:r>
      <w:r w:rsidR="6E84E410">
        <w:t xml:space="preserve">. </w:t>
      </w:r>
      <w:r w:rsidR="6FE8E0E7">
        <w:t xml:space="preserve">Mitigations of </w:t>
      </w:r>
      <w:r w:rsidR="6E84E410">
        <w:t>LOS</w:t>
      </w:r>
      <w:r w:rsidR="6FE8E0E7">
        <w:t xml:space="preserve"> impacts</w:t>
      </w:r>
      <w:r w:rsidR="6E84E410">
        <w:t xml:space="preserve"> compelled communities to widen </w:t>
      </w:r>
      <w:r w:rsidR="6FE8E0E7">
        <w:t xml:space="preserve">roads and incentivized </w:t>
      </w:r>
      <w:r w:rsidR="6E84E410">
        <w:t>spread out land use patterns</w:t>
      </w:r>
      <w:r w:rsidR="6FE8E0E7">
        <w:t xml:space="preserve"> resulting over time in </w:t>
      </w:r>
      <w:r w:rsidR="6E84E410">
        <w:t>more driving</w:t>
      </w:r>
      <w:r w:rsidR="6FE8E0E7">
        <w:t xml:space="preserve">, </w:t>
      </w:r>
      <w:r w:rsidR="6E84E410">
        <w:t>congestion</w:t>
      </w:r>
      <w:r w:rsidR="6FE8E0E7">
        <w:t>, and pollution</w:t>
      </w:r>
      <w:r w:rsidR="6E84E410">
        <w:t xml:space="preserve">. </w:t>
      </w:r>
    </w:p>
    <w:p w14:paraId="34A29200" w14:textId="4528C8DB" w:rsidR="00E41399" w:rsidRDefault="00F9286D" w:rsidP="00F9286D">
      <w:r>
        <w:t>Senate Bill 743 (Steinberg, 2013)</w:t>
      </w:r>
      <w:r w:rsidR="00596AA1">
        <w:t>,</w:t>
      </w:r>
      <w:r w:rsidR="009F524A">
        <w:t xml:space="preserve"> </w:t>
      </w:r>
      <w:r w:rsidR="009F524A" w:rsidRPr="009F524A">
        <w:t xml:space="preserve">codified in </w:t>
      </w:r>
      <w:hyperlink r:id="rId14" w:history="1">
        <w:r w:rsidR="008052ED">
          <w:rPr>
            <w:rStyle w:val="Hyperlink"/>
          </w:rPr>
          <w:t>Public Resources Code section 21099</w:t>
        </w:r>
      </w:hyperlink>
      <w:r w:rsidR="009F524A">
        <w:t xml:space="preserve">, </w:t>
      </w:r>
      <w:r w:rsidR="00415DEC">
        <w:t xml:space="preserve">requires lead agencies to replace LOS </w:t>
      </w:r>
      <w:r w:rsidR="00596AA1">
        <w:t xml:space="preserve">to </w:t>
      </w:r>
      <w:r w:rsidR="00415DEC">
        <w:t>better align transportation impact criteria with State environmental, economic, and public health goals.</w:t>
      </w:r>
      <w:r w:rsidR="009F524A">
        <w:t xml:space="preserve"> </w:t>
      </w:r>
      <w:r w:rsidR="008052ED">
        <w:t xml:space="preserve">The </w:t>
      </w:r>
      <w:r w:rsidR="009F524A" w:rsidRPr="009F524A">
        <w:t>criteria for determining the significance of transportation impacts</w:t>
      </w:r>
      <w:r w:rsidR="009F524A">
        <w:t xml:space="preserve"> and setting new thresholds</w:t>
      </w:r>
      <w:r w:rsidR="009F524A" w:rsidRPr="009F524A">
        <w:t xml:space="preserve"> must “promote the reduction of greenhouse gas emissions, the development of multimodal transportation networks, and a diversity of land uses.”</w:t>
      </w:r>
    </w:p>
    <w:p w14:paraId="1301E327" w14:textId="3ED1BE56" w:rsidR="00502F89" w:rsidRDefault="3156B306" w:rsidP="0515274A">
      <w:r>
        <w:t xml:space="preserve">The Governor’s Office of Planning and Research (OPR) </w:t>
      </w:r>
      <w:r w:rsidR="6FE8E0E7">
        <w:t>supports</w:t>
      </w:r>
      <w:r w:rsidR="04FEE04A">
        <w:t xml:space="preserve"> the implementation of SB 743 </w:t>
      </w:r>
      <w:r w:rsidR="6FE8E0E7">
        <w:t>by providing</w:t>
      </w:r>
      <w:r w:rsidR="04FEE04A">
        <w:t xml:space="preserve"> resources </w:t>
      </w:r>
      <w:r w:rsidR="6FE8E0E7">
        <w:t>including</w:t>
      </w:r>
      <w:r w:rsidR="04FEE04A">
        <w:t xml:space="preserve"> the </w:t>
      </w:r>
      <w:hyperlink r:id="rId15">
        <w:r w:rsidR="04FEE04A" w:rsidRPr="16D51BAD">
          <w:rPr>
            <w:rStyle w:val="Hyperlink"/>
          </w:rPr>
          <w:t xml:space="preserve">Technical Advisory on Evaluating Transportation Impacts in CEQA </w:t>
        </w:r>
      </w:hyperlink>
      <w:r w:rsidR="04FEE04A">
        <w:t xml:space="preserve">(2018). OPR </w:t>
      </w:r>
      <w:r>
        <w:t>recommend</w:t>
      </w:r>
      <w:r w:rsidR="04FEE04A">
        <w:t>s</w:t>
      </w:r>
      <w:r>
        <w:t xml:space="preserve"> that</w:t>
      </w:r>
      <w:r w:rsidR="7FE3E390">
        <w:t xml:space="preserve"> jurisdictions</w:t>
      </w:r>
      <w:r>
        <w:t xml:space="preserve"> replace LOS with Vehicle Miles Traveled (VMT)</w:t>
      </w:r>
      <w:r w:rsidR="6FE8E0E7">
        <w:t xml:space="preserve"> based metrics</w:t>
      </w:r>
      <w:r>
        <w:t xml:space="preserve">. This shift will better align transportation impact analysis and mitigation outcomes to reduce greenhouse gas emissions, encourage infill development, and improve public health. </w:t>
      </w:r>
      <w:r w:rsidR="6F5F5C20">
        <w:t>Jurisdictions in California</w:t>
      </w:r>
      <w:r>
        <w:t xml:space="preserve"> are now required to use VMT</w:t>
      </w:r>
      <w:r w:rsidR="6F5F5C20">
        <w:t xml:space="preserve"> based metrics</w:t>
      </w:r>
      <w:r>
        <w:t xml:space="preserve"> to evaluate environmental impacts related to transportation. Cities can still use LOS within the local </w:t>
      </w:r>
      <w:r>
        <w:lastRenderedPageBreak/>
        <w:t>development review process to inform site access and traffic operations decisions, but LOS cannot be used to evaluate CEQA impacts</w:t>
      </w:r>
      <w:r w:rsidR="02E9ED78">
        <w:t xml:space="preserve"> or mitigations</w:t>
      </w:r>
      <w:r>
        <w:t>.</w:t>
      </w:r>
    </w:p>
    <w:p w14:paraId="5424935F" w14:textId="00C0F3D6" w:rsidR="00A13FAF" w:rsidRDefault="57D77183" w:rsidP="00502F89">
      <w:r>
        <w:t xml:space="preserve">VMT measures the amount of driving </w:t>
      </w:r>
      <w:r w:rsidR="6FE8E0E7">
        <w:t xml:space="preserve">produced by a project </w:t>
      </w:r>
      <w:r>
        <w:t xml:space="preserve">and provides a measure of travel efficiency of a land use project. For most types of projects, VMT-based analysis offers </w:t>
      </w:r>
      <w:r w:rsidR="4C1F02B4">
        <w:t xml:space="preserve">a </w:t>
      </w:r>
      <w:r>
        <w:t>streamlined analysis that</w:t>
      </w:r>
      <w:r w:rsidR="4C1F02B4">
        <w:t xml:space="preserve"> </w:t>
      </w:r>
      <w:r>
        <w:t>save</w:t>
      </w:r>
      <w:r w:rsidR="4C1F02B4">
        <w:t>s jurisdiction</w:t>
      </w:r>
      <w:r>
        <w:t xml:space="preserve"> staff time and</w:t>
      </w:r>
      <w:r w:rsidR="4C1F02B4">
        <w:t xml:space="preserve"> provides clarity for the public and land developers.</w:t>
      </w:r>
      <w:r w:rsidR="6F5F5C20">
        <w:t xml:space="preserve"> The shift to VMT policies </w:t>
      </w:r>
      <w:r w:rsidR="00DC3009">
        <w:t xml:space="preserve">is intended to </w:t>
      </w:r>
      <w:r w:rsidR="6F5F5C20">
        <w:t xml:space="preserve">help </w:t>
      </w:r>
      <w:proofErr w:type="gramStart"/>
      <w:r w:rsidR="6F5F5C20">
        <w:t>achieve  climate</w:t>
      </w:r>
      <w:proofErr w:type="gramEnd"/>
      <w:r w:rsidR="6F5F5C20">
        <w:t xml:space="preserve"> commitments, preserve the environment, improve health and safety, create sustainable communities, and provide more travel choices for each jurisdiction, as well as for the region and state..</w:t>
      </w:r>
    </w:p>
    <w:p w14:paraId="63FD348D" w14:textId="37CD4DE5" w:rsidR="00DC3009" w:rsidRDefault="00DC3009" w:rsidP="000A6EDE">
      <w:pPr>
        <w:pStyle w:val="Heading1"/>
      </w:pPr>
      <w:r>
        <w:t>Technical Assistance</w:t>
      </w:r>
    </w:p>
    <w:p w14:paraId="6189B863" w14:textId="17BD0922" w:rsidR="00502F89" w:rsidRDefault="00DC3009" w:rsidP="0515274A">
      <w:pPr>
        <w:spacing w:line="288" w:lineRule="auto"/>
        <w:rPr>
          <w:rFonts w:eastAsia="Source Sans Pro Light" w:cs="Source Sans Pro Light"/>
          <w:color w:val="2D2D2C"/>
          <w:szCs w:val="24"/>
        </w:rPr>
      </w:pPr>
      <w:r>
        <w:t xml:space="preserve">Our jurisdiction is participating in an MTC/ABAG technical assistance to assist jurisdictions in the Bay Area </w:t>
      </w:r>
      <w:r w:rsidR="000A6EDE">
        <w:t>with adopting</w:t>
      </w:r>
      <w:r>
        <w:t xml:space="preserve"> VMT thresholds and other policies. </w:t>
      </w:r>
      <w:r w:rsidR="00502F89">
        <w:t xml:space="preserve">To comply with SB 743, </w:t>
      </w:r>
      <w:r w:rsidR="00A13FAF">
        <w:t>jurisdictions</w:t>
      </w:r>
      <w:r w:rsidR="00502F89">
        <w:t xml:space="preserve"> will need to select new metrics, establish thresholds, and develop mitigation</w:t>
      </w:r>
      <w:r w:rsidR="009A5E34">
        <w:t xml:space="preserve">s by </w:t>
      </w:r>
      <w:r w:rsidR="00502F89">
        <w:t xml:space="preserve">answer </w:t>
      </w:r>
      <w:r w:rsidR="0515274A" w:rsidRPr="0515274A">
        <w:rPr>
          <w:rFonts w:eastAsia="Source Sans Pro Light" w:cs="Source Sans Pro Light"/>
          <w:szCs w:val="24"/>
        </w:rPr>
        <w:t>key implementation questions such as those listed below:</w:t>
      </w:r>
      <w:r w:rsidR="0515274A" w:rsidRPr="0515274A">
        <w:rPr>
          <w:rFonts w:eastAsia="Source Sans Pro Light" w:cs="Source Sans Pro Light"/>
          <w:color w:val="2D2D2C"/>
          <w:szCs w:val="24"/>
        </w:rPr>
        <w:t xml:space="preserve"> </w:t>
      </w:r>
    </w:p>
    <w:p w14:paraId="03CE1045" w14:textId="15D640BD" w:rsidR="00502F89" w:rsidRDefault="0515274A" w:rsidP="000A6EDE">
      <w:pPr>
        <w:pStyle w:val="ListParagraph"/>
        <w:numPr>
          <w:ilvl w:val="0"/>
          <w:numId w:val="1"/>
        </w:numPr>
        <w:spacing w:line="288" w:lineRule="auto"/>
        <w:rPr>
          <w:rFonts w:eastAsia="Source Sans Pro Light" w:cs="Source Sans Pro Light"/>
          <w:color w:val="2D2D2C"/>
          <w:szCs w:val="24"/>
        </w:rPr>
      </w:pPr>
      <w:r w:rsidRPr="2015E1B9">
        <w:rPr>
          <w:rFonts w:eastAsia="Source Sans Pro Light" w:cs="Source Sans Pro Light"/>
          <w:color w:val="2D2D2C"/>
          <w:szCs w:val="24"/>
        </w:rPr>
        <w:t>What will be the preferred methodology for estimating and forecasting VMT</w:t>
      </w:r>
      <w:r w:rsidR="009A5E34">
        <w:rPr>
          <w:rFonts w:eastAsia="Source Sans Pro Light" w:cs="Source Sans Pro Light"/>
          <w:color w:val="2D2D2C"/>
          <w:szCs w:val="24"/>
        </w:rPr>
        <w:t xml:space="preserve"> for </w:t>
      </w:r>
      <w:r w:rsidRPr="2015E1B9">
        <w:rPr>
          <w:rFonts w:eastAsia="Source Sans Pro Light" w:cs="Source Sans Pro Light"/>
          <w:color w:val="2D2D2C"/>
          <w:szCs w:val="24"/>
        </w:rPr>
        <w:t>transportation impact analysis in CEQA?</w:t>
      </w:r>
    </w:p>
    <w:p w14:paraId="66691FD9" w14:textId="0F5CF443" w:rsidR="00DC3009" w:rsidRDefault="00DC3009" w:rsidP="000A6EDE">
      <w:pPr>
        <w:pStyle w:val="ListParagraph"/>
        <w:numPr>
          <w:ilvl w:val="0"/>
          <w:numId w:val="1"/>
        </w:numPr>
        <w:spacing w:line="288" w:lineRule="auto"/>
        <w:rPr>
          <w:rFonts w:eastAsia="Source Sans Pro Light" w:cs="Source Sans Pro Light"/>
          <w:szCs w:val="24"/>
        </w:rPr>
      </w:pPr>
      <w:r>
        <w:rPr>
          <w:rFonts w:eastAsia="Source Sans Pro Light" w:cs="Source Sans Pro Light"/>
          <w:szCs w:val="24"/>
        </w:rPr>
        <w:t>How does our jurisdiction want to use screens and screening criteria to simplify the CEQA transportation review for low-VMT projects?</w:t>
      </w:r>
    </w:p>
    <w:p w14:paraId="733BDC81" w14:textId="2116BB2D" w:rsidR="00502F89" w:rsidRDefault="0515274A" w:rsidP="000A6EDE">
      <w:pPr>
        <w:pStyle w:val="ListParagraph"/>
        <w:numPr>
          <w:ilvl w:val="0"/>
          <w:numId w:val="1"/>
        </w:numPr>
        <w:spacing w:line="288" w:lineRule="auto"/>
        <w:rPr>
          <w:rFonts w:eastAsia="Source Sans Pro Light" w:cs="Source Sans Pro Light"/>
          <w:color w:val="2D2D2C"/>
          <w:szCs w:val="24"/>
        </w:rPr>
      </w:pPr>
      <w:r w:rsidRPr="0515274A">
        <w:rPr>
          <w:rFonts w:eastAsia="Source Sans Pro Light" w:cs="Source Sans Pro Light"/>
          <w:color w:val="2D2D2C"/>
          <w:szCs w:val="24"/>
        </w:rPr>
        <w:t xml:space="preserve">What mitigation does </w:t>
      </w:r>
      <w:r w:rsidR="00DC3009">
        <w:rPr>
          <w:rFonts w:eastAsia="Source Sans Pro Light" w:cs="Source Sans Pro Light"/>
          <w:color w:val="2D2D2C"/>
          <w:szCs w:val="24"/>
        </w:rPr>
        <w:t>our jurisdiction</w:t>
      </w:r>
      <w:r w:rsidRPr="0515274A">
        <w:rPr>
          <w:rFonts w:eastAsia="Source Sans Pro Light" w:cs="Source Sans Pro Light"/>
          <w:color w:val="2D2D2C"/>
          <w:szCs w:val="24"/>
        </w:rPr>
        <w:t xml:space="preserve"> consider to be feasible for VMT impacts?  If TDM is used, how will the lead agency verify its effectiveness over time (since many TDM programs depend on implementation by individual tenants that may change over time)?</w:t>
      </w:r>
    </w:p>
    <w:p w14:paraId="32496D64" w14:textId="682C486C" w:rsidR="008052ED" w:rsidRDefault="00A13FAF" w:rsidP="00D766B8">
      <w:r>
        <w:t xml:space="preserve">This Technical Assistance will provide the background, information, </w:t>
      </w:r>
      <w:r w:rsidR="005C354F">
        <w:t xml:space="preserve">resources, </w:t>
      </w:r>
      <w:r>
        <w:t xml:space="preserve">and tools to support each participating jurisdiction in answering the questions and </w:t>
      </w:r>
      <w:r w:rsidR="005C354F">
        <w:t>adopting and implementing VMT policies.</w:t>
      </w:r>
    </w:p>
    <w:p w14:paraId="601BB5CA" w14:textId="5F9CB170" w:rsidR="00DE567C" w:rsidRDefault="002F0104" w:rsidP="00DE567C">
      <w:pPr>
        <w:pStyle w:val="Heading1"/>
      </w:pPr>
      <w:bookmarkStart w:id="2" w:name="_Toc104566430"/>
      <w:r>
        <w:t>Review of Policies</w:t>
      </w:r>
      <w:bookmarkEnd w:id="2"/>
    </w:p>
    <w:p w14:paraId="053B7093" w14:textId="0F2AFB8A" w:rsidR="00617379" w:rsidRPr="00E767D7" w:rsidRDefault="000A6EDE" w:rsidP="00617379">
      <w:pPr>
        <w:rPr>
          <w:i/>
          <w:iCs/>
        </w:rPr>
      </w:pPr>
      <w:r w:rsidRPr="00E767D7">
        <w:rPr>
          <w:i/>
          <w:iCs/>
        </w:rPr>
        <w:t xml:space="preserve">Section instructions: </w:t>
      </w:r>
      <w:r w:rsidR="0099291A" w:rsidRPr="00E767D7">
        <w:rPr>
          <w:i/>
          <w:iCs/>
        </w:rPr>
        <w:t>To effectively implement SB 743 ju</w:t>
      </w:r>
      <w:r w:rsidR="002F0104" w:rsidRPr="00E767D7">
        <w:rPr>
          <w:i/>
          <w:iCs/>
        </w:rPr>
        <w:t xml:space="preserve">risdiction staff should </w:t>
      </w:r>
      <w:r w:rsidR="0099291A" w:rsidRPr="00E767D7">
        <w:rPr>
          <w:i/>
          <w:iCs/>
        </w:rPr>
        <w:t xml:space="preserve">review existing </w:t>
      </w:r>
      <w:r w:rsidR="00D77C46" w:rsidRPr="00E767D7">
        <w:rPr>
          <w:i/>
          <w:iCs/>
        </w:rPr>
        <w:t xml:space="preserve">land development and transportation </w:t>
      </w:r>
      <w:r w:rsidR="0099291A" w:rsidRPr="00E767D7">
        <w:rPr>
          <w:i/>
          <w:iCs/>
        </w:rPr>
        <w:t>policies</w:t>
      </w:r>
      <w:r w:rsidR="002F0104" w:rsidRPr="00E767D7">
        <w:rPr>
          <w:i/>
          <w:iCs/>
        </w:rPr>
        <w:t xml:space="preserve">, plans, </w:t>
      </w:r>
      <w:r w:rsidR="0099291A" w:rsidRPr="00E767D7">
        <w:rPr>
          <w:i/>
          <w:iCs/>
        </w:rPr>
        <w:t>and processes</w:t>
      </w:r>
      <w:r w:rsidR="002F0104" w:rsidRPr="00E767D7">
        <w:rPr>
          <w:i/>
          <w:iCs/>
        </w:rPr>
        <w:t xml:space="preserve">. This review should identify policies that </w:t>
      </w:r>
      <w:r w:rsidR="00436B76" w:rsidRPr="00E767D7">
        <w:rPr>
          <w:i/>
          <w:iCs/>
        </w:rPr>
        <w:t xml:space="preserve">may </w:t>
      </w:r>
      <w:r w:rsidR="002F0104" w:rsidRPr="00E767D7">
        <w:rPr>
          <w:i/>
          <w:iCs/>
        </w:rPr>
        <w:t xml:space="preserve">need updates to align with SB 743 as well as where VMT-metrics and policies </w:t>
      </w:r>
      <w:r w:rsidR="00436B76" w:rsidRPr="00E767D7">
        <w:rPr>
          <w:i/>
          <w:iCs/>
        </w:rPr>
        <w:t xml:space="preserve">can </w:t>
      </w:r>
      <w:r w:rsidR="002F0104" w:rsidRPr="00E767D7">
        <w:rPr>
          <w:i/>
          <w:iCs/>
        </w:rPr>
        <w:t>enhance or support existing plans and programs.</w:t>
      </w:r>
    </w:p>
    <w:p w14:paraId="7E2B86A3" w14:textId="250A005A" w:rsidR="006C1C22" w:rsidRDefault="00436B76" w:rsidP="00617379">
      <w:pPr>
        <w:rPr>
          <w:i/>
          <w:iCs/>
        </w:rPr>
      </w:pPr>
      <w:r w:rsidRPr="00C73BC7">
        <w:rPr>
          <w:b/>
          <w:bCs/>
          <w:i/>
          <w:iCs/>
        </w:rPr>
        <w:t xml:space="preserve">Fill in the empty cells in </w:t>
      </w:r>
      <w:r w:rsidRPr="00C73BC7">
        <w:rPr>
          <w:b/>
          <w:bCs/>
          <w:i/>
          <w:iCs/>
        </w:rPr>
        <w:fldChar w:fldCharType="begin"/>
      </w:r>
      <w:r w:rsidRPr="00C73BC7">
        <w:rPr>
          <w:b/>
          <w:bCs/>
          <w:i/>
          <w:iCs/>
        </w:rPr>
        <w:instrText xml:space="preserve"> REF _Ref104551206 \h </w:instrText>
      </w:r>
      <w:r w:rsidR="00E76FB0" w:rsidRPr="00C73BC7">
        <w:rPr>
          <w:b/>
          <w:bCs/>
          <w:i/>
          <w:iCs/>
        </w:rPr>
        <w:instrText xml:space="preserve"> \* MERGEFORMAT </w:instrText>
      </w:r>
      <w:r w:rsidRPr="00C73BC7">
        <w:rPr>
          <w:b/>
          <w:bCs/>
          <w:i/>
          <w:iCs/>
        </w:rPr>
      </w:r>
      <w:r w:rsidRPr="00C73BC7">
        <w:rPr>
          <w:b/>
          <w:bCs/>
          <w:i/>
          <w:iCs/>
        </w:rPr>
        <w:fldChar w:fldCharType="separate"/>
      </w:r>
      <w:r w:rsidRPr="00C73BC7">
        <w:rPr>
          <w:b/>
          <w:bCs/>
          <w:i/>
          <w:iCs/>
        </w:rPr>
        <w:t xml:space="preserve">Table </w:t>
      </w:r>
      <w:r w:rsidRPr="00C73BC7">
        <w:rPr>
          <w:b/>
          <w:bCs/>
          <w:i/>
          <w:iCs/>
          <w:noProof/>
        </w:rPr>
        <w:t>1</w:t>
      </w:r>
      <w:r w:rsidRPr="00C73BC7">
        <w:rPr>
          <w:b/>
          <w:bCs/>
          <w:i/>
          <w:iCs/>
        </w:rPr>
        <w:fldChar w:fldCharType="end"/>
      </w:r>
      <w:r w:rsidR="00E76FB0" w:rsidRPr="00C73BC7">
        <w:rPr>
          <w:b/>
          <w:bCs/>
          <w:i/>
          <w:iCs/>
        </w:rPr>
        <w:t xml:space="preserve"> prior to Module 2</w:t>
      </w:r>
      <w:r w:rsidRPr="00E767D7">
        <w:rPr>
          <w:i/>
          <w:iCs/>
        </w:rPr>
        <w:t xml:space="preserve"> to</w:t>
      </w:r>
      <w:r w:rsidRPr="00E767D7">
        <w:rPr>
          <w:b/>
          <w:bCs/>
          <w:i/>
          <w:iCs/>
        </w:rPr>
        <w:t xml:space="preserve"> </w:t>
      </w:r>
      <w:r w:rsidRPr="00E767D7">
        <w:rPr>
          <w:i/>
          <w:iCs/>
        </w:rPr>
        <w:t>i</w:t>
      </w:r>
      <w:r w:rsidR="00481AEE" w:rsidRPr="00E767D7">
        <w:rPr>
          <w:i/>
          <w:iCs/>
        </w:rPr>
        <w:t>dentify and review</w:t>
      </w:r>
      <w:r w:rsidRPr="00E767D7">
        <w:rPr>
          <w:i/>
          <w:iCs/>
        </w:rPr>
        <w:t xml:space="preserve"> policies, plans, and processes for y</w:t>
      </w:r>
      <w:r w:rsidR="001B3BC5" w:rsidRPr="00E767D7">
        <w:rPr>
          <w:i/>
          <w:iCs/>
        </w:rPr>
        <w:t>our jurisdiction</w:t>
      </w:r>
      <w:r w:rsidRPr="00E767D7">
        <w:rPr>
          <w:i/>
          <w:iCs/>
        </w:rPr>
        <w:t>.</w:t>
      </w:r>
      <w:r w:rsidR="003A63D1" w:rsidRPr="00E767D7">
        <w:rPr>
          <w:i/>
          <w:iCs/>
        </w:rPr>
        <w:t xml:space="preserve"> Identifying existing </w:t>
      </w:r>
      <w:r w:rsidR="00D77C46" w:rsidRPr="00E767D7">
        <w:rPr>
          <w:i/>
          <w:iCs/>
        </w:rPr>
        <w:t xml:space="preserve">CEQA transportation </w:t>
      </w:r>
      <w:r w:rsidR="003A63D1" w:rsidRPr="00E767D7">
        <w:rPr>
          <w:i/>
          <w:iCs/>
        </w:rPr>
        <w:t>threshold</w:t>
      </w:r>
      <w:r w:rsidR="00D77C46" w:rsidRPr="00E767D7">
        <w:rPr>
          <w:i/>
          <w:iCs/>
        </w:rPr>
        <w:t>s</w:t>
      </w:r>
      <w:r w:rsidR="003A63D1" w:rsidRPr="00E767D7">
        <w:rPr>
          <w:i/>
          <w:iCs/>
        </w:rPr>
        <w:t xml:space="preserve"> is an essential</w:t>
      </w:r>
      <w:r w:rsidR="00D77C46" w:rsidRPr="00E767D7">
        <w:rPr>
          <w:i/>
          <w:iCs/>
        </w:rPr>
        <w:t xml:space="preserve"> step</w:t>
      </w:r>
      <w:r w:rsidR="003A63D1" w:rsidRPr="00E767D7">
        <w:rPr>
          <w:i/>
          <w:iCs/>
        </w:rPr>
        <w:t xml:space="preserve"> </w:t>
      </w:r>
      <w:r w:rsidR="004264BD" w:rsidRPr="00E767D7">
        <w:rPr>
          <w:i/>
          <w:iCs/>
        </w:rPr>
        <w:t>in</w:t>
      </w:r>
      <w:r w:rsidR="003A63D1" w:rsidRPr="00E767D7">
        <w:rPr>
          <w:i/>
          <w:iCs/>
        </w:rPr>
        <w:t xml:space="preserve"> </w:t>
      </w:r>
      <w:r w:rsidR="00D77C46" w:rsidRPr="00E767D7">
        <w:rPr>
          <w:i/>
          <w:iCs/>
        </w:rPr>
        <w:t xml:space="preserve">developing an approach </w:t>
      </w:r>
      <w:r w:rsidR="004264BD" w:rsidRPr="00E767D7">
        <w:rPr>
          <w:i/>
          <w:iCs/>
        </w:rPr>
        <w:t>setting new thresholds</w:t>
      </w:r>
      <w:r w:rsidR="003A63D1" w:rsidRPr="00E767D7">
        <w:rPr>
          <w:i/>
          <w:iCs/>
        </w:rPr>
        <w:t xml:space="preserve">. Holistically reviewing your jurisdiction’s transportation and land use development goals </w:t>
      </w:r>
      <w:r w:rsidR="004264BD" w:rsidRPr="00E767D7">
        <w:rPr>
          <w:i/>
          <w:iCs/>
        </w:rPr>
        <w:t>to</w:t>
      </w:r>
      <w:r w:rsidR="003A63D1" w:rsidRPr="00E767D7">
        <w:rPr>
          <w:i/>
          <w:iCs/>
        </w:rPr>
        <w:t xml:space="preserve"> provide context to help make the case for VMT thresholds, screens, and mitigatio</w:t>
      </w:r>
      <w:r w:rsidR="004264BD" w:rsidRPr="00E767D7">
        <w:rPr>
          <w:i/>
          <w:iCs/>
        </w:rPr>
        <w:t>ns</w:t>
      </w:r>
      <w:r w:rsidR="003A63D1" w:rsidRPr="00E767D7">
        <w:rPr>
          <w:i/>
          <w:iCs/>
        </w:rPr>
        <w:t>.</w:t>
      </w:r>
    </w:p>
    <w:p w14:paraId="0BBC5557" w14:textId="77777777" w:rsidR="00591347" w:rsidRDefault="00591347" w:rsidP="00617379">
      <w:pPr>
        <w:rPr>
          <w:i/>
          <w:iCs/>
        </w:rPr>
      </w:pPr>
    </w:p>
    <w:p w14:paraId="31E47930" w14:textId="77777777" w:rsidR="00591347" w:rsidRDefault="00591347" w:rsidP="00617379">
      <w:pPr>
        <w:rPr>
          <w:i/>
          <w:iCs/>
        </w:rPr>
      </w:pPr>
    </w:p>
    <w:p w14:paraId="578CF59C" w14:textId="5E527514" w:rsidR="00481AEE" w:rsidRDefault="006C1C22" w:rsidP="006C1C22">
      <w:pPr>
        <w:pStyle w:val="Caption"/>
      </w:pPr>
      <w:bookmarkStart w:id="3" w:name="_Ref104551206"/>
      <w:bookmarkStart w:id="4" w:name="_Toc104555230"/>
      <w:r>
        <w:t xml:space="preserve">Table </w:t>
      </w:r>
      <w:r>
        <w:fldChar w:fldCharType="begin"/>
      </w:r>
      <w:r>
        <w:instrText>SEQ Table \* ARABIC</w:instrText>
      </w:r>
      <w:r>
        <w:fldChar w:fldCharType="separate"/>
      </w:r>
      <w:r w:rsidR="00AB6D00">
        <w:rPr>
          <w:noProof/>
        </w:rPr>
        <w:t>1</w:t>
      </w:r>
      <w:r>
        <w:fldChar w:fldCharType="end"/>
      </w:r>
      <w:bookmarkEnd w:id="3"/>
      <w:r>
        <w:t xml:space="preserve"> </w:t>
      </w:r>
      <w:r>
        <w:tab/>
        <w:t>Local Transportation Policies</w:t>
      </w:r>
      <w:bookmarkEnd w:id="4"/>
    </w:p>
    <w:tbl>
      <w:tblPr>
        <w:tblStyle w:val="GridTable4-Accent1"/>
        <w:tblW w:w="0" w:type="auto"/>
        <w:tblCellMar>
          <w:top w:w="58" w:type="dxa"/>
          <w:bottom w:w="58" w:type="dxa"/>
        </w:tblCellMar>
        <w:tblLook w:val="04A0" w:firstRow="1" w:lastRow="0" w:firstColumn="1" w:lastColumn="0" w:noHBand="0" w:noVBand="1"/>
      </w:tblPr>
      <w:tblGrid>
        <w:gridCol w:w="1702"/>
        <w:gridCol w:w="2970"/>
        <w:gridCol w:w="2336"/>
        <w:gridCol w:w="2336"/>
      </w:tblGrid>
      <w:tr w:rsidR="00481AEE" w14:paraId="05918B2E" w14:textId="77777777" w:rsidTr="0088729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57BC83E3" w14:textId="372C79DE" w:rsidR="00481AEE" w:rsidRPr="00481AEE" w:rsidRDefault="00481AEE" w:rsidP="00481AEE">
            <w:pPr>
              <w:pStyle w:val="TableHeader"/>
              <w:rPr>
                <w:b/>
                <w:bCs w:val="0"/>
              </w:rPr>
            </w:pPr>
            <w:r w:rsidRPr="00481AEE">
              <w:rPr>
                <w:b/>
                <w:bCs w:val="0"/>
              </w:rPr>
              <w:t>Area of Research</w:t>
            </w:r>
          </w:p>
        </w:tc>
        <w:tc>
          <w:tcPr>
            <w:tcW w:w="297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761C7141" w14:textId="53D9EE75" w:rsidR="00481AEE" w:rsidRPr="00481AEE" w:rsidRDefault="003A63D1" w:rsidP="00481AEE">
            <w:pPr>
              <w:pStyle w:val="TableHeader"/>
              <w:cnfStyle w:val="100000000000" w:firstRow="1" w:lastRow="0" w:firstColumn="0" w:lastColumn="0" w:oddVBand="0" w:evenVBand="0" w:oddHBand="0" w:evenHBand="0" w:firstRowFirstColumn="0" w:firstRowLastColumn="0" w:lastRowFirstColumn="0" w:lastRowLastColumn="0"/>
              <w:rPr>
                <w:b/>
                <w:bCs w:val="0"/>
              </w:rPr>
            </w:pPr>
            <w:r>
              <w:rPr>
                <w:b/>
                <w:bCs w:val="0"/>
              </w:rPr>
              <w:t>Research Questions</w:t>
            </w:r>
          </w:p>
        </w:tc>
        <w:tc>
          <w:tcPr>
            <w:tcW w:w="23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3C31C9FE" w14:textId="1640C50C" w:rsidR="00481AEE" w:rsidRPr="00481AEE" w:rsidRDefault="00436B76" w:rsidP="0515274A">
            <w:pPr>
              <w:pStyle w:val="TableHeader"/>
              <w:cnfStyle w:val="100000000000" w:firstRow="1" w:lastRow="0" w:firstColumn="0" w:lastColumn="0" w:oddVBand="0" w:evenVBand="0" w:oddHBand="0" w:evenHBand="0" w:firstRowFirstColumn="0" w:firstRowLastColumn="0" w:lastRowFirstColumn="0" w:lastRowLastColumn="0"/>
              <w:rPr>
                <w:b/>
              </w:rPr>
            </w:pPr>
            <w:r w:rsidRPr="0515274A">
              <w:rPr>
                <w:b/>
              </w:rPr>
              <w:t>Key Findings</w:t>
            </w:r>
          </w:p>
        </w:tc>
        <w:tc>
          <w:tcPr>
            <w:tcW w:w="23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5D1EE705" w14:textId="36B898C2" w:rsidR="00481AEE" w:rsidRPr="00481AEE" w:rsidRDefault="00481AEE" w:rsidP="00481AEE">
            <w:pPr>
              <w:pStyle w:val="TableHeader"/>
              <w:cnfStyle w:val="100000000000" w:firstRow="1" w:lastRow="0" w:firstColumn="0" w:lastColumn="0" w:oddVBand="0" w:evenVBand="0" w:oddHBand="0" w:evenHBand="0" w:firstRowFirstColumn="0" w:firstRowLastColumn="0" w:lastRowFirstColumn="0" w:lastRowLastColumn="0"/>
              <w:rPr>
                <w:b/>
                <w:bCs w:val="0"/>
              </w:rPr>
            </w:pPr>
            <w:r>
              <w:rPr>
                <w:b/>
                <w:bCs w:val="0"/>
              </w:rPr>
              <w:t>Notes</w:t>
            </w:r>
          </w:p>
        </w:tc>
      </w:tr>
      <w:tr w:rsidR="00481AEE" w14:paraId="4F6FE18C" w14:textId="77777777" w:rsidTr="008872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2" w:type="dxa"/>
            <w:tcBorders>
              <w:top w:val="single" w:sz="6" w:space="0" w:color="FFFFFF" w:themeColor="background1"/>
            </w:tcBorders>
            <w:vAlign w:val="center"/>
          </w:tcPr>
          <w:p w14:paraId="3B950774" w14:textId="33C329D3" w:rsidR="00481AEE" w:rsidRPr="00436B76" w:rsidRDefault="00481AEE" w:rsidP="00481AEE">
            <w:pPr>
              <w:pStyle w:val="Table"/>
              <w:rPr>
                <w:b w:val="0"/>
              </w:rPr>
            </w:pPr>
            <w:r w:rsidRPr="00436B76">
              <w:rPr>
                <w:b w:val="0"/>
              </w:rPr>
              <w:t>CEQA transportation thresholds or LOS goals</w:t>
            </w:r>
          </w:p>
        </w:tc>
        <w:tc>
          <w:tcPr>
            <w:tcW w:w="2970" w:type="dxa"/>
            <w:tcBorders>
              <w:top w:val="single" w:sz="6" w:space="0" w:color="FFFFFF" w:themeColor="background1"/>
            </w:tcBorders>
            <w:vAlign w:val="center"/>
          </w:tcPr>
          <w:p w14:paraId="4B9D334D" w14:textId="30B549A5" w:rsidR="00FF25A2" w:rsidRDefault="00436B76" w:rsidP="00481AEE">
            <w:pPr>
              <w:pStyle w:val="Table"/>
              <w:cnfStyle w:val="000000100000" w:firstRow="0" w:lastRow="0" w:firstColumn="0" w:lastColumn="0" w:oddVBand="0" w:evenVBand="0" w:oddHBand="1" w:evenHBand="0" w:firstRowFirstColumn="0" w:firstRowLastColumn="0" w:lastRowFirstColumn="0" w:lastRowLastColumn="0"/>
            </w:pPr>
            <w:r>
              <w:t xml:space="preserve">Most jurisdictions have a threshold or LOS goal in their general plan. </w:t>
            </w:r>
            <w:r w:rsidR="00FF25A2">
              <w:t xml:space="preserve">Thresholds may also be documented in ordinances or set at the department level. </w:t>
            </w:r>
          </w:p>
          <w:p w14:paraId="5F4BB944" w14:textId="29031200" w:rsidR="00481AEE" w:rsidRPr="00481AEE" w:rsidRDefault="00436B76" w:rsidP="00481AEE">
            <w:pPr>
              <w:pStyle w:val="Table"/>
              <w:cnfStyle w:val="000000100000" w:firstRow="0" w:lastRow="0" w:firstColumn="0" w:lastColumn="0" w:oddVBand="0" w:evenVBand="0" w:oddHBand="1" w:evenHBand="0" w:firstRowFirstColumn="0" w:firstRowLastColumn="0" w:lastRowFirstColumn="0" w:lastRowLastColumn="0"/>
            </w:pPr>
            <w:r>
              <w:t>Review your General Plan for transportation goals and policies that may conflict with VMT-based analysis as well as</w:t>
            </w:r>
            <w:r w:rsidR="00FF25A2">
              <w:t xml:space="preserve"> ones that will be easier to implement </w:t>
            </w:r>
            <w:r w:rsidR="004264BD">
              <w:t xml:space="preserve">with new </w:t>
            </w:r>
            <w:r w:rsidR="00C34ECB">
              <w:t>thresholds</w:t>
            </w:r>
            <w:r w:rsidR="00FF25A2">
              <w:t>.</w:t>
            </w:r>
          </w:p>
        </w:tc>
        <w:tc>
          <w:tcPr>
            <w:tcW w:w="2336" w:type="dxa"/>
            <w:tcBorders>
              <w:top w:val="single" w:sz="6" w:space="0" w:color="FFFFFF" w:themeColor="background1"/>
            </w:tcBorders>
            <w:vAlign w:val="center"/>
          </w:tcPr>
          <w:p w14:paraId="770F5485" w14:textId="77777777" w:rsidR="00481AEE" w:rsidRPr="00481AEE" w:rsidRDefault="00481AEE" w:rsidP="00481AEE">
            <w:pPr>
              <w:pStyle w:val="Table"/>
              <w:cnfStyle w:val="000000100000" w:firstRow="0" w:lastRow="0" w:firstColumn="0" w:lastColumn="0" w:oddVBand="0" w:evenVBand="0" w:oddHBand="1" w:evenHBand="0" w:firstRowFirstColumn="0" w:firstRowLastColumn="0" w:lastRowFirstColumn="0" w:lastRowLastColumn="0"/>
            </w:pPr>
          </w:p>
        </w:tc>
        <w:tc>
          <w:tcPr>
            <w:tcW w:w="2336" w:type="dxa"/>
            <w:tcBorders>
              <w:top w:val="single" w:sz="6" w:space="0" w:color="FFFFFF" w:themeColor="background1"/>
            </w:tcBorders>
            <w:vAlign w:val="center"/>
          </w:tcPr>
          <w:p w14:paraId="222A64F5" w14:textId="618F670A" w:rsidR="00481AEE" w:rsidRPr="00481AEE" w:rsidRDefault="00481AEE" w:rsidP="00481AEE">
            <w:pPr>
              <w:pStyle w:val="Table"/>
              <w:cnfStyle w:val="000000100000" w:firstRow="0" w:lastRow="0" w:firstColumn="0" w:lastColumn="0" w:oddVBand="0" w:evenVBand="0" w:oddHBand="1" w:evenHBand="0" w:firstRowFirstColumn="0" w:firstRowLastColumn="0" w:lastRowFirstColumn="0" w:lastRowLastColumn="0"/>
            </w:pPr>
          </w:p>
        </w:tc>
      </w:tr>
      <w:tr w:rsidR="00436B76" w14:paraId="658FE3A6" w14:textId="77777777" w:rsidTr="00887292">
        <w:trPr>
          <w:cantSplit/>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6A495D23" w14:textId="07FED389" w:rsidR="00436B76" w:rsidRPr="00436B76" w:rsidRDefault="00436B76" w:rsidP="00481AEE">
            <w:pPr>
              <w:pStyle w:val="Table"/>
              <w:rPr>
                <w:b w:val="0"/>
              </w:rPr>
            </w:pPr>
            <w:r w:rsidRPr="00436B76">
              <w:rPr>
                <w:b w:val="0"/>
              </w:rPr>
              <w:t>Transportation Plans</w:t>
            </w:r>
          </w:p>
        </w:tc>
        <w:tc>
          <w:tcPr>
            <w:tcW w:w="2970" w:type="dxa"/>
            <w:vAlign w:val="center"/>
          </w:tcPr>
          <w:p w14:paraId="1B86F94F" w14:textId="302F8B2A" w:rsidR="00436B76" w:rsidRPr="00481AEE" w:rsidRDefault="009A5E34" w:rsidP="00481AEE">
            <w:pPr>
              <w:pStyle w:val="Table"/>
              <w:cnfStyle w:val="000000000000" w:firstRow="0" w:lastRow="0" w:firstColumn="0" w:lastColumn="0" w:oddVBand="0" w:evenVBand="0" w:oddHBand="0" w:evenHBand="0" w:firstRowFirstColumn="0" w:firstRowLastColumn="0" w:lastRowFirstColumn="0" w:lastRowLastColumn="0"/>
            </w:pPr>
            <w:r w:rsidRPr="009A5E34">
              <w:t>Some types of plans can reinforce or be supported by VMT policies. Identify whether your jurisdiction has a Climate Action Plan, Active Transportation Plan, or other local plan that might support, or be supported by, a VMT policy</w:t>
            </w:r>
          </w:p>
        </w:tc>
        <w:tc>
          <w:tcPr>
            <w:tcW w:w="2336" w:type="dxa"/>
            <w:vAlign w:val="center"/>
          </w:tcPr>
          <w:p w14:paraId="24170D43" w14:textId="77777777" w:rsidR="00436B76" w:rsidRPr="00481AEE" w:rsidRDefault="00436B76" w:rsidP="00481AEE">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23649AB5" w14:textId="77777777" w:rsidR="00436B76" w:rsidRPr="00481AEE" w:rsidRDefault="00436B76" w:rsidP="00481AEE">
            <w:pPr>
              <w:pStyle w:val="Table"/>
              <w:cnfStyle w:val="000000000000" w:firstRow="0" w:lastRow="0" w:firstColumn="0" w:lastColumn="0" w:oddVBand="0" w:evenVBand="0" w:oddHBand="0" w:evenHBand="0" w:firstRowFirstColumn="0" w:firstRowLastColumn="0" w:lastRowFirstColumn="0" w:lastRowLastColumn="0"/>
            </w:pPr>
          </w:p>
        </w:tc>
      </w:tr>
      <w:tr w:rsidR="00481AEE" w14:paraId="7B942610" w14:textId="77777777" w:rsidTr="008872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3459BA6A" w14:textId="24DD6FF2" w:rsidR="00481AEE" w:rsidRPr="00481AEE" w:rsidRDefault="00481AEE" w:rsidP="00481AEE">
            <w:pPr>
              <w:pStyle w:val="Table"/>
              <w:rPr>
                <w:b w:val="0"/>
                <w:bCs/>
              </w:rPr>
            </w:pPr>
            <w:r w:rsidRPr="00481AEE">
              <w:rPr>
                <w:b w:val="0"/>
                <w:bCs/>
              </w:rPr>
              <w:t>Transportation Demand Management (TDM)</w:t>
            </w:r>
          </w:p>
        </w:tc>
        <w:tc>
          <w:tcPr>
            <w:tcW w:w="2970" w:type="dxa"/>
            <w:vAlign w:val="center"/>
          </w:tcPr>
          <w:p w14:paraId="71514C65" w14:textId="37579648" w:rsidR="00481AEE" w:rsidRPr="00481AEE" w:rsidRDefault="00C34ECB" w:rsidP="00481AEE">
            <w:pPr>
              <w:pStyle w:val="Table"/>
              <w:cnfStyle w:val="000000100000" w:firstRow="0" w:lastRow="0" w:firstColumn="0" w:lastColumn="0" w:oddVBand="0" w:evenVBand="0" w:oddHBand="1" w:evenHBand="0" w:firstRowFirstColumn="0" w:firstRowLastColumn="0" w:lastRowFirstColumn="0" w:lastRowLastColumn="0"/>
            </w:pPr>
            <w:r>
              <w:t xml:space="preserve">TDM is a key tool for mitigation VMT impacts. </w:t>
            </w:r>
            <w:r w:rsidR="003A63D1">
              <w:t xml:space="preserve">Does your jurisdiction have a TDM ordinance or program? Are </w:t>
            </w:r>
            <w:r>
              <w:t>there</w:t>
            </w:r>
            <w:r w:rsidR="003A63D1">
              <w:t xml:space="preserve"> county or other </w:t>
            </w:r>
            <w:r>
              <w:t xml:space="preserve">potential </w:t>
            </w:r>
            <w:r w:rsidR="003A63D1">
              <w:t>TDM partnership</w:t>
            </w:r>
            <w:r>
              <w:t>s</w:t>
            </w:r>
            <w:r w:rsidR="003A63D1">
              <w:t xml:space="preserve">? </w:t>
            </w:r>
            <w:r>
              <w:t>What might be needed to manage TDM for land use development?</w:t>
            </w:r>
          </w:p>
        </w:tc>
        <w:tc>
          <w:tcPr>
            <w:tcW w:w="2336" w:type="dxa"/>
            <w:vAlign w:val="center"/>
          </w:tcPr>
          <w:p w14:paraId="56ECC15E" w14:textId="77777777" w:rsidR="00481AEE" w:rsidRPr="00481AEE" w:rsidRDefault="00481AEE" w:rsidP="00481AEE">
            <w:pPr>
              <w:pStyle w:val="Table"/>
              <w:cnfStyle w:val="000000100000" w:firstRow="0" w:lastRow="0" w:firstColumn="0" w:lastColumn="0" w:oddVBand="0" w:evenVBand="0" w:oddHBand="1" w:evenHBand="0" w:firstRowFirstColumn="0" w:firstRowLastColumn="0" w:lastRowFirstColumn="0" w:lastRowLastColumn="0"/>
            </w:pPr>
          </w:p>
        </w:tc>
        <w:tc>
          <w:tcPr>
            <w:tcW w:w="2336" w:type="dxa"/>
            <w:vAlign w:val="center"/>
          </w:tcPr>
          <w:p w14:paraId="53C30498" w14:textId="77777777" w:rsidR="00481AEE" w:rsidRPr="00481AEE" w:rsidRDefault="00481AEE" w:rsidP="00481AEE">
            <w:pPr>
              <w:pStyle w:val="Table"/>
              <w:cnfStyle w:val="000000100000" w:firstRow="0" w:lastRow="0" w:firstColumn="0" w:lastColumn="0" w:oddVBand="0" w:evenVBand="0" w:oddHBand="1" w:evenHBand="0" w:firstRowFirstColumn="0" w:firstRowLastColumn="0" w:lastRowFirstColumn="0" w:lastRowLastColumn="0"/>
            </w:pPr>
          </w:p>
        </w:tc>
      </w:tr>
      <w:tr w:rsidR="00481AEE" w14:paraId="485F65B1" w14:textId="77777777" w:rsidTr="00887292">
        <w:trPr>
          <w:cantSplit/>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7D8534C3" w14:textId="36E7DB72" w:rsidR="00481AEE" w:rsidRPr="00481AEE" w:rsidRDefault="00481AEE" w:rsidP="00481AEE">
            <w:pPr>
              <w:pStyle w:val="Table"/>
              <w:rPr>
                <w:b w:val="0"/>
                <w:bCs/>
              </w:rPr>
            </w:pPr>
            <w:r w:rsidRPr="00481AEE">
              <w:rPr>
                <w:b w:val="0"/>
                <w:bCs/>
              </w:rPr>
              <w:t>Parking requirements</w:t>
            </w:r>
          </w:p>
        </w:tc>
        <w:tc>
          <w:tcPr>
            <w:tcW w:w="2970" w:type="dxa"/>
            <w:vAlign w:val="center"/>
          </w:tcPr>
          <w:p w14:paraId="7A460DE7" w14:textId="5EFE3C28" w:rsidR="00481AEE" w:rsidRPr="00481AEE" w:rsidRDefault="005570F4" w:rsidP="00481AEE">
            <w:pPr>
              <w:pStyle w:val="Table"/>
              <w:cnfStyle w:val="000000000000" w:firstRow="0" w:lastRow="0" w:firstColumn="0" w:lastColumn="0" w:oddVBand="0" w:evenVBand="0" w:oddHBand="0" w:evenHBand="0" w:firstRowFirstColumn="0" w:firstRowLastColumn="0" w:lastRowFirstColumn="0" w:lastRowLastColumn="0"/>
            </w:pPr>
            <w:r>
              <w:t xml:space="preserve">VMT-based screens and some mitigations can incentive building less parking. </w:t>
            </w:r>
            <w:r w:rsidR="00EB17AB">
              <w:t xml:space="preserve">What kind of off-street minimum or maximum parking requirements does your jurisdiction have? </w:t>
            </w:r>
            <w:r w:rsidR="0036753E">
              <w:t xml:space="preserve">Do they vary by district? </w:t>
            </w:r>
            <w:r w:rsidR="003A63D1">
              <w:t xml:space="preserve">Is there flexibility such as near transit or with TDM? </w:t>
            </w:r>
            <w:r w:rsidR="00EB17AB">
              <w:t>Is parking management required or encouraged such as shared parking, unbundled parking, or paid parking?</w:t>
            </w:r>
            <w:r w:rsidR="0036753E">
              <w:t xml:space="preserve"> Screens can be used to incentivize building less parking in low-VMT areas.</w:t>
            </w:r>
          </w:p>
        </w:tc>
        <w:tc>
          <w:tcPr>
            <w:tcW w:w="2336" w:type="dxa"/>
            <w:vAlign w:val="center"/>
          </w:tcPr>
          <w:p w14:paraId="6C905ADD" w14:textId="77777777" w:rsidR="00481AEE" w:rsidRPr="00481AEE" w:rsidRDefault="00481AEE" w:rsidP="00481AEE">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78FACB8A" w14:textId="77777777" w:rsidR="00481AEE" w:rsidRPr="00481AEE" w:rsidRDefault="00481AEE" w:rsidP="00481AEE">
            <w:pPr>
              <w:pStyle w:val="Table"/>
              <w:cnfStyle w:val="000000000000" w:firstRow="0" w:lastRow="0" w:firstColumn="0" w:lastColumn="0" w:oddVBand="0" w:evenVBand="0" w:oddHBand="0" w:evenHBand="0" w:firstRowFirstColumn="0" w:firstRowLastColumn="0" w:lastRowFirstColumn="0" w:lastRowLastColumn="0"/>
            </w:pPr>
          </w:p>
        </w:tc>
      </w:tr>
      <w:tr w:rsidR="00BA4BA9" w14:paraId="2DA92DC4" w14:textId="77777777" w:rsidTr="00887292">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163998D0" w14:textId="01F14A86" w:rsidR="00BA4BA9" w:rsidRPr="00E767D7" w:rsidRDefault="00BA4BA9" w:rsidP="00E01E22">
            <w:pPr>
              <w:pStyle w:val="Table"/>
              <w:rPr>
                <w:b w:val="0"/>
                <w:bCs/>
              </w:rPr>
            </w:pPr>
            <w:r w:rsidRPr="00BA4BA9">
              <w:lastRenderedPageBreak/>
              <w:t>Housing Element</w:t>
            </w:r>
          </w:p>
        </w:tc>
        <w:tc>
          <w:tcPr>
            <w:tcW w:w="2970" w:type="dxa"/>
            <w:vAlign w:val="center"/>
          </w:tcPr>
          <w:p w14:paraId="3AA810BF" w14:textId="64F61998" w:rsidR="00BA4BA9" w:rsidRDefault="00BA4BA9" w:rsidP="00E01E22">
            <w:pPr>
              <w:pStyle w:val="Table"/>
              <w:cnfStyle w:val="000000100000" w:firstRow="0" w:lastRow="0" w:firstColumn="0" w:lastColumn="0" w:oddVBand="0" w:evenVBand="0" w:oddHBand="1" w:evenHBand="0" w:firstRowFirstColumn="0" w:firstRowLastColumn="0" w:lastRowFirstColumn="0" w:lastRowLastColumn="0"/>
            </w:pPr>
            <w:r>
              <w:t>Review where your jurisdiction has identified for new housing and how VMT screens and thresholds may make that easier or more challenging.</w:t>
            </w:r>
          </w:p>
        </w:tc>
        <w:tc>
          <w:tcPr>
            <w:tcW w:w="2336" w:type="dxa"/>
            <w:vAlign w:val="center"/>
          </w:tcPr>
          <w:p w14:paraId="5C97372B" w14:textId="77777777" w:rsidR="00BA4BA9" w:rsidRPr="00481AEE" w:rsidRDefault="00BA4BA9" w:rsidP="00E01E22">
            <w:pPr>
              <w:pStyle w:val="Table"/>
              <w:cnfStyle w:val="000000100000" w:firstRow="0" w:lastRow="0" w:firstColumn="0" w:lastColumn="0" w:oddVBand="0" w:evenVBand="0" w:oddHBand="1" w:evenHBand="0" w:firstRowFirstColumn="0" w:firstRowLastColumn="0" w:lastRowFirstColumn="0" w:lastRowLastColumn="0"/>
            </w:pPr>
          </w:p>
        </w:tc>
        <w:tc>
          <w:tcPr>
            <w:tcW w:w="2336" w:type="dxa"/>
            <w:vAlign w:val="center"/>
          </w:tcPr>
          <w:p w14:paraId="302C46E9" w14:textId="77777777" w:rsidR="00BA4BA9" w:rsidRPr="00481AEE" w:rsidRDefault="00BA4BA9" w:rsidP="00E01E22">
            <w:pPr>
              <w:pStyle w:val="Table"/>
              <w:cnfStyle w:val="000000100000" w:firstRow="0" w:lastRow="0" w:firstColumn="0" w:lastColumn="0" w:oddVBand="0" w:evenVBand="0" w:oddHBand="1" w:evenHBand="0" w:firstRowFirstColumn="0" w:firstRowLastColumn="0" w:lastRowFirstColumn="0" w:lastRowLastColumn="0"/>
            </w:pPr>
          </w:p>
        </w:tc>
      </w:tr>
      <w:tr w:rsidR="00E01E22" w14:paraId="0ACB3C26" w14:textId="77777777" w:rsidTr="00887292">
        <w:trPr>
          <w:cantSplit/>
        </w:trPr>
        <w:tc>
          <w:tcPr>
            <w:cnfStyle w:val="001000000000" w:firstRow="0" w:lastRow="0" w:firstColumn="1" w:lastColumn="0" w:oddVBand="0" w:evenVBand="0" w:oddHBand="0" w:evenHBand="0" w:firstRowFirstColumn="0" w:firstRowLastColumn="0" w:lastRowFirstColumn="0" w:lastRowLastColumn="0"/>
            <w:tcW w:w="1702" w:type="dxa"/>
            <w:vAlign w:val="center"/>
          </w:tcPr>
          <w:p w14:paraId="0E5CF59B" w14:textId="22F0ABA3" w:rsidR="00E01E22" w:rsidRPr="00481AEE" w:rsidRDefault="00E01E22" w:rsidP="00E01E22">
            <w:pPr>
              <w:pStyle w:val="Table"/>
            </w:pPr>
            <w:r w:rsidRPr="00481AEE">
              <w:rPr>
                <w:b w:val="0"/>
                <w:bCs/>
              </w:rPr>
              <w:t>Impact fees</w:t>
            </w:r>
          </w:p>
        </w:tc>
        <w:tc>
          <w:tcPr>
            <w:tcW w:w="2970" w:type="dxa"/>
            <w:vAlign w:val="center"/>
          </w:tcPr>
          <w:p w14:paraId="1F46FA1A" w14:textId="57EBB607" w:rsidR="00E01E22" w:rsidRPr="00481AEE" w:rsidRDefault="00E01E22" w:rsidP="00E01E22">
            <w:pPr>
              <w:pStyle w:val="Table"/>
              <w:cnfStyle w:val="000000000000" w:firstRow="0" w:lastRow="0" w:firstColumn="0" w:lastColumn="0" w:oddVBand="0" w:evenVBand="0" w:oddHBand="0" w:evenHBand="0" w:firstRowFirstColumn="0" w:firstRowLastColumn="0" w:lastRowFirstColumn="0" w:lastRowLastColumn="0"/>
            </w:pPr>
            <w:r>
              <w:t>Review existing impact fees to see what is charged to new development and if the projects funded support reducing VMT or may induce more VMT.</w:t>
            </w:r>
          </w:p>
        </w:tc>
        <w:tc>
          <w:tcPr>
            <w:tcW w:w="2336" w:type="dxa"/>
            <w:vAlign w:val="center"/>
          </w:tcPr>
          <w:p w14:paraId="00F5732B" w14:textId="77777777" w:rsidR="00E01E22" w:rsidRPr="00481AEE" w:rsidRDefault="00E01E22" w:rsidP="00E01E22">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634FE32E" w14:textId="77777777" w:rsidR="00E01E22" w:rsidRPr="00481AEE" w:rsidRDefault="00E01E22" w:rsidP="00E01E22">
            <w:pPr>
              <w:pStyle w:val="Table"/>
              <w:cnfStyle w:val="000000000000" w:firstRow="0" w:lastRow="0" w:firstColumn="0" w:lastColumn="0" w:oddVBand="0" w:evenVBand="0" w:oddHBand="0" w:evenHBand="0" w:firstRowFirstColumn="0" w:firstRowLastColumn="0" w:lastRowFirstColumn="0" w:lastRowLastColumn="0"/>
            </w:pPr>
          </w:p>
        </w:tc>
      </w:tr>
    </w:tbl>
    <w:p w14:paraId="42FA8B3B" w14:textId="77777777" w:rsidR="003A63D1" w:rsidRDefault="003A63D1" w:rsidP="001B3BC5"/>
    <w:p w14:paraId="47490334" w14:textId="1843A596" w:rsidR="009D322A" w:rsidRDefault="009D322A" w:rsidP="009D322A">
      <w:pPr>
        <w:pStyle w:val="Heading5"/>
      </w:pPr>
      <w:r>
        <w:t>Questions</w:t>
      </w:r>
    </w:p>
    <w:p w14:paraId="742B5AF2" w14:textId="1F74AFEE" w:rsidR="009D322A" w:rsidRPr="00C73BC7" w:rsidRDefault="009D322A" w:rsidP="009D322A">
      <w:pPr>
        <w:rPr>
          <w:i/>
          <w:iCs/>
        </w:rPr>
      </w:pPr>
      <w:r w:rsidRPr="00C73BC7">
        <w:rPr>
          <w:i/>
          <w:iCs/>
        </w:rPr>
        <w:t xml:space="preserve">Use this space to note any questions </w:t>
      </w:r>
      <w:r w:rsidR="00B77F73" w:rsidRPr="00C73BC7">
        <w:rPr>
          <w:i/>
          <w:iCs/>
        </w:rPr>
        <w:t xml:space="preserve">you or internal stakeholders have </w:t>
      </w:r>
      <w:r w:rsidRPr="00C73BC7">
        <w:rPr>
          <w:i/>
          <w:iCs/>
        </w:rPr>
        <w:t>for Technical Assistance consultants:</w:t>
      </w:r>
    </w:p>
    <w:p w14:paraId="66B48B85" w14:textId="37596BA5" w:rsidR="009D322A" w:rsidRDefault="009D322A" w:rsidP="009D322A">
      <w:pPr>
        <w:pStyle w:val="ListParagraph"/>
        <w:numPr>
          <w:ilvl w:val="0"/>
          <w:numId w:val="5"/>
        </w:numPr>
      </w:pPr>
    </w:p>
    <w:p w14:paraId="31FD4C2C" w14:textId="5D6003EE" w:rsidR="003A63D1" w:rsidRDefault="003A63D1" w:rsidP="009D322A"/>
    <w:p w14:paraId="4A5B6EC5" w14:textId="77777777" w:rsidR="004264BD" w:rsidRDefault="004264BD" w:rsidP="009D322A"/>
    <w:p w14:paraId="1A4EEF3C" w14:textId="3683D084" w:rsidR="001B3BC5" w:rsidRDefault="001B3BC5" w:rsidP="001B3BC5">
      <w:pPr>
        <w:pStyle w:val="Heading1"/>
      </w:pPr>
      <w:bookmarkStart w:id="5" w:name="_Toc104566431"/>
      <w:r>
        <w:t>Engagement Needs</w:t>
      </w:r>
      <w:bookmarkEnd w:id="5"/>
    </w:p>
    <w:p w14:paraId="5641F025" w14:textId="5E80F7CA" w:rsidR="002917D7" w:rsidRPr="00E767D7" w:rsidRDefault="00E767D7" w:rsidP="002917D7">
      <w:pPr>
        <w:rPr>
          <w:i/>
          <w:iCs/>
        </w:rPr>
      </w:pPr>
      <w:r w:rsidRPr="00E767D7">
        <w:rPr>
          <w:i/>
          <w:iCs/>
        </w:rPr>
        <w:t xml:space="preserve">Section instructions: </w:t>
      </w:r>
      <w:r w:rsidR="005570F4" w:rsidRPr="00E767D7">
        <w:rPr>
          <w:i/>
          <w:iCs/>
        </w:rPr>
        <w:t>Jurisdiction</w:t>
      </w:r>
      <w:r w:rsidR="002917D7" w:rsidRPr="00E767D7">
        <w:rPr>
          <w:i/>
          <w:iCs/>
        </w:rPr>
        <w:t xml:space="preserve"> staff,</w:t>
      </w:r>
      <w:r w:rsidR="005570F4" w:rsidRPr="00E767D7">
        <w:rPr>
          <w:i/>
          <w:iCs/>
        </w:rPr>
        <w:t xml:space="preserve"> e</w:t>
      </w:r>
      <w:r w:rsidR="002917D7" w:rsidRPr="00E767D7">
        <w:rPr>
          <w:i/>
          <w:iCs/>
        </w:rPr>
        <w:t>lected officials</w:t>
      </w:r>
      <w:r w:rsidR="005570F4" w:rsidRPr="00E767D7">
        <w:rPr>
          <w:i/>
          <w:iCs/>
        </w:rPr>
        <w:t>, and the public</w:t>
      </w:r>
      <w:r w:rsidR="002917D7" w:rsidRPr="00E767D7">
        <w:rPr>
          <w:i/>
          <w:iCs/>
        </w:rPr>
        <w:t xml:space="preserve"> will need to understand why VMT per capita is replacing LOS as the required transportation analysis metric for environmental impact review. </w:t>
      </w:r>
      <w:r w:rsidR="006F2C10" w:rsidRPr="00E767D7">
        <w:rPr>
          <w:i/>
          <w:iCs/>
        </w:rPr>
        <w:t xml:space="preserve">This Technical Assistance will provide draft education materials for you to adapt to your jurisdiction that </w:t>
      </w:r>
      <w:r w:rsidR="002917D7" w:rsidRPr="00E767D7">
        <w:rPr>
          <w:i/>
          <w:iCs/>
        </w:rPr>
        <w:t xml:space="preserve">explain the reasoning behind VMT and the benefits of the change. Educational materials and other outreach efforts should clearly communicate how VMT-reducing mitigations will support overall traffic mitigation and address concerns about impacts from new development, to </w:t>
      </w:r>
      <w:r w:rsidR="005570F4" w:rsidRPr="00E767D7">
        <w:rPr>
          <w:i/>
          <w:iCs/>
        </w:rPr>
        <w:t>build</w:t>
      </w:r>
      <w:r w:rsidR="002917D7" w:rsidRPr="00E767D7">
        <w:rPr>
          <w:i/>
          <w:iCs/>
        </w:rPr>
        <w:t xml:space="preserve"> support for the implementation of new VMT policies.</w:t>
      </w:r>
    </w:p>
    <w:p w14:paraId="0044EF34" w14:textId="3A097079" w:rsidR="00290D82" w:rsidRPr="00E767D7" w:rsidRDefault="00F9286D" w:rsidP="001B3BC5">
      <w:pPr>
        <w:rPr>
          <w:i/>
          <w:iCs/>
        </w:rPr>
      </w:pPr>
      <w:r w:rsidRPr="00E767D7">
        <w:rPr>
          <w:i/>
          <w:iCs/>
        </w:rPr>
        <w:t>Depend</w:t>
      </w:r>
      <w:r w:rsidR="003A63D1" w:rsidRPr="00E767D7">
        <w:rPr>
          <w:i/>
          <w:iCs/>
        </w:rPr>
        <w:t>ing</w:t>
      </w:r>
      <w:r w:rsidR="001B3BC5" w:rsidRPr="00E767D7">
        <w:rPr>
          <w:i/>
          <w:iCs/>
        </w:rPr>
        <w:t xml:space="preserve"> on</w:t>
      </w:r>
      <w:r w:rsidR="003A63D1" w:rsidRPr="00E767D7">
        <w:rPr>
          <w:i/>
          <w:iCs/>
        </w:rPr>
        <w:t xml:space="preserve"> </w:t>
      </w:r>
      <w:r w:rsidR="006741F7" w:rsidRPr="00E767D7">
        <w:rPr>
          <w:i/>
          <w:iCs/>
        </w:rPr>
        <w:t>how</w:t>
      </w:r>
      <w:r w:rsidR="003A63D1" w:rsidRPr="00E767D7">
        <w:rPr>
          <w:i/>
          <w:iCs/>
        </w:rPr>
        <w:t xml:space="preserve"> your jurisdiction establishes</w:t>
      </w:r>
      <w:r w:rsidR="001B3BC5" w:rsidRPr="00E767D7">
        <w:rPr>
          <w:i/>
          <w:iCs/>
        </w:rPr>
        <w:t xml:space="preserve"> CEQA thresholds</w:t>
      </w:r>
      <w:r w:rsidR="003A63D1" w:rsidRPr="00E767D7">
        <w:rPr>
          <w:i/>
          <w:iCs/>
        </w:rPr>
        <w:t>,</w:t>
      </w:r>
      <w:r w:rsidR="001C4184" w:rsidRPr="00E767D7">
        <w:rPr>
          <w:i/>
          <w:iCs/>
        </w:rPr>
        <w:t xml:space="preserve"> the </w:t>
      </w:r>
      <w:r w:rsidR="006741F7" w:rsidRPr="00E767D7">
        <w:rPr>
          <w:i/>
          <w:iCs/>
        </w:rPr>
        <w:t xml:space="preserve">process to update it </w:t>
      </w:r>
      <w:r w:rsidR="005570F4" w:rsidRPr="00E767D7">
        <w:rPr>
          <w:i/>
          <w:iCs/>
        </w:rPr>
        <w:t>can</w:t>
      </w:r>
      <w:r w:rsidR="006741F7" w:rsidRPr="00E767D7">
        <w:rPr>
          <w:i/>
          <w:iCs/>
        </w:rPr>
        <w:t xml:space="preserve"> vary from a General Plan amendment to a department director approval. </w:t>
      </w:r>
      <w:r w:rsidR="005570F4" w:rsidRPr="00E767D7">
        <w:rPr>
          <w:i/>
          <w:iCs/>
        </w:rPr>
        <w:t>This will inform you</w:t>
      </w:r>
      <w:r w:rsidR="00AB6A2F" w:rsidRPr="00E767D7">
        <w:rPr>
          <w:i/>
          <w:iCs/>
        </w:rPr>
        <w:t xml:space="preserve">r engagement approach and determines the steps needed to adopt new policies. </w:t>
      </w:r>
      <w:r w:rsidRPr="00E767D7">
        <w:rPr>
          <w:i/>
          <w:iCs/>
        </w:rPr>
        <w:fldChar w:fldCharType="begin"/>
      </w:r>
      <w:r w:rsidRPr="00E767D7">
        <w:rPr>
          <w:i/>
          <w:iCs/>
        </w:rPr>
        <w:instrText xml:space="preserve"> REF _Ref104553186 \h </w:instrText>
      </w:r>
      <w:r w:rsidR="00E767D7" w:rsidRPr="00E767D7">
        <w:rPr>
          <w:i/>
          <w:iCs/>
        </w:rPr>
        <w:instrText xml:space="preserve"> \* MERGEFORMAT </w:instrText>
      </w:r>
      <w:r w:rsidRPr="00E767D7">
        <w:rPr>
          <w:i/>
          <w:iCs/>
        </w:rPr>
      </w:r>
      <w:r w:rsidRPr="00E767D7">
        <w:rPr>
          <w:i/>
          <w:iCs/>
        </w:rPr>
        <w:fldChar w:fldCharType="separate"/>
      </w:r>
      <w:r w:rsidR="00E76FB0" w:rsidRPr="00E767D7">
        <w:rPr>
          <w:i/>
          <w:iCs/>
        </w:rPr>
        <w:t xml:space="preserve">Table </w:t>
      </w:r>
      <w:r w:rsidR="00E76FB0" w:rsidRPr="00E767D7">
        <w:rPr>
          <w:i/>
          <w:iCs/>
          <w:noProof/>
        </w:rPr>
        <w:t>2</w:t>
      </w:r>
      <w:r w:rsidRPr="00E767D7">
        <w:rPr>
          <w:i/>
          <w:iCs/>
        </w:rPr>
        <w:fldChar w:fldCharType="end"/>
      </w:r>
      <w:r w:rsidR="00E76FB0" w:rsidRPr="00E767D7">
        <w:rPr>
          <w:i/>
          <w:iCs/>
        </w:rPr>
        <w:t xml:space="preserve"> identifies a list of common stakeholders with blank spaces for you to fill in potential concerns, goal outcome, and your engagement approach. Fill in</w:t>
      </w:r>
      <w:r w:rsidR="00902DA3" w:rsidRPr="00E767D7">
        <w:rPr>
          <w:i/>
          <w:iCs/>
        </w:rPr>
        <w:t xml:space="preserve"> the blank spaces in </w:t>
      </w:r>
      <w:r w:rsidRPr="00E767D7">
        <w:rPr>
          <w:i/>
          <w:iCs/>
        </w:rPr>
        <w:fldChar w:fldCharType="begin"/>
      </w:r>
      <w:r w:rsidRPr="00E767D7">
        <w:rPr>
          <w:i/>
          <w:iCs/>
        </w:rPr>
        <w:instrText xml:space="preserve"> REF _Ref104553186 \h </w:instrText>
      </w:r>
      <w:r w:rsidR="00E767D7" w:rsidRPr="00E767D7">
        <w:rPr>
          <w:i/>
          <w:iCs/>
        </w:rPr>
        <w:instrText xml:space="preserve"> \* MERGEFORMAT </w:instrText>
      </w:r>
      <w:r w:rsidRPr="00E767D7">
        <w:rPr>
          <w:i/>
          <w:iCs/>
        </w:rPr>
      </w:r>
      <w:r w:rsidRPr="00E767D7">
        <w:rPr>
          <w:i/>
          <w:iCs/>
        </w:rPr>
        <w:fldChar w:fldCharType="separate"/>
      </w:r>
      <w:r w:rsidR="00902DA3" w:rsidRPr="00E767D7">
        <w:rPr>
          <w:i/>
          <w:iCs/>
        </w:rPr>
        <w:t xml:space="preserve">Table </w:t>
      </w:r>
      <w:r w:rsidR="00902DA3" w:rsidRPr="00E767D7">
        <w:rPr>
          <w:i/>
          <w:iCs/>
          <w:noProof/>
        </w:rPr>
        <w:t>2</w:t>
      </w:r>
      <w:r w:rsidRPr="00E767D7">
        <w:rPr>
          <w:i/>
          <w:iCs/>
        </w:rPr>
        <w:fldChar w:fldCharType="end"/>
      </w:r>
      <w:r w:rsidR="00902DA3" w:rsidRPr="00E767D7">
        <w:rPr>
          <w:i/>
          <w:iCs/>
        </w:rPr>
        <w:t xml:space="preserve"> throughout the course of Modules 1, 2, and 3.</w:t>
      </w:r>
      <w:r w:rsidR="00290D82" w:rsidRPr="00E767D7">
        <w:rPr>
          <w:i/>
          <w:iCs/>
        </w:rPr>
        <w:t xml:space="preserve"> Presentation templates and talking points will be provided for you to use in your engagement process.</w:t>
      </w:r>
    </w:p>
    <w:p w14:paraId="0CF4791D" w14:textId="11EBE651" w:rsidR="00902DA3" w:rsidRPr="00E767D7" w:rsidRDefault="00902DA3" w:rsidP="001B3BC5">
      <w:pPr>
        <w:rPr>
          <w:i/>
          <w:iCs/>
        </w:rPr>
      </w:pPr>
      <w:r w:rsidRPr="00E767D7">
        <w:rPr>
          <w:b/>
          <w:bCs/>
          <w:i/>
          <w:iCs/>
        </w:rPr>
        <w:t>Internal stakeholders</w:t>
      </w:r>
      <w:r w:rsidRPr="00E767D7">
        <w:rPr>
          <w:i/>
          <w:iCs/>
        </w:rPr>
        <w:t xml:space="preserve"> </w:t>
      </w:r>
      <w:proofErr w:type="gramStart"/>
      <w:r w:rsidRPr="00E767D7">
        <w:rPr>
          <w:i/>
          <w:iCs/>
        </w:rPr>
        <w:t>refers</w:t>
      </w:r>
      <w:proofErr w:type="gramEnd"/>
      <w:r w:rsidRPr="00E767D7">
        <w:rPr>
          <w:i/>
          <w:iCs/>
        </w:rPr>
        <w:t xml:space="preserve"> to jurisdiction staff and should include departments that oversee planning and development review, transportation, and legal counsel. This group is typically engaged with first and often throughout the process of developing and adopting VMT policies. Strategies to engage include identifying how new policies can streamline their work and help realize department plans and projects.</w:t>
      </w:r>
      <w:r w:rsidR="00212052" w:rsidRPr="00E767D7">
        <w:rPr>
          <w:i/>
          <w:iCs/>
        </w:rPr>
        <w:t xml:space="preserve"> Having broad staff support for new policies will make the </w:t>
      </w:r>
      <w:r w:rsidR="00212052" w:rsidRPr="00E767D7">
        <w:rPr>
          <w:i/>
          <w:iCs/>
        </w:rPr>
        <w:lastRenderedPageBreak/>
        <w:t>adoption process easier.</w:t>
      </w:r>
      <w:r w:rsidR="005570F4" w:rsidRPr="00E767D7">
        <w:rPr>
          <w:i/>
          <w:iCs/>
        </w:rPr>
        <w:t xml:space="preserve"> Get input from internal stakeholders to identify the best approach to VMT policy adoption.</w:t>
      </w:r>
    </w:p>
    <w:p w14:paraId="6DA67EE8" w14:textId="172C964B" w:rsidR="00290D82" w:rsidRPr="00E767D7" w:rsidRDefault="00902DA3" w:rsidP="00290D82">
      <w:pPr>
        <w:rPr>
          <w:i/>
          <w:iCs/>
        </w:rPr>
      </w:pPr>
      <w:r w:rsidRPr="00E767D7">
        <w:rPr>
          <w:i/>
          <w:iCs/>
        </w:rPr>
        <w:t xml:space="preserve">Engagement with </w:t>
      </w:r>
      <w:r w:rsidRPr="00E767D7">
        <w:rPr>
          <w:b/>
          <w:bCs/>
          <w:i/>
          <w:iCs/>
        </w:rPr>
        <w:t>the public</w:t>
      </w:r>
      <w:r w:rsidRPr="00E767D7">
        <w:rPr>
          <w:i/>
          <w:iCs/>
        </w:rPr>
        <w:t xml:space="preserve"> will vary from jurisdiction to jurisdiction. </w:t>
      </w:r>
      <w:r w:rsidRPr="00E767D7">
        <w:rPr>
          <w:i/>
          <w:iCs/>
        </w:rPr>
        <w:fldChar w:fldCharType="begin"/>
      </w:r>
      <w:r w:rsidRPr="00E767D7">
        <w:rPr>
          <w:i/>
          <w:iCs/>
        </w:rPr>
        <w:instrText xml:space="preserve"> REF _Ref104553186 \h </w:instrText>
      </w:r>
      <w:r w:rsidR="00E767D7" w:rsidRPr="00E767D7">
        <w:rPr>
          <w:i/>
          <w:iCs/>
        </w:rPr>
        <w:instrText xml:space="preserve"> \* MERGEFORMAT </w:instrText>
      </w:r>
      <w:r w:rsidRPr="00E767D7">
        <w:rPr>
          <w:i/>
          <w:iCs/>
        </w:rPr>
      </w:r>
      <w:r w:rsidRPr="00E767D7">
        <w:rPr>
          <w:i/>
          <w:iCs/>
        </w:rPr>
        <w:fldChar w:fldCharType="separate"/>
      </w:r>
      <w:r w:rsidRPr="00E767D7">
        <w:rPr>
          <w:i/>
          <w:iCs/>
        </w:rPr>
        <w:t xml:space="preserve">Table </w:t>
      </w:r>
      <w:r w:rsidRPr="00E767D7">
        <w:rPr>
          <w:i/>
          <w:iCs/>
          <w:noProof/>
        </w:rPr>
        <w:t>2</w:t>
      </w:r>
      <w:r w:rsidRPr="00E767D7">
        <w:rPr>
          <w:i/>
          <w:iCs/>
        </w:rPr>
        <w:fldChar w:fldCharType="end"/>
      </w:r>
      <w:r w:rsidRPr="00E767D7">
        <w:rPr>
          <w:i/>
          <w:iCs/>
        </w:rPr>
        <w:t xml:space="preserve"> identifies sub-groups of the public that </w:t>
      </w:r>
      <w:r w:rsidR="00AB6A2F" w:rsidRPr="00E767D7">
        <w:rPr>
          <w:i/>
          <w:iCs/>
        </w:rPr>
        <w:t>are</w:t>
      </w:r>
      <w:r w:rsidR="00290D82" w:rsidRPr="00E767D7">
        <w:rPr>
          <w:i/>
          <w:iCs/>
        </w:rPr>
        <w:t xml:space="preserve"> typically involved</w:t>
      </w:r>
      <w:r w:rsidR="00AB6A2F" w:rsidRPr="00E767D7">
        <w:rPr>
          <w:i/>
          <w:iCs/>
        </w:rPr>
        <w:t xml:space="preserve"> in public outreach</w:t>
      </w:r>
      <w:r w:rsidR="00290D82" w:rsidRPr="00E767D7">
        <w:rPr>
          <w:i/>
          <w:iCs/>
        </w:rPr>
        <w:t xml:space="preserve">; however, there may be other groups </w:t>
      </w:r>
      <w:r w:rsidR="001466C7" w:rsidRPr="00E767D7">
        <w:rPr>
          <w:i/>
          <w:iCs/>
        </w:rPr>
        <w:t xml:space="preserve">in your jurisdiction </w:t>
      </w:r>
      <w:r w:rsidR="00290D82" w:rsidRPr="00E767D7">
        <w:rPr>
          <w:i/>
          <w:iCs/>
        </w:rPr>
        <w:t>to reach out to</w:t>
      </w:r>
      <w:r w:rsidR="001466C7" w:rsidRPr="00E767D7">
        <w:rPr>
          <w:i/>
          <w:iCs/>
        </w:rPr>
        <w:t xml:space="preserve"> such as environmental groups or affordable housing developers/operators</w:t>
      </w:r>
      <w:r w:rsidR="00290D82" w:rsidRPr="00E767D7">
        <w:rPr>
          <w:i/>
          <w:iCs/>
        </w:rPr>
        <w:t>. Public participation for implementing SB 743 typically takes the form of inform or consult</w:t>
      </w:r>
      <w:r w:rsidR="00AB6A2F" w:rsidRPr="00E767D7">
        <w:rPr>
          <w:i/>
          <w:iCs/>
        </w:rPr>
        <w:t xml:space="preserve"> on the spectrum of public participation</w:t>
      </w:r>
      <w:r w:rsidR="00290D82" w:rsidRPr="00E767D7">
        <w:rPr>
          <w:i/>
          <w:iCs/>
        </w:rPr>
        <w:t>.</w:t>
      </w:r>
    </w:p>
    <w:p w14:paraId="1B261BE8" w14:textId="6ED10365" w:rsidR="00902DA3" w:rsidRPr="00E767D7" w:rsidRDefault="00290D82" w:rsidP="001B3BC5">
      <w:pPr>
        <w:rPr>
          <w:i/>
          <w:iCs/>
        </w:rPr>
      </w:pPr>
      <w:r w:rsidRPr="00E767D7">
        <w:rPr>
          <w:b/>
          <w:bCs/>
          <w:i/>
          <w:iCs/>
        </w:rPr>
        <w:t>Decision-makers</w:t>
      </w:r>
      <w:r w:rsidRPr="00E767D7">
        <w:rPr>
          <w:i/>
          <w:iCs/>
        </w:rPr>
        <w:t xml:space="preserve"> such as planning commissions, city councils, and board of sup</w:t>
      </w:r>
      <w:r w:rsidR="001466C7" w:rsidRPr="00E767D7">
        <w:rPr>
          <w:i/>
          <w:iCs/>
        </w:rPr>
        <w:t xml:space="preserve">ervisors </w:t>
      </w:r>
      <w:r w:rsidR="00AB6A2F" w:rsidRPr="00E767D7">
        <w:rPr>
          <w:i/>
          <w:iCs/>
        </w:rPr>
        <w:t>will typically</w:t>
      </w:r>
      <w:r w:rsidR="001466C7" w:rsidRPr="00E767D7">
        <w:rPr>
          <w:i/>
          <w:iCs/>
        </w:rPr>
        <w:t xml:space="preserve"> need to formally approve or adopt new CEQA threshold</w:t>
      </w:r>
      <w:r w:rsidR="00212052" w:rsidRPr="00E767D7">
        <w:rPr>
          <w:i/>
          <w:iCs/>
        </w:rPr>
        <w:t xml:space="preserve">s. </w:t>
      </w:r>
      <w:r w:rsidR="002917D7" w:rsidRPr="00E767D7">
        <w:rPr>
          <w:i/>
          <w:iCs/>
        </w:rPr>
        <w:t xml:space="preserve">Some cities have found that </w:t>
      </w:r>
      <w:r w:rsidR="00212052" w:rsidRPr="00E767D7">
        <w:rPr>
          <w:i/>
          <w:iCs/>
        </w:rPr>
        <w:t>an educational working session</w:t>
      </w:r>
      <w:r w:rsidR="002917D7" w:rsidRPr="00E767D7">
        <w:rPr>
          <w:i/>
          <w:iCs/>
        </w:rPr>
        <w:t xml:space="preserve"> with decision-makers made the adoption process easier.</w:t>
      </w:r>
      <w:r w:rsidR="00AB6A2F" w:rsidRPr="00E767D7">
        <w:rPr>
          <w:i/>
          <w:iCs/>
        </w:rPr>
        <w:t xml:space="preserve"> </w:t>
      </w:r>
    </w:p>
    <w:p w14:paraId="22FBE564" w14:textId="7076F210" w:rsidR="001C4184" w:rsidRDefault="006741F7" w:rsidP="006741F7">
      <w:pPr>
        <w:pStyle w:val="Caption"/>
      </w:pPr>
      <w:bookmarkStart w:id="6" w:name="_Ref104553186"/>
      <w:bookmarkStart w:id="7" w:name="_Toc104555231"/>
      <w:r>
        <w:t xml:space="preserve">Table </w:t>
      </w:r>
      <w:r>
        <w:fldChar w:fldCharType="begin"/>
      </w:r>
      <w:r>
        <w:instrText>SEQ Table \* ARABIC</w:instrText>
      </w:r>
      <w:r>
        <w:fldChar w:fldCharType="separate"/>
      </w:r>
      <w:r w:rsidR="00AB6D00">
        <w:rPr>
          <w:noProof/>
        </w:rPr>
        <w:t>2</w:t>
      </w:r>
      <w:r>
        <w:fldChar w:fldCharType="end"/>
      </w:r>
      <w:bookmarkEnd w:id="6"/>
      <w:r>
        <w:t xml:space="preserve"> </w:t>
      </w:r>
      <w:r>
        <w:tab/>
        <w:t>List of Potential Stakeholders</w:t>
      </w:r>
      <w:bookmarkEnd w:id="7"/>
    </w:p>
    <w:tbl>
      <w:tblPr>
        <w:tblStyle w:val="GridTable4-Accent1"/>
        <w:tblW w:w="0" w:type="auto"/>
        <w:tblCellMar>
          <w:top w:w="58" w:type="dxa"/>
          <w:bottom w:w="58" w:type="dxa"/>
        </w:tblCellMar>
        <w:tblLook w:val="04A0" w:firstRow="1" w:lastRow="0" w:firstColumn="1" w:lastColumn="0" w:noHBand="0" w:noVBand="1"/>
      </w:tblPr>
      <w:tblGrid>
        <w:gridCol w:w="2332"/>
        <w:gridCol w:w="2340"/>
        <w:gridCol w:w="2336"/>
        <w:gridCol w:w="2336"/>
      </w:tblGrid>
      <w:tr w:rsidR="001C4184" w:rsidRPr="00481AEE" w14:paraId="4FC383FF" w14:textId="77777777" w:rsidTr="0060451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3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2C6770BA" w14:textId="1E35F137" w:rsidR="001C4184" w:rsidRPr="00481AEE" w:rsidRDefault="001C4184" w:rsidP="00530526">
            <w:pPr>
              <w:pStyle w:val="TableHeader"/>
              <w:rPr>
                <w:b/>
                <w:bCs w:val="0"/>
              </w:rPr>
            </w:pPr>
            <w:r>
              <w:rPr>
                <w:b/>
                <w:bCs w:val="0"/>
              </w:rPr>
              <w:t>Stakeholder</w:t>
            </w:r>
          </w:p>
        </w:tc>
        <w:tc>
          <w:tcPr>
            <w:tcW w:w="2340"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175C5242" w14:textId="7DD897EF" w:rsidR="001C4184" w:rsidRPr="00481AEE" w:rsidRDefault="001C4184" w:rsidP="00530526">
            <w:pPr>
              <w:pStyle w:val="TableHeader"/>
              <w:cnfStyle w:val="100000000000" w:firstRow="1" w:lastRow="0" w:firstColumn="0" w:lastColumn="0" w:oddVBand="0" w:evenVBand="0" w:oddHBand="0" w:evenHBand="0" w:firstRowFirstColumn="0" w:firstRowLastColumn="0" w:lastRowFirstColumn="0" w:lastRowLastColumn="0"/>
              <w:rPr>
                <w:b/>
                <w:bCs w:val="0"/>
              </w:rPr>
            </w:pPr>
            <w:r>
              <w:rPr>
                <w:b/>
                <w:bCs w:val="0"/>
              </w:rPr>
              <w:t xml:space="preserve">Potential </w:t>
            </w:r>
            <w:r w:rsidR="006741F7">
              <w:rPr>
                <w:b/>
                <w:bCs w:val="0"/>
              </w:rPr>
              <w:t>Concerns</w:t>
            </w:r>
          </w:p>
        </w:tc>
        <w:tc>
          <w:tcPr>
            <w:tcW w:w="23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4BCC7AC7" w14:textId="487AD73B" w:rsidR="001C4184" w:rsidRPr="00481AEE" w:rsidRDefault="00E76FB0" w:rsidP="00530526">
            <w:pPr>
              <w:pStyle w:val="TableHeader"/>
              <w:cnfStyle w:val="100000000000" w:firstRow="1" w:lastRow="0" w:firstColumn="0" w:lastColumn="0" w:oddVBand="0" w:evenVBand="0" w:oddHBand="0" w:evenHBand="0" w:firstRowFirstColumn="0" w:firstRowLastColumn="0" w:lastRowFirstColumn="0" w:lastRowLastColumn="0"/>
              <w:rPr>
                <w:b/>
                <w:bCs w:val="0"/>
              </w:rPr>
            </w:pPr>
            <w:r>
              <w:rPr>
                <w:b/>
                <w:bCs w:val="0"/>
              </w:rPr>
              <w:t>Goal Outcome</w:t>
            </w:r>
          </w:p>
        </w:tc>
        <w:tc>
          <w:tcPr>
            <w:tcW w:w="233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7E8F0519" w14:textId="1BF31521" w:rsidR="001C4184" w:rsidRPr="00481AEE" w:rsidRDefault="00E76FB0" w:rsidP="00530526">
            <w:pPr>
              <w:pStyle w:val="TableHeader"/>
              <w:cnfStyle w:val="100000000000" w:firstRow="1" w:lastRow="0" w:firstColumn="0" w:lastColumn="0" w:oddVBand="0" w:evenVBand="0" w:oddHBand="0" w:evenHBand="0" w:firstRowFirstColumn="0" w:firstRowLastColumn="0" w:lastRowFirstColumn="0" w:lastRowLastColumn="0"/>
              <w:rPr>
                <w:b/>
                <w:bCs w:val="0"/>
              </w:rPr>
            </w:pPr>
            <w:r>
              <w:rPr>
                <w:b/>
                <w:bCs w:val="0"/>
              </w:rPr>
              <w:t>Engagement Approach</w:t>
            </w:r>
          </w:p>
        </w:tc>
      </w:tr>
      <w:tr w:rsidR="001C4184" w:rsidRPr="00481AEE" w14:paraId="6C2F98F3" w14:textId="77777777" w:rsidTr="0060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tcBorders>
              <w:top w:val="single" w:sz="6" w:space="0" w:color="FFFFFF" w:themeColor="background1"/>
            </w:tcBorders>
            <w:vAlign w:val="center"/>
          </w:tcPr>
          <w:p w14:paraId="1AABA77A" w14:textId="664F63C4" w:rsidR="001C4184" w:rsidRPr="00436B76" w:rsidRDefault="0060451A" w:rsidP="00530526">
            <w:pPr>
              <w:pStyle w:val="Table"/>
              <w:rPr>
                <w:b w:val="0"/>
              </w:rPr>
            </w:pPr>
            <w:r>
              <w:rPr>
                <w:b w:val="0"/>
              </w:rPr>
              <w:t>Internal stakeholders, including other departments</w:t>
            </w:r>
          </w:p>
        </w:tc>
        <w:tc>
          <w:tcPr>
            <w:tcW w:w="2340" w:type="dxa"/>
            <w:tcBorders>
              <w:top w:val="single" w:sz="6" w:space="0" w:color="FFFFFF" w:themeColor="background1"/>
            </w:tcBorders>
            <w:vAlign w:val="center"/>
          </w:tcPr>
          <w:p w14:paraId="57461DA9" w14:textId="46450CBD" w:rsidR="001C4184" w:rsidRPr="00481AEE" w:rsidRDefault="001C4184" w:rsidP="00530526">
            <w:pPr>
              <w:pStyle w:val="Table"/>
              <w:cnfStyle w:val="000000100000" w:firstRow="0" w:lastRow="0" w:firstColumn="0" w:lastColumn="0" w:oddVBand="0" w:evenVBand="0" w:oddHBand="1" w:evenHBand="0" w:firstRowFirstColumn="0" w:firstRowLastColumn="0" w:lastRowFirstColumn="0" w:lastRowLastColumn="0"/>
            </w:pPr>
          </w:p>
        </w:tc>
        <w:tc>
          <w:tcPr>
            <w:tcW w:w="2336" w:type="dxa"/>
            <w:tcBorders>
              <w:top w:val="single" w:sz="6" w:space="0" w:color="FFFFFF" w:themeColor="background1"/>
            </w:tcBorders>
            <w:vAlign w:val="center"/>
          </w:tcPr>
          <w:p w14:paraId="37ECD0FC" w14:textId="77777777" w:rsidR="001C4184" w:rsidRPr="00481AEE" w:rsidRDefault="001C4184" w:rsidP="00530526">
            <w:pPr>
              <w:pStyle w:val="Table"/>
              <w:cnfStyle w:val="000000100000" w:firstRow="0" w:lastRow="0" w:firstColumn="0" w:lastColumn="0" w:oddVBand="0" w:evenVBand="0" w:oddHBand="1" w:evenHBand="0" w:firstRowFirstColumn="0" w:firstRowLastColumn="0" w:lastRowFirstColumn="0" w:lastRowLastColumn="0"/>
            </w:pPr>
          </w:p>
        </w:tc>
        <w:tc>
          <w:tcPr>
            <w:tcW w:w="2336" w:type="dxa"/>
            <w:tcBorders>
              <w:top w:val="single" w:sz="6" w:space="0" w:color="FFFFFF" w:themeColor="background1"/>
            </w:tcBorders>
            <w:vAlign w:val="center"/>
          </w:tcPr>
          <w:p w14:paraId="131A1F4D" w14:textId="77777777" w:rsidR="001C4184" w:rsidRPr="00481AEE" w:rsidRDefault="001C4184" w:rsidP="00530526">
            <w:pPr>
              <w:pStyle w:val="Table"/>
              <w:cnfStyle w:val="000000100000" w:firstRow="0" w:lastRow="0" w:firstColumn="0" w:lastColumn="0" w:oddVBand="0" w:evenVBand="0" w:oddHBand="1" w:evenHBand="0" w:firstRowFirstColumn="0" w:firstRowLastColumn="0" w:lastRowFirstColumn="0" w:lastRowLastColumn="0"/>
            </w:pPr>
          </w:p>
        </w:tc>
      </w:tr>
      <w:tr w:rsidR="001C4184" w:rsidRPr="00481AEE" w14:paraId="550683F8" w14:textId="77777777" w:rsidTr="0060451A">
        <w:tc>
          <w:tcPr>
            <w:cnfStyle w:val="001000000000" w:firstRow="0" w:lastRow="0" w:firstColumn="1" w:lastColumn="0" w:oddVBand="0" w:evenVBand="0" w:oddHBand="0" w:evenHBand="0" w:firstRowFirstColumn="0" w:firstRowLastColumn="0" w:lastRowFirstColumn="0" w:lastRowLastColumn="0"/>
            <w:tcW w:w="2332" w:type="dxa"/>
            <w:vAlign w:val="center"/>
          </w:tcPr>
          <w:p w14:paraId="790B8328" w14:textId="7A595826" w:rsidR="001C4184" w:rsidRPr="00436B76" w:rsidRDefault="0060451A" w:rsidP="00530526">
            <w:pPr>
              <w:pStyle w:val="Table"/>
              <w:rPr>
                <w:b w:val="0"/>
              </w:rPr>
            </w:pPr>
            <w:r>
              <w:rPr>
                <w:b w:val="0"/>
              </w:rPr>
              <w:t xml:space="preserve">The public, particularly </w:t>
            </w:r>
            <w:r w:rsidR="006741F7">
              <w:rPr>
                <w:b w:val="0"/>
              </w:rPr>
              <w:t>residents, business owners, and landowners/developers</w:t>
            </w:r>
          </w:p>
        </w:tc>
        <w:tc>
          <w:tcPr>
            <w:tcW w:w="2340" w:type="dxa"/>
            <w:vAlign w:val="center"/>
          </w:tcPr>
          <w:p w14:paraId="49B3907D" w14:textId="317E335A" w:rsidR="001C4184" w:rsidRPr="00481AEE" w:rsidRDefault="001C4184" w:rsidP="00530526">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08BAE81A" w14:textId="77777777" w:rsidR="001C4184" w:rsidRPr="00481AEE" w:rsidRDefault="001C4184" w:rsidP="00530526">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0566D503" w14:textId="77777777" w:rsidR="001C4184" w:rsidRPr="00481AEE" w:rsidRDefault="001C4184" w:rsidP="00530526">
            <w:pPr>
              <w:pStyle w:val="Table"/>
              <w:cnfStyle w:val="000000000000" w:firstRow="0" w:lastRow="0" w:firstColumn="0" w:lastColumn="0" w:oddVBand="0" w:evenVBand="0" w:oddHBand="0" w:evenHBand="0" w:firstRowFirstColumn="0" w:firstRowLastColumn="0" w:lastRowFirstColumn="0" w:lastRowLastColumn="0"/>
            </w:pPr>
          </w:p>
        </w:tc>
      </w:tr>
      <w:tr w:rsidR="0060451A" w:rsidRPr="00481AEE" w14:paraId="53895154" w14:textId="77777777" w:rsidTr="00604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2" w:type="dxa"/>
            <w:vAlign w:val="center"/>
          </w:tcPr>
          <w:p w14:paraId="5C7F848F" w14:textId="1904A708" w:rsidR="0060451A" w:rsidRDefault="0060451A" w:rsidP="00530526">
            <w:pPr>
              <w:pStyle w:val="Table"/>
              <w:rPr>
                <w:b w:val="0"/>
                <w:bCs/>
              </w:rPr>
            </w:pPr>
            <w:r>
              <w:rPr>
                <w:b w:val="0"/>
                <w:bCs/>
              </w:rPr>
              <w:t>Planning Commission</w:t>
            </w:r>
          </w:p>
        </w:tc>
        <w:tc>
          <w:tcPr>
            <w:tcW w:w="2340" w:type="dxa"/>
            <w:vAlign w:val="center"/>
          </w:tcPr>
          <w:p w14:paraId="230D4B9A" w14:textId="77777777" w:rsidR="0060451A" w:rsidRPr="00481AEE" w:rsidRDefault="0060451A" w:rsidP="00530526">
            <w:pPr>
              <w:pStyle w:val="Table"/>
              <w:cnfStyle w:val="000000100000" w:firstRow="0" w:lastRow="0" w:firstColumn="0" w:lastColumn="0" w:oddVBand="0" w:evenVBand="0" w:oddHBand="1" w:evenHBand="0" w:firstRowFirstColumn="0" w:firstRowLastColumn="0" w:lastRowFirstColumn="0" w:lastRowLastColumn="0"/>
            </w:pPr>
          </w:p>
        </w:tc>
        <w:tc>
          <w:tcPr>
            <w:tcW w:w="2336" w:type="dxa"/>
            <w:vAlign w:val="center"/>
          </w:tcPr>
          <w:p w14:paraId="501A0AC4" w14:textId="77777777" w:rsidR="0060451A" w:rsidRPr="00481AEE" w:rsidRDefault="0060451A" w:rsidP="00530526">
            <w:pPr>
              <w:pStyle w:val="Table"/>
              <w:cnfStyle w:val="000000100000" w:firstRow="0" w:lastRow="0" w:firstColumn="0" w:lastColumn="0" w:oddVBand="0" w:evenVBand="0" w:oddHBand="1" w:evenHBand="0" w:firstRowFirstColumn="0" w:firstRowLastColumn="0" w:lastRowFirstColumn="0" w:lastRowLastColumn="0"/>
            </w:pPr>
          </w:p>
        </w:tc>
        <w:tc>
          <w:tcPr>
            <w:tcW w:w="2336" w:type="dxa"/>
            <w:vAlign w:val="center"/>
          </w:tcPr>
          <w:p w14:paraId="121BE769" w14:textId="77777777" w:rsidR="0060451A" w:rsidRPr="00481AEE" w:rsidRDefault="0060451A" w:rsidP="00530526">
            <w:pPr>
              <w:pStyle w:val="Table"/>
              <w:cnfStyle w:val="000000100000" w:firstRow="0" w:lastRow="0" w:firstColumn="0" w:lastColumn="0" w:oddVBand="0" w:evenVBand="0" w:oddHBand="1" w:evenHBand="0" w:firstRowFirstColumn="0" w:firstRowLastColumn="0" w:lastRowFirstColumn="0" w:lastRowLastColumn="0"/>
            </w:pPr>
          </w:p>
        </w:tc>
      </w:tr>
      <w:tr w:rsidR="0060451A" w:rsidRPr="00481AEE" w14:paraId="3F2CB7C3" w14:textId="77777777" w:rsidTr="0060451A">
        <w:tc>
          <w:tcPr>
            <w:cnfStyle w:val="001000000000" w:firstRow="0" w:lastRow="0" w:firstColumn="1" w:lastColumn="0" w:oddVBand="0" w:evenVBand="0" w:oddHBand="0" w:evenHBand="0" w:firstRowFirstColumn="0" w:firstRowLastColumn="0" w:lastRowFirstColumn="0" w:lastRowLastColumn="0"/>
            <w:tcW w:w="2332" w:type="dxa"/>
            <w:vAlign w:val="center"/>
          </w:tcPr>
          <w:p w14:paraId="3C6C09BB" w14:textId="3B2F1D8F" w:rsidR="0060451A" w:rsidRDefault="0060451A" w:rsidP="00530526">
            <w:pPr>
              <w:pStyle w:val="Table"/>
              <w:rPr>
                <w:b w:val="0"/>
                <w:bCs/>
              </w:rPr>
            </w:pPr>
            <w:r>
              <w:rPr>
                <w:b w:val="0"/>
                <w:bCs/>
              </w:rPr>
              <w:t>City Council/Board of Supervisors</w:t>
            </w:r>
          </w:p>
        </w:tc>
        <w:tc>
          <w:tcPr>
            <w:tcW w:w="2340" w:type="dxa"/>
            <w:vAlign w:val="center"/>
          </w:tcPr>
          <w:p w14:paraId="17BE3230" w14:textId="77777777" w:rsidR="0060451A" w:rsidRPr="00481AEE" w:rsidRDefault="0060451A" w:rsidP="00530526">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76981A73" w14:textId="77777777" w:rsidR="0060451A" w:rsidRPr="00481AEE" w:rsidRDefault="0060451A" w:rsidP="00530526">
            <w:pPr>
              <w:pStyle w:val="Table"/>
              <w:cnfStyle w:val="000000000000" w:firstRow="0" w:lastRow="0" w:firstColumn="0" w:lastColumn="0" w:oddVBand="0" w:evenVBand="0" w:oddHBand="0" w:evenHBand="0" w:firstRowFirstColumn="0" w:firstRowLastColumn="0" w:lastRowFirstColumn="0" w:lastRowLastColumn="0"/>
            </w:pPr>
          </w:p>
        </w:tc>
        <w:tc>
          <w:tcPr>
            <w:tcW w:w="2336" w:type="dxa"/>
            <w:vAlign w:val="center"/>
          </w:tcPr>
          <w:p w14:paraId="443BA4C3" w14:textId="77777777" w:rsidR="0060451A" w:rsidRPr="00481AEE" w:rsidRDefault="0060451A" w:rsidP="00530526">
            <w:pPr>
              <w:pStyle w:val="Table"/>
              <w:cnfStyle w:val="000000000000" w:firstRow="0" w:lastRow="0" w:firstColumn="0" w:lastColumn="0" w:oddVBand="0" w:evenVBand="0" w:oddHBand="0" w:evenHBand="0" w:firstRowFirstColumn="0" w:firstRowLastColumn="0" w:lastRowFirstColumn="0" w:lastRowLastColumn="0"/>
            </w:pPr>
          </w:p>
        </w:tc>
      </w:tr>
    </w:tbl>
    <w:p w14:paraId="44B71CD5" w14:textId="305D32A9" w:rsidR="00617379" w:rsidRDefault="00617379" w:rsidP="00AB6A2F"/>
    <w:p w14:paraId="026D4B79" w14:textId="60307D1D" w:rsidR="00D75CFE" w:rsidRDefault="00D75CFE" w:rsidP="00AB6A2F"/>
    <w:p w14:paraId="11BCC810" w14:textId="77777777" w:rsidR="00AB6D00" w:rsidRDefault="00AB6D00" w:rsidP="00AB6A2F">
      <w:pPr>
        <w:sectPr w:rsidR="00AB6D00" w:rsidSect="00E814D6">
          <w:headerReference w:type="default" r:id="rId16"/>
          <w:footerReference w:type="default" r:id="rId17"/>
          <w:pgSz w:w="12240" w:h="15840" w:code="1"/>
          <w:pgMar w:top="1440" w:right="1440" w:bottom="1440" w:left="1440" w:header="547" w:footer="720" w:gutter="0"/>
          <w:cols w:space="720"/>
          <w:docGrid w:linePitch="326"/>
        </w:sectPr>
      </w:pPr>
    </w:p>
    <w:p w14:paraId="634156A5" w14:textId="041D2B17" w:rsidR="00D75CFE" w:rsidRDefault="00D75CFE" w:rsidP="00D75CFE">
      <w:pPr>
        <w:pStyle w:val="Heading1"/>
      </w:pPr>
      <w:r>
        <w:lastRenderedPageBreak/>
        <w:t>Project Schedule</w:t>
      </w:r>
    </w:p>
    <w:p w14:paraId="6E0ABBC3" w14:textId="5170A57D" w:rsidR="00AB6D00" w:rsidRDefault="00AB6D00" w:rsidP="727C88DD">
      <w:pPr>
        <w:rPr>
          <w:i/>
          <w:iCs/>
        </w:rPr>
      </w:pPr>
      <w:r w:rsidRPr="727C88DD">
        <w:rPr>
          <w:i/>
          <w:iCs/>
        </w:rPr>
        <w:t xml:space="preserve">Section instructions: </w:t>
      </w:r>
      <w:r w:rsidRPr="00591347">
        <w:rPr>
          <w:i/>
          <w:iCs/>
        </w:rPr>
        <w:t>Use the following table t</w:t>
      </w:r>
      <w:r w:rsidR="00B77F73" w:rsidRPr="00591347">
        <w:rPr>
          <w:i/>
          <w:iCs/>
        </w:rPr>
        <w:t>o identify key dates and develop a schedule for your jurisdiction’s project to adopt</w:t>
      </w:r>
      <w:r w:rsidR="00B5641F" w:rsidRPr="00591347">
        <w:rPr>
          <w:i/>
          <w:iCs/>
        </w:rPr>
        <w:t xml:space="preserve"> VMT policies. Your approach may vary</w:t>
      </w:r>
      <w:r w:rsidR="00123DDC" w:rsidRPr="00591347">
        <w:rPr>
          <w:i/>
          <w:iCs/>
        </w:rPr>
        <w:t xml:space="preserve">; </w:t>
      </w:r>
      <w:r w:rsidR="00B5641F" w:rsidRPr="00591347">
        <w:rPr>
          <w:i/>
          <w:iCs/>
        </w:rPr>
        <w:t xml:space="preserve">add or remove tasks as needed. Note when to get onto your </w:t>
      </w:r>
      <w:r w:rsidR="00DC4456" w:rsidRPr="00DC4456">
        <w:rPr>
          <w:i/>
          <w:iCs/>
        </w:rPr>
        <w:t>Commission</w:t>
      </w:r>
      <w:r w:rsidR="00B5641F" w:rsidRPr="00591347">
        <w:rPr>
          <w:i/>
          <w:iCs/>
        </w:rPr>
        <w:t xml:space="preserve"> and</w:t>
      </w:r>
      <w:r w:rsidR="00B5641F" w:rsidRPr="727C88DD">
        <w:rPr>
          <w:i/>
          <w:iCs/>
        </w:rPr>
        <w:t>/or</w:t>
      </w:r>
      <w:r w:rsidR="00B5641F" w:rsidRPr="00591347">
        <w:rPr>
          <w:i/>
          <w:iCs/>
        </w:rPr>
        <w:t xml:space="preserve"> City Council </w:t>
      </w:r>
      <w:r w:rsidR="00B5641F" w:rsidRPr="727C88DD">
        <w:rPr>
          <w:i/>
          <w:iCs/>
        </w:rPr>
        <w:t xml:space="preserve">calendars </w:t>
      </w:r>
      <w:r w:rsidR="00B5641F" w:rsidRPr="00591347">
        <w:rPr>
          <w:i/>
          <w:iCs/>
        </w:rPr>
        <w:t xml:space="preserve">and the dates of the meetings to assist </w:t>
      </w:r>
      <w:r w:rsidR="00B5641F" w:rsidRPr="727C88DD">
        <w:rPr>
          <w:i/>
          <w:iCs/>
        </w:rPr>
        <w:t>in understanding the length of time to adopt policy. You are encouraged to adopt policy during or shortly after the SB 743 Policy Adoption Technical Assistance program concludes so that you can receive assistance from the consultant team during the modules and office hours.</w:t>
      </w:r>
    </w:p>
    <w:p w14:paraId="5ECBAE73" w14:textId="3CFB1EC6" w:rsidR="727C88DD" w:rsidRPr="00591347" w:rsidRDefault="727C88DD" w:rsidP="727C88DD">
      <w:pPr>
        <w:rPr>
          <w:i/>
          <w:iCs/>
        </w:rPr>
      </w:pPr>
    </w:p>
    <w:p w14:paraId="442A0A17" w14:textId="65528276" w:rsidR="00AB6D00" w:rsidRPr="00AB6D00" w:rsidRDefault="00AB6D00" w:rsidP="00591347">
      <w:pPr>
        <w:pStyle w:val="Caption"/>
      </w:pPr>
      <w:r>
        <w:t xml:space="preserve">Table </w:t>
      </w:r>
      <w:fldSimple w:instr=" SEQ Table \* ARABIC ">
        <w:r>
          <w:rPr>
            <w:noProof/>
          </w:rPr>
          <w:t>3</w:t>
        </w:r>
      </w:fldSimple>
      <w:r>
        <w:t xml:space="preserve"> </w:t>
      </w:r>
      <w:r>
        <w:tab/>
        <w:t>Proposed VMT Policy Adoption Project Schedule</w:t>
      </w:r>
    </w:p>
    <w:tbl>
      <w:tblPr>
        <w:tblStyle w:val="GridTable4-Accent1"/>
        <w:tblW w:w="0" w:type="auto"/>
        <w:tblCellMar>
          <w:top w:w="58" w:type="dxa"/>
          <w:bottom w:w="58" w:type="dxa"/>
        </w:tblCellMar>
        <w:tblLook w:val="04A0" w:firstRow="1" w:lastRow="0" w:firstColumn="1" w:lastColumn="0" w:noHBand="0" w:noVBand="1"/>
      </w:tblPr>
      <w:tblGrid>
        <w:gridCol w:w="2152"/>
        <w:gridCol w:w="1349"/>
        <w:gridCol w:w="1349"/>
        <w:gridCol w:w="1349"/>
        <w:gridCol w:w="1349"/>
        <w:gridCol w:w="1349"/>
        <w:gridCol w:w="1349"/>
        <w:gridCol w:w="1349"/>
        <w:gridCol w:w="1349"/>
      </w:tblGrid>
      <w:tr w:rsidR="00AB6D00" w:rsidRPr="00481AEE" w14:paraId="06BCD413" w14:textId="62CAA071" w:rsidTr="005913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52"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3BA856E0" w14:textId="6D84D45A" w:rsidR="00AB6D00" w:rsidRDefault="00AB6D00" w:rsidP="00221765">
            <w:pPr>
              <w:pStyle w:val="TableHeader"/>
              <w:rPr>
                <w:b/>
                <w:bCs w:val="0"/>
              </w:rPr>
            </w:pPr>
            <w:r>
              <w:rPr>
                <w:b/>
                <w:bCs w:val="0"/>
              </w:rPr>
              <w:t>Task</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508F6087" w14:textId="0D3815C8" w:rsidR="00AB6D00" w:rsidRPr="00481AEE"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June</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277706A4" w14:textId="0A93FC4B" w:rsidR="00AB6D00" w:rsidRPr="00481AEE"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July</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1C469520" w14:textId="5B48E0ED" w:rsidR="00AB6D00" w:rsidRPr="00481AEE"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August</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vAlign w:val="bottom"/>
          </w:tcPr>
          <w:p w14:paraId="5AD3B468" w14:textId="34F8C55E" w:rsidR="00AB6D00" w:rsidRPr="00481AEE"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September</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1279F5C8" w14:textId="3827DD24" w:rsidR="00AB6D00"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October</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6BD6AE41" w14:textId="4E1D6590" w:rsidR="00AB6D00"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November</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25E7E116" w14:textId="4507CC8A" w:rsidR="00AB6D00"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December</w:t>
            </w:r>
          </w:p>
        </w:tc>
        <w:tc>
          <w:tcPr>
            <w:tcW w:w="134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tcPr>
          <w:p w14:paraId="4BB2CB01" w14:textId="2BD85ED5" w:rsidR="00AB6D00" w:rsidRDefault="00AB6D00" w:rsidP="00591347">
            <w:pPr>
              <w:pStyle w:val="TableHeader"/>
              <w:jc w:val="center"/>
              <w:cnfStyle w:val="100000000000" w:firstRow="1" w:lastRow="0" w:firstColumn="0" w:lastColumn="0" w:oddVBand="0" w:evenVBand="0" w:oddHBand="0" w:evenHBand="0" w:firstRowFirstColumn="0" w:firstRowLastColumn="0" w:lastRowFirstColumn="0" w:lastRowLastColumn="0"/>
              <w:rPr>
                <w:b/>
                <w:bCs w:val="0"/>
              </w:rPr>
            </w:pPr>
            <w:r>
              <w:rPr>
                <w:b/>
                <w:bCs w:val="0"/>
              </w:rPr>
              <w:t>2023</w:t>
            </w:r>
          </w:p>
        </w:tc>
      </w:tr>
      <w:tr w:rsidR="00AB6D00" w:rsidRPr="00481AEE" w14:paraId="2D0C34B8" w14:textId="2522C02E" w:rsidTr="00591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Borders>
              <w:top w:val="single" w:sz="6" w:space="0" w:color="FFFFFF" w:themeColor="background1"/>
            </w:tcBorders>
          </w:tcPr>
          <w:p w14:paraId="240AFC5B" w14:textId="51C27AEA" w:rsidR="00AB6D00" w:rsidRPr="00591347" w:rsidRDefault="00AB6D00" w:rsidP="00AB6D00">
            <w:pPr>
              <w:pStyle w:val="Table"/>
            </w:pPr>
            <w:r w:rsidRPr="00AB6D00">
              <w:t>Modules</w:t>
            </w:r>
          </w:p>
        </w:tc>
        <w:tc>
          <w:tcPr>
            <w:tcW w:w="1349" w:type="dxa"/>
            <w:tcBorders>
              <w:top w:val="single" w:sz="6" w:space="0" w:color="FFFFFF" w:themeColor="background1"/>
            </w:tcBorders>
            <w:vAlign w:val="center"/>
          </w:tcPr>
          <w:p w14:paraId="15208BA9" w14:textId="1249CB69" w:rsidR="00AB6D00" w:rsidRPr="00591347"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r w:rsidRPr="00591347">
              <w:t>1</w:t>
            </w:r>
          </w:p>
        </w:tc>
        <w:tc>
          <w:tcPr>
            <w:tcW w:w="1349" w:type="dxa"/>
            <w:tcBorders>
              <w:top w:val="single" w:sz="6" w:space="0" w:color="FFFFFF" w:themeColor="background1"/>
            </w:tcBorders>
            <w:vAlign w:val="center"/>
          </w:tcPr>
          <w:p w14:paraId="1C9A930F" w14:textId="6C7D7412"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r w:rsidRPr="00AB6D00">
              <w:t>2</w:t>
            </w:r>
          </w:p>
        </w:tc>
        <w:tc>
          <w:tcPr>
            <w:tcW w:w="1349" w:type="dxa"/>
            <w:tcBorders>
              <w:top w:val="single" w:sz="6" w:space="0" w:color="FFFFFF" w:themeColor="background1"/>
            </w:tcBorders>
            <w:vAlign w:val="center"/>
          </w:tcPr>
          <w:p w14:paraId="710876EB" w14:textId="410CDB2D"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r w:rsidRPr="00AB6D00">
              <w:t>3</w:t>
            </w:r>
          </w:p>
        </w:tc>
        <w:tc>
          <w:tcPr>
            <w:tcW w:w="1349" w:type="dxa"/>
            <w:tcBorders>
              <w:top w:val="single" w:sz="6" w:space="0" w:color="FFFFFF" w:themeColor="background1"/>
            </w:tcBorders>
            <w:vAlign w:val="center"/>
          </w:tcPr>
          <w:p w14:paraId="6CC718B8" w14:textId="42E0E3CB"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Borders>
              <w:top w:val="single" w:sz="6" w:space="0" w:color="FFFFFF" w:themeColor="background1"/>
            </w:tcBorders>
          </w:tcPr>
          <w:p w14:paraId="41335DE2" w14:textId="6E609AD5" w:rsidR="00AB6D00" w:rsidRPr="00AB6D00" w:rsidRDefault="003C1D1A" w:rsidP="00591347">
            <w:pPr>
              <w:pStyle w:val="Table"/>
              <w:jc w:val="center"/>
              <w:cnfStyle w:val="000000100000" w:firstRow="0" w:lastRow="0" w:firstColumn="0" w:lastColumn="0" w:oddVBand="0" w:evenVBand="0" w:oddHBand="1" w:evenHBand="0" w:firstRowFirstColumn="0" w:firstRowLastColumn="0" w:lastRowFirstColumn="0" w:lastRowLastColumn="0"/>
            </w:pPr>
            <w:r>
              <w:t>4</w:t>
            </w:r>
          </w:p>
        </w:tc>
        <w:tc>
          <w:tcPr>
            <w:tcW w:w="1349" w:type="dxa"/>
            <w:tcBorders>
              <w:top w:val="single" w:sz="6" w:space="0" w:color="FFFFFF" w:themeColor="background1"/>
            </w:tcBorders>
          </w:tcPr>
          <w:p w14:paraId="6AA57147" w14:textId="570BB058" w:rsidR="00AB6D00" w:rsidRPr="00AB6D00" w:rsidRDefault="003C1D1A" w:rsidP="00591347">
            <w:pPr>
              <w:pStyle w:val="Table"/>
              <w:jc w:val="center"/>
              <w:cnfStyle w:val="000000100000" w:firstRow="0" w:lastRow="0" w:firstColumn="0" w:lastColumn="0" w:oddVBand="0" w:evenVBand="0" w:oddHBand="1" w:evenHBand="0" w:firstRowFirstColumn="0" w:firstRowLastColumn="0" w:lastRowFirstColumn="0" w:lastRowLastColumn="0"/>
            </w:pPr>
            <w:r>
              <w:t>5</w:t>
            </w:r>
            <w:r w:rsidR="00123DDC">
              <w:t xml:space="preserve"> (TBD)</w:t>
            </w:r>
          </w:p>
        </w:tc>
        <w:tc>
          <w:tcPr>
            <w:tcW w:w="1349" w:type="dxa"/>
            <w:tcBorders>
              <w:top w:val="single" w:sz="6" w:space="0" w:color="FFFFFF" w:themeColor="background1"/>
            </w:tcBorders>
          </w:tcPr>
          <w:p w14:paraId="67F7AA40"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Borders>
              <w:top w:val="single" w:sz="6" w:space="0" w:color="FFFFFF" w:themeColor="background1"/>
            </w:tcBorders>
          </w:tcPr>
          <w:p w14:paraId="234B43F3"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r>
      <w:tr w:rsidR="00AB6D00" w:rsidRPr="00481AEE" w14:paraId="6699345D" w14:textId="197A8DEF" w:rsidTr="00591347">
        <w:tc>
          <w:tcPr>
            <w:cnfStyle w:val="001000000000" w:firstRow="0" w:lastRow="0" w:firstColumn="1" w:lastColumn="0" w:oddVBand="0" w:evenVBand="0" w:oddHBand="0" w:evenHBand="0" w:firstRowFirstColumn="0" w:firstRowLastColumn="0" w:lastRowFirstColumn="0" w:lastRowLastColumn="0"/>
            <w:tcW w:w="2152" w:type="dxa"/>
          </w:tcPr>
          <w:p w14:paraId="4EB1536D" w14:textId="3D9C0D43" w:rsidR="00AB6D00" w:rsidRPr="00591347" w:rsidRDefault="00AB6D00" w:rsidP="00AB6D00">
            <w:pPr>
              <w:pStyle w:val="Table"/>
            </w:pPr>
            <w:r>
              <w:t>Develop Thresholds</w:t>
            </w:r>
          </w:p>
        </w:tc>
        <w:tc>
          <w:tcPr>
            <w:tcW w:w="1349" w:type="dxa"/>
            <w:vAlign w:val="center"/>
          </w:tcPr>
          <w:p w14:paraId="484F43A5" w14:textId="5480079F" w:rsidR="00AB6D00" w:rsidRPr="00591347"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23E2F1C0"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5461204D"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2D2103BD"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0DA3B656"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5C96B0AC"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1C048F80"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7601F33E"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r>
      <w:tr w:rsidR="00591347" w:rsidRPr="00481AEE" w14:paraId="1B267942" w14:textId="77777777" w:rsidTr="00591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1A17926A" w14:textId="09A1476F" w:rsidR="00AB6D00" w:rsidRDefault="00AB6D00" w:rsidP="00AB6D00">
            <w:pPr>
              <w:pStyle w:val="Table"/>
            </w:pPr>
            <w:r>
              <w:t>Develop Screens</w:t>
            </w:r>
          </w:p>
        </w:tc>
        <w:tc>
          <w:tcPr>
            <w:tcW w:w="1349" w:type="dxa"/>
            <w:vAlign w:val="center"/>
          </w:tcPr>
          <w:p w14:paraId="1558B57E"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0737531B"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707BEC5A"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5D2725B7"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41DEC269"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19D50353"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1BED3E14"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77733E35"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r>
      <w:tr w:rsidR="00AB6D00" w:rsidRPr="00481AEE" w14:paraId="6A90DD98" w14:textId="77777777" w:rsidTr="00591347">
        <w:tc>
          <w:tcPr>
            <w:cnfStyle w:val="001000000000" w:firstRow="0" w:lastRow="0" w:firstColumn="1" w:lastColumn="0" w:oddVBand="0" w:evenVBand="0" w:oddHBand="0" w:evenHBand="0" w:firstRowFirstColumn="0" w:firstRowLastColumn="0" w:lastRowFirstColumn="0" w:lastRowLastColumn="0"/>
            <w:tcW w:w="2152" w:type="dxa"/>
          </w:tcPr>
          <w:p w14:paraId="2E069226" w14:textId="4CB6191E" w:rsidR="00AB6D00" w:rsidRDefault="00AB6D00" w:rsidP="00AB6D00">
            <w:pPr>
              <w:pStyle w:val="Table"/>
            </w:pPr>
            <w:r>
              <w:t>Develop Mitigation Approach</w:t>
            </w:r>
          </w:p>
        </w:tc>
        <w:tc>
          <w:tcPr>
            <w:tcW w:w="1349" w:type="dxa"/>
            <w:vAlign w:val="center"/>
          </w:tcPr>
          <w:p w14:paraId="4D2185FC"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1A1DE7A5"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084C6948"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766F9571"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31C50949"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6F020B76"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3C7E94D2"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5F2005F1"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r>
      <w:tr w:rsidR="00AB6D00" w:rsidRPr="00481AEE" w14:paraId="2720A768" w14:textId="43DD983F" w:rsidTr="00591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6921C4A5" w14:textId="68AE6E29" w:rsidR="00AB6D00" w:rsidRPr="00591347" w:rsidRDefault="00AB6D00" w:rsidP="727C88DD">
            <w:pPr>
              <w:pStyle w:val="Table"/>
            </w:pPr>
            <w:r>
              <w:t>Internal Engagement</w:t>
            </w:r>
            <w:r w:rsidR="00DC4456">
              <w:t xml:space="preserve"> (cross-department coordination, Planning Commission)</w:t>
            </w:r>
          </w:p>
        </w:tc>
        <w:tc>
          <w:tcPr>
            <w:tcW w:w="1349" w:type="dxa"/>
            <w:vAlign w:val="center"/>
          </w:tcPr>
          <w:p w14:paraId="1E7AB14C" w14:textId="03DA4F53" w:rsidR="00AB6D00" w:rsidRPr="00591347"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63F07E75"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1C304425"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02B2F9AA"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27267324"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091C0625"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132479A8"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795BEF0E" w14:textId="77777777" w:rsidR="00AB6D00" w:rsidRPr="00AB6D00" w:rsidRDefault="00AB6D00" w:rsidP="00591347">
            <w:pPr>
              <w:pStyle w:val="Table"/>
              <w:jc w:val="center"/>
              <w:cnfStyle w:val="000000100000" w:firstRow="0" w:lastRow="0" w:firstColumn="0" w:lastColumn="0" w:oddVBand="0" w:evenVBand="0" w:oddHBand="1" w:evenHBand="0" w:firstRowFirstColumn="0" w:firstRowLastColumn="0" w:lastRowFirstColumn="0" w:lastRowLastColumn="0"/>
            </w:pPr>
          </w:p>
        </w:tc>
      </w:tr>
      <w:tr w:rsidR="00AB6D00" w:rsidRPr="00481AEE" w14:paraId="06926D59" w14:textId="56EEE1CC" w:rsidTr="00591347">
        <w:tc>
          <w:tcPr>
            <w:cnfStyle w:val="001000000000" w:firstRow="0" w:lastRow="0" w:firstColumn="1" w:lastColumn="0" w:oddVBand="0" w:evenVBand="0" w:oddHBand="0" w:evenHBand="0" w:firstRowFirstColumn="0" w:firstRowLastColumn="0" w:lastRowFirstColumn="0" w:lastRowLastColumn="0"/>
            <w:tcW w:w="2152" w:type="dxa"/>
          </w:tcPr>
          <w:p w14:paraId="41F6A886" w14:textId="22F3CAFA" w:rsidR="00AB6D00" w:rsidRPr="00591347" w:rsidRDefault="00AB6D00" w:rsidP="00AB6D00">
            <w:pPr>
              <w:pStyle w:val="Table"/>
            </w:pPr>
            <w:r>
              <w:t>Decision-Maker Engagement</w:t>
            </w:r>
            <w:r w:rsidR="00DC4456">
              <w:t xml:space="preserve"> (City Councilmembers)</w:t>
            </w:r>
          </w:p>
        </w:tc>
        <w:tc>
          <w:tcPr>
            <w:tcW w:w="1349" w:type="dxa"/>
            <w:vAlign w:val="center"/>
          </w:tcPr>
          <w:p w14:paraId="2AC3008D" w14:textId="4F81CF33" w:rsidR="00AB6D00" w:rsidRPr="00591347"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15F8DB72"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07075D10"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4089EE94"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255936BD"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6A95AC27"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0AFA368D"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3C0B85A8" w14:textId="77777777" w:rsidR="00AB6D00" w:rsidRPr="00AB6D00" w:rsidRDefault="00AB6D00" w:rsidP="00591347">
            <w:pPr>
              <w:pStyle w:val="Table"/>
              <w:jc w:val="center"/>
              <w:cnfStyle w:val="000000000000" w:firstRow="0" w:lastRow="0" w:firstColumn="0" w:lastColumn="0" w:oddVBand="0" w:evenVBand="0" w:oddHBand="0" w:evenHBand="0" w:firstRowFirstColumn="0" w:firstRowLastColumn="0" w:lastRowFirstColumn="0" w:lastRowLastColumn="0"/>
            </w:pPr>
          </w:p>
        </w:tc>
      </w:tr>
      <w:tr w:rsidR="00591347" w:rsidRPr="00481AEE" w14:paraId="31ABDD3E" w14:textId="77777777" w:rsidTr="00591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48DB2DE1" w14:textId="4E80CD55" w:rsidR="00AB6D00" w:rsidRDefault="7AAA3690" w:rsidP="00AB6D00">
            <w:pPr>
              <w:pStyle w:val="Table"/>
            </w:pPr>
            <w:r>
              <w:t>Target Adoption Date for Thresholds, Screens and Mitigation Approach</w:t>
            </w:r>
          </w:p>
        </w:tc>
        <w:tc>
          <w:tcPr>
            <w:tcW w:w="1349" w:type="dxa"/>
            <w:vAlign w:val="center"/>
          </w:tcPr>
          <w:p w14:paraId="1B7BE988"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7BBAC33F"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46E1349C"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48AC0DBA"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0B97763C"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4C9F9138"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2092FEBE"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424379FE"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r>
      <w:tr w:rsidR="00AB6D00" w:rsidRPr="00481AEE" w14:paraId="6D86A672" w14:textId="77777777" w:rsidTr="00591347">
        <w:tc>
          <w:tcPr>
            <w:cnfStyle w:val="001000000000" w:firstRow="0" w:lastRow="0" w:firstColumn="1" w:lastColumn="0" w:oddVBand="0" w:evenVBand="0" w:oddHBand="0" w:evenHBand="0" w:firstRowFirstColumn="0" w:firstRowLastColumn="0" w:lastRowFirstColumn="0" w:lastRowLastColumn="0"/>
            <w:tcW w:w="2152" w:type="dxa"/>
          </w:tcPr>
          <w:p w14:paraId="29535071" w14:textId="4DC5A2A0" w:rsidR="00AB6D00" w:rsidRDefault="0086160D" w:rsidP="00AB6D00">
            <w:pPr>
              <w:pStyle w:val="Table"/>
            </w:pPr>
            <w:r>
              <w:lastRenderedPageBreak/>
              <w:t>Approach to evaluation non-CEQA transportation effects</w:t>
            </w:r>
          </w:p>
        </w:tc>
        <w:tc>
          <w:tcPr>
            <w:tcW w:w="1349" w:type="dxa"/>
            <w:vAlign w:val="center"/>
          </w:tcPr>
          <w:p w14:paraId="7C41CC60"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034A6A1A"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58D51839"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020F2612"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1A341F1D"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5C9A5335"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27770786"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1C686F68"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r>
      <w:tr w:rsidR="00591347" w:rsidRPr="00481AEE" w14:paraId="4DE4B4C5" w14:textId="77777777" w:rsidTr="005913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2" w:type="dxa"/>
          </w:tcPr>
          <w:p w14:paraId="6C6B1E42" w14:textId="01D1FD0E" w:rsidR="00AB6D00" w:rsidRDefault="00A72A72" w:rsidP="00AB6D00">
            <w:pPr>
              <w:pStyle w:val="Table"/>
            </w:pPr>
            <w:r>
              <w:t>TDM Policy or Program</w:t>
            </w:r>
          </w:p>
        </w:tc>
        <w:tc>
          <w:tcPr>
            <w:tcW w:w="1349" w:type="dxa"/>
            <w:vAlign w:val="center"/>
          </w:tcPr>
          <w:p w14:paraId="6474C708"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6F045DE3"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1592C175"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vAlign w:val="center"/>
          </w:tcPr>
          <w:p w14:paraId="3A145FE0"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3AAEDAF5"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6112C6E3"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2864E329"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c>
          <w:tcPr>
            <w:tcW w:w="1349" w:type="dxa"/>
          </w:tcPr>
          <w:p w14:paraId="416B5690" w14:textId="77777777" w:rsidR="00AB6D00" w:rsidRPr="00AB6D00" w:rsidRDefault="00AB6D00" w:rsidP="00AB6D00">
            <w:pPr>
              <w:pStyle w:val="Table"/>
              <w:jc w:val="center"/>
              <w:cnfStyle w:val="000000100000" w:firstRow="0" w:lastRow="0" w:firstColumn="0" w:lastColumn="0" w:oddVBand="0" w:evenVBand="0" w:oddHBand="1" w:evenHBand="0" w:firstRowFirstColumn="0" w:firstRowLastColumn="0" w:lastRowFirstColumn="0" w:lastRowLastColumn="0"/>
            </w:pPr>
          </w:p>
        </w:tc>
      </w:tr>
      <w:tr w:rsidR="00AB6D00" w:rsidRPr="00481AEE" w14:paraId="19B0BEE9" w14:textId="77777777" w:rsidTr="00591347">
        <w:tc>
          <w:tcPr>
            <w:cnfStyle w:val="001000000000" w:firstRow="0" w:lastRow="0" w:firstColumn="1" w:lastColumn="0" w:oddVBand="0" w:evenVBand="0" w:oddHBand="0" w:evenHBand="0" w:firstRowFirstColumn="0" w:firstRowLastColumn="0" w:lastRowFirstColumn="0" w:lastRowLastColumn="0"/>
            <w:tcW w:w="2152" w:type="dxa"/>
          </w:tcPr>
          <w:p w14:paraId="59F7B6F7" w14:textId="77777777" w:rsidR="00AB6D00" w:rsidRDefault="00AB6D00" w:rsidP="00AB6D00">
            <w:pPr>
              <w:pStyle w:val="Table"/>
            </w:pPr>
          </w:p>
        </w:tc>
        <w:tc>
          <w:tcPr>
            <w:tcW w:w="1349" w:type="dxa"/>
            <w:vAlign w:val="center"/>
          </w:tcPr>
          <w:p w14:paraId="0F3313ED"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359017AE"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73E94AF8"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vAlign w:val="center"/>
          </w:tcPr>
          <w:p w14:paraId="57EE075A"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619CD9E4"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595FE3A2"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4EAC9598"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c>
          <w:tcPr>
            <w:tcW w:w="1349" w:type="dxa"/>
          </w:tcPr>
          <w:p w14:paraId="4DF3B698" w14:textId="77777777" w:rsidR="00AB6D00" w:rsidRPr="00AB6D00" w:rsidRDefault="00AB6D00" w:rsidP="00AB6D00">
            <w:pPr>
              <w:pStyle w:val="Table"/>
              <w:jc w:val="center"/>
              <w:cnfStyle w:val="000000000000" w:firstRow="0" w:lastRow="0" w:firstColumn="0" w:lastColumn="0" w:oddVBand="0" w:evenVBand="0" w:oddHBand="0" w:evenHBand="0" w:firstRowFirstColumn="0" w:firstRowLastColumn="0" w:lastRowFirstColumn="0" w:lastRowLastColumn="0"/>
            </w:pPr>
          </w:p>
        </w:tc>
      </w:tr>
    </w:tbl>
    <w:p w14:paraId="63241886" w14:textId="77777777" w:rsidR="00D75CFE" w:rsidRPr="00D75CFE" w:rsidRDefault="00D75CFE" w:rsidP="00D75CFE"/>
    <w:sectPr w:rsidR="00D75CFE" w:rsidRPr="00D75CFE" w:rsidSect="00AB6D00">
      <w:pgSz w:w="15840" w:h="12240" w:orient="landscape" w:code="1"/>
      <w:pgMar w:top="1440" w:right="1440" w:bottom="1440" w:left="1440" w:header="54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C5610" w14:textId="77777777" w:rsidR="00094875" w:rsidRDefault="00094875" w:rsidP="00236BB4">
      <w:r>
        <w:separator/>
      </w:r>
    </w:p>
  </w:endnote>
  <w:endnote w:type="continuationSeparator" w:id="0">
    <w:p w14:paraId="55545711" w14:textId="77777777" w:rsidR="00094875" w:rsidRDefault="00094875" w:rsidP="0023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27D69" w14:textId="5C15970F" w:rsidR="006F2C10" w:rsidRDefault="006F2C10" w:rsidP="4DA4C557">
    <w:pPr>
      <w:pStyle w:val="Footer"/>
      <w:jc w:val="right"/>
      <w:rPr>
        <w:noProof/>
      </w:rPr>
    </w:pPr>
    <w:r>
      <w:fldChar w:fldCharType="begin"/>
    </w:r>
    <w:r>
      <w:instrText>PAGE</w:instrText>
    </w:r>
    <w:r>
      <w:fldChar w:fldCharType="separate"/>
    </w:r>
    <w:r w:rsidR="00286349">
      <w:rPr>
        <w:noProof/>
      </w:rPr>
      <w:t>1</w:t>
    </w:r>
    <w:r>
      <w:fldChar w:fldCharType="end"/>
    </w:r>
    <w:sdt>
      <w:sdtPr>
        <w:id w:val="883488018"/>
        <w:docPartObj>
          <w:docPartGallery w:val="Page Numbers (Bottom of Page)"/>
          <w:docPartUnique/>
        </w:docPartObj>
      </w:sdtPr>
      <w:sdtEndPr>
        <w:rPr>
          <w:noProof/>
        </w:rPr>
      </w:sdtEndPr>
      <w:sdtContent/>
    </w:sdt>
  </w:p>
  <w:p w14:paraId="76000DD1" w14:textId="77777777" w:rsidR="006F2C10" w:rsidRDefault="006F2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2D71FF" w14:textId="77777777" w:rsidR="00094875" w:rsidRDefault="00094875" w:rsidP="00236BB4">
      <w:r>
        <w:separator/>
      </w:r>
    </w:p>
  </w:footnote>
  <w:footnote w:type="continuationSeparator" w:id="0">
    <w:p w14:paraId="28A828AF" w14:textId="77777777" w:rsidR="00094875" w:rsidRDefault="00094875" w:rsidP="00236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306B7" w14:textId="1C71A462" w:rsidR="00CA05A3" w:rsidRPr="00CA05A3" w:rsidRDefault="00CA05A3" w:rsidP="00CA05A3">
    <w:pPr>
      <w:jc w:val="center"/>
      <w:rPr>
        <w:rStyle w:val="SubtleReference"/>
        <w:b/>
        <w:bCs/>
      </w:rPr>
    </w:pPr>
    <w:r w:rsidRPr="00CA05A3">
      <w:rPr>
        <w:rStyle w:val="SubtleReference"/>
        <w:b/>
        <w:bCs/>
      </w:rPr>
      <w:t xml:space="preserve">VMT Policy Adoption Technical Assistance </w:t>
    </w:r>
    <w:r w:rsidR="00922DC5">
      <w:rPr>
        <w:rStyle w:val="SubtleReference"/>
        <w:b/>
        <w:bCs/>
      </w:rPr>
      <w:t>Memo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A0AEB"/>
    <w:multiLevelType w:val="hybridMultilevel"/>
    <w:tmpl w:val="0DC2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2A341F"/>
    <w:multiLevelType w:val="hybridMultilevel"/>
    <w:tmpl w:val="7AB62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9F21F1"/>
    <w:multiLevelType w:val="hybridMultilevel"/>
    <w:tmpl w:val="C7B61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530F9B"/>
    <w:multiLevelType w:val="hybridMultilevel"/>
    <w:tmpl w:val="FFFFFFFF"/>
    <w:lvl w:ilvl="0" w:tplc="B1EA153A">
      <w:start w:val="1"/>
      <w:numFmt w:val="bullet"/>
      <w:lvlText w:val="·"/>
      <w:lvlJc w:val="left"/>
      <w:pPr>
        <w:ind w:left="720" w:hanging="360"/>
      </w:pPr>
      <w:rPr>
        <w:rFonts w:ascii="Symbol" w:hAnsi="Symbol" w:hint="default"/>
      </w:rPr>
    </w:lvl>
    <w:lvl w:ilvl="1" w:tplc="BE30CD48">
      <w:start w:val="1"/>
      <w:numFmt w:val="bullet"/>
      <w:lvlText w:val="o"/>
      <w:lvlJc w:val="left"/>
      <w:pPr>
        <w:ind w:left="1440" w:hanging="360"/>
      </w:pPr>
      <w:rPr>
        <w:rFonts w:ascii="Courier New" w:hAnsi="Courier New" w:hint="default"/>
      </w:rPr>
    </w:lvl>
    <w:lvl w:ilvl="2" w:tplc="E6C232CA">
      <w:start w:val="1"/>
      <w:numFmt w:val="bullet"/>
      <w:lvlText w:val=""/>
      <w:lvlJc w:val="left"/>
      <w:pPr>
        <w:ind w:left="2160" w:hanging="360"/>
      </w:pPr>
      <w:rPr>
        <w:rFonts w:ascii="Wingdings" w:hAnsi="Wingdings" w:hint="default"/>
      </w:rPr>
    </w:lvl>
    <w:lvl w:ilvl="3" w:tplc="B7C0CF64">
      <w:start w:val="1"/>
      <w:numFmt w:val="bullet"/>
      <w:lvlText w:val=""/>
      <w:lvlJc w:val="left"/>
      <w:pPr>
        <w:ind w:left="2880" w:hanging="360"/>
      </w:pPr>
      <w:rPr>
        <w:rFonts w:ascii="Symbol" w:hAnsi="Symbol" w:hint="default"/>
      </w:rPr>
    </w:lvl>
    <w:lvl w:ilvl="4" w:tplc="C4DCCC5C">
      <w:start w:val="1"/>
      <w:numFmt w:val="bullet"/>
      <w:lvlText w:val="o"/>
      <w:lvlJc w:val="left"/>
      <w:pPr>
        <w:ind w:left="3600" w:hanging="360"/>
      </w:pPr>
      <w:rPr>
        <w:rFonts w:ascii="Courier New" w:hAnsi="Courier New" w:hint="default"/>
      </w:rPr>
    </w:lvl>
    <w:lvl w:ilvl="5" w:tplc="637AB664">
      <w:start w:val="1"/>
      <w:numFmt w:val="bullet"/>
      <w:lvlText w:val=""/>
      <w:lvlJc w:val="left"/>
      <w:pPr>
        <w:ind w:left="4320" w:hanging="360"/>
      </w:pPr>
      <w:rPr>
        <w:rFonts w:ascii="Wingdings" w:hAnsi="Wingdings" w:hint="default"/>
      </w:rPr>
    </w:lvl>
    <w:lvl w:ilvl="6" w:tplc="AF20F320">
      <w:start w:val="1"/>
      <w:numFmt w:val="bullet"/>
      <w:lvlText w:val=""/>
      <w:lvlJc w:val="left"/>
      <w:pPr>
        <w:ind w:left="5040" w:hanging="360"/>
      </w:pPr>
      <w:rPr>
        <w:rFonts w:ascii="Symbol" w:hAnsi="Symbol" w:hint="default"/>
      </w:rPr>
    </w:lvl>
    <w:lvl w:ilvl="7" w:tplc="919C7566">
      <w:start w:val="1"/>
      <w:numFmt w:val="bullet"/>
      <w:lvlText w:val="o"/>
      <w:lvlJc w:val="left"/>
      <w:pPr>
        <w:ind w:left="5760" w:hanging="360"/>
      </w:pPr>
      <w:rPr>
        <w:rFonts w:ascii="Courier New" w:hAnsi="Courier New" w:hint="default"/>
      </w:rPr>
    </w:lvl>
    <w:lvl w:ilvl="8" w:tplc="34D2B186">
      <w:start w:val="1"/>
      <w:numFmt w:val="bullet"/>
      <w:lvlText w:val=""/>
      <w:lvlJc w:val="left"/>
      <w:pPr>
        <w:ind w:left="6480" w:hanging="360"/>
      </w:pPr>
      <w:rPr>
        <w:rFonts w:ascii="Wingdings" w:hAnsi="Wingdings" w:hint="default"/>
      </w:rPr>
    </w:lvl>
  </w:abstractNum>
  <w:abstractNum w:abstractNumId="4" w15:restartNumberingAfterBreak="0">
    <w:nsid w:val="6B155110"/>
    <w:multiLevelType w:val="hybridMultilevel"/>
    <w:tmpl w:val="17DEE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3F0DD0"/>
    <w:multiLevelType w:val="hybridMultilevel"/>
    <w:tmpl w:val="4CE45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B92F39"/>
    <w:multiLevelType w:val="hybridMultilevel"/>
    <w:tmpl w:val="B8726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17306"/>
    <w:multiLevelType w:val="multilevel"/>
    <w:tmpl w:val="2200DA86"/>
    <w:lvl w:ilvl="0">
      <w:start w:val="1"/>
      <w:numFmt w:val="bullet"/>
      <w:pStyle w:val="NNBullets"/>
      <w:lvlText w:val=""/>
      <w:lvlJc w:val="left"/>
      <w:pPr>
        <w:tabs>
          <w:tab w:val="num" w:pos="720"/>
        </w:tabs>
        <w:ind w:left="720" w:hanging="360"/>
      </w:pPr>
      <w:rPr>
        <w:rFonts w:ascii="Wingdings" w:hAnsi="Wingdings" w:hint="default"/>
      </w:rPr>
    </w:lvl>
    <w:lvl w:ilvl="1">
      <w:start w:val="1"/>
      <w:numFmt w:val="bullet"/>
      <w:pStyle w:val="NNBullets2"/>
      <w:lvlText w:val=""/>
      <w:lvlJc w:val="left"/>
      <w:pPr>
        <w:tabs>
          <w:tab w:val="num" w:pos="1080"/>
        </w:tabs>
        <w:ind w:left="1080" w:hanging="360"/>
      </w:pPr>
      <w:rPr>
        <w:rFonts w:ascii="Symbol" w:hAnsi="Symbol" w:hint="default"/>
      </w:rPr>
    </w:lvl>
    <w:lvl w:ilvl="2">
      <w:start w:val="1"/>
      <w:numFmt w:val="bullet"/>
      <w:pStyle w:val="NNBullets3"/>
      <w:lvlText w:val="o"/>
      <w:lvlJc w:val="left"/>
      <w:pPr>
        <w:tabs>
          <w:tab w:val="num" w:pos="1440"/>
        </w:tabs>
        <w:ind w:left="1440" w:hanging="360"/>
      </w:pPr>
      <w:rPr>
        <w:rFonts w:ascii="Courier New" w:hAnsi="Courier New" w:hint="default"/>
      </w:rPr>
    </w:lvl>
    <w:lvl w:ilvl="3">
      <w:start w:val="1"/>
      <w:numFmt w:val="bullet"/>
      <w:pStyle w:val="NNBullets4"/>
      <w:lvlText w:val=""/>
      <w:lvlJc w:val="left"/>
      <w:pPr>
        <w:tabs>
          <w:tab w:val="num" w:pos="1800"/>
        </w:tabs>
        <w:ind w:left="1800" w:hanging="360"/>
      </w:pPr>
      <w:rPr>
        <w:rFonts w:ascii="Symbol" w:hAnsi="Symbol" w:hint="default"/>
      </w:rPr>
    </w:lvl>
    <w:lvl w:ilvl="4">
      <w:start w:val="1"/>
      <w:numFmt w:val="bullet"/>
      <w:lvlRestart w:val="0"/>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o"/>
      <w:lvlJc w:val="left"/>
      <w:pPr>
        <w:tabs>
          <w:tab w:val="num" w:pos="3240"/>
        </w:tabs>
        <w:ind w:left="3240" w:hanging="360"/>
      </w:pPr>
      <w:rPr>
        <w:rFonts w:ascii="Courier New" w:hAnsi="Courier New" w:hint="default"/>
      </w:rPr>
    </w:lvl>
    <w:lvl w:ilvl="8">
      <w:start w:val="1"/>
      <w:numFmt w:val="bullet"/>
      <w:lvlText w:val=""/>
      <w:lvlJc w:val="left"/>
      <w:pPr>
        <w:tabs>
          <w:tab w:val="num" w:pos="3600"/>
        </w:tabs>
        <w:ind w:left="3600" w:hanging="360"/>
      </w:pPr>
      <w:rPr>
        <w:rFonts w:ascii="Wingdings" w:hAnsi="Wingdings" w:hint="default"/>
      </w:rPr>
    </w:lvl>
  </w:abstractNum>
  <w:num w:numId="1" w16cid:durableId="328679313">
    <w:abstractNumId w:val="3"/>
  </w:num>
  <w:num w:numId="2" w16cid:durableId="1483885380">
    <w:abstractNumId w:val="1"/>
  </w:num>
  <w:num w:numId="3" w16cid:durableId="1658069954">
    <w:abstractNumId w:val="6"/>
  </w:num>
  <w:num w:numId="4" w16cid:durableId="1620213674">
    <w:abstractNumId w:val="5"/>
  </w:num>
  <w:num w:numId="5" w16cid:durableId="91827357">
    <w:abstractNumId w:val="2"/>
  </w:num>
  <w:num w:numId="6" w16cid:durableId="1605108234">
    <w:abstractNumId w:val="4"/>
  </w:num>
  <w:num w:numId="7" w16cid:durableId="1994992510">
    <w:abstractNumId w:val="7"/>
  </w:num>
  <w:num w:numId="8" w16cid:durableId="797995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875"/>
    <w:rsid w:val="00007906"/>
    <w:rsid w:val="00012AA0"/>
    <w:rsid w:val="00014302"/>
    <w:rsid w:val="000169D0"/>
    <w:rsid w:val="000259E5"/>
    <w:rsid w:val="000709AD"/>
    <w:rsid w:val="00094875"/>
    <w:rsid w:val="000A6EDE"/>
    <w:rsid w:val="000E0A59"/>
    <w:rsid w:val="001000BE"/>
    <w:rsid w:val="00123DDC"/>
    <w:rsid w:val="001466C7"/>
    <w:rsid w:val="0018664D"/>
    <w:rsid w:val="001A34E2"/>
    <w:rsid w:val="001B3BC5"/>
    <w:rsid w:val="001C4184"/>
    <w:rsid w:val="001D4BFE"/>
    <w:rsid w:val="002038BF"/>
    <w:rsid w:val="00210991"/>
    <w:rsid w:val="00212052"/>
    <w:rsid w:val="002130B1"/>
    <w:rsid w:val="002218D8"/>
    <w:rsid w:val="00236BB4"/>
    <w:rsid w:val="002524B3"/>
    <w:rsid w:val="00254B18"/>
    <w:rsid w:val="00255E22"/>
    <w:rsid w:val="00286349"/>
    <w:rsid w:val="00290D82"/>
    <w:rsid w:val="002917D7"/>
    <w:rsid w:val="0029333A"/>
    <w:rsid w:val="00293DDF"/>
    <w:rsid w:val="002A3620"/>
    <w:rsid w:val="002B3A97"/>
    <w:rsid w:val="002B694C"/>
    <w:rsid w:val="002E01D6"/>
    <w:rsid w:val="002F0104"/>
    <w:rsid w:val="00303443"/>
    <w:rsid w:val="00306318"/>
    <w:rsid w:val="003072C3"/>
    <w:rsid w:val="00336BBD"/>
    <w:rsid w:val="0036753E"/>
    <w:rsid w:val="00396194"/>
    <w:rsid w:val="003A3C6C"/>
    <w:rsid w:val="003A63D1"/>
    <w:rsid w:val="003B18BF"/>
    <w:rsid w:val="003C065F"/>
    <w:rsid w:val="003C1D1A"/>
    <w:rsid w:val="00407BCE"/>
    <w:rsid w:val="00407CFA"/>
    <w:rsid w:val="00415DEC"/>
    <w:rsid w:val="004202D9"/>
    <w:rsid w:val="00424B15"/>
    <w:rsid w:val="004264BD"/>
    <w:rsid w:val="00436B76"/>
    <w:rsid w:val="00454123"/>
    <w:rsid w:val="0047280A"/>
    <w:rsid w:val="00481AEE"/>
    <w:rsid w:val="004A2820"/>
    <w:rsid w:val="004B0027"/>
    <w:rsid w:val="004C0E2F"/>
    <w:rsid w:val="004C13F5"/>
    <w:rsid w:val="004C714F"/>
    <w:rsid w:val="004F3451"/>
    <w:rsid w:val="0050081B"/>
    <w:rsid w:val="00502F89"/>
    <w:rsid w:val="00505714"/>
    <w:rsid w:val="00514C98"/>
    <w:rsid w:val="00523483"/>
    <w:rsid w:val="00530526"/>
    <w:rsid w:val="0055364E"/>
    <w:rsid w:val="005570F4"/>
    <w:rsid w:val="0055716E"/>
    <w:rsid w:val="005742AF"/>
    <w:rsid w:val="00591347"/>
    <w:rsid w:val="00596AA1"/>
    <w:rsid w:val="005A7544"/>
    <w:rsid w:val="005B359E"/>
    <w:rsid w:val="005C05EC"/>
    <w:rsid w:val="005C0BB9"/>
    <w:rsid w:val="005C354F"/>
    <w:rsid w:val="005E12B6"/>
    <w:rsid w:val="005E21EE"/>
    <w:rsid w:val="0060451A"/>
    <w:rsid w:val="00610BDF"/>
    <w:rsid w:val="00617379"/>
    <w:rsid w:val="00664144"/>
    <w:rsid w:val="006720A6"/>
    <w:rsid w:val="006741F7"/>
    <w:rsid w:val="0068541A"/>
    <w:rsid w:val="006862EC"/>
    <w:rsid w:val="006C1C22"/>
    <w:rsid w:val="006F2C10"/>
    <w:rsid w:val="00703BD7"/>
    <w:rsid w:val="00720A85"/>
    <w:rsid w:val="00740BE3"/>
    <w:rsid w:val="0076181E"/>
    <w:rsid w:val="007679AF"/>
    <w:rsid w:val="00781776"/>
    <w:rsid w:val="007E13B3"/>
    <w:rsid w:val="007E60B4"/>
    <w:rsid w:val="007F753A"/>
    <w:rsid w:val="008052ED"/>
    <w:rsid w:val="0086160D"/>
    <w:rsid w:val="00865474"/>
    <w:rsid w:val="008737ED"/>
    <w:rsid w:val="00882BA2"/>
    <w:rsid w:val="00887292"/>
    <w:rsid w:val="008876E8"/>
    <w:rsid w:val="008B6DCE"/>
    <w:rsid w:val="00902DA3"/>
    <w:rsid w:val="009079E9"/>
    <w:rsid w:val="009203C1"/>
    <w:rsid w:val="0092263E"/>
    <w:rsid w:val="00922DC5"/>
    <w:rsid w:val="00931701"/>
    <w:rsid w:val="00937E51"/>
    <w:rsid w:val="009858DE"/>
    <w:rsid w:val="0099291A"/>
    <w:rsid w:val="009A5E34"/>
    <w:rsid w:val="009D0E5D"/>
    <w:rsid w:val="009D24A6"/>
    <w:rsid w:val="009D322A"/>
    <w:rsid w:val="009E4BE3"/>
    <w:rsid w:val="009F524A"/>
    <w:rsid w:val="00A02C38"/>
    <w:rsid w:val="00A13FAF"/>
    <w:rsid w:val="00A67FFA"/>
    <w:rsid w:val="00A72A72"/>
    <w:rsid w:val="00A92587"/>
    <w:rsid w:val="00A93C9F"/>
    <w:rsid w:val="00AA6D9E"/>
    <w:rsid w:val="00AB6A2F"/>
    <w:rsid w:val="00AB6D00"/>
    <w:rsid w:val="00AE20A0"/>
    <w:rsid w:val="00AF033F"/>
    <w:rsid w:val="00B20BB9"/>
    <w:rsid w:val="00B5641F"/>
    <w:rsid w:val="00B723E4"/>
    <w:rsid w:val="00B75BF7"/>
    <w:rsid w:val="00B77F73"/>
    <w:rsid w:val="00BA4BA9"/>
    <w:rsid w:val="00BE4A7E"/>
    <w:rsid w:val="00C1227A"/>
    <w:rsid w:val="00C2456D"/>
    <w:rsid w:val="00C34ECB"/>
    <w:rsid w:val="00C404CB"/>
    <w:rsid w:val="00C738A1"/>
    <w:rsid w:val="00C73BC7"/>
    <w:rsid w:val="00C82D76"/>
    <w:rsid w:val="00C96ACC"/>
    <w:rsid w:val="00CA05A3"/>
    <w:rsid w:val="00CA5676"/>
    <w:rsid w:val="00CB0FA0"/>
    <w:rsid w:val="00CE782C"/>
    <w:rsid w:val="00CF1ECE"/>
    <w:rsid w:val="00D236F7"/>
    <w:rsid w:val="00D46C6B"/>
    <w:rsid w:val="00D52E8A"/>
    <w:rsid w:val="00D64585"/>
    <w:rsid w:val="00D75CFE"/>
    <w:rsid w:val="00D766B8"/>
    <w:rsid w:val="00D77BF4"/>
    <w:rsid w:val="00D77C46"/>
    <w:rsid w:val="00DA0CB4"/>
    <w:rsid w:val="00DC3009"/>
    <w:rsid w:val="00DC4454"/>
    <w:rsid w:val="00DC4456"/>
    <w:rsid w:val="00DE567C"/>
    <w:rsid w:val="00E01E22"/>
    <w:rsid w:val="00E26E4A"/>
    <w:rsid w:val="00E37241"/>
    <w:rsid w:val="00E41399"/>
    <w:rsid w:val="00E4153E"/>
    <w:rsid w:val="00E767D7"/>
    <w:rsid w:val="00E76FB0"/>
    <w:rsid w:val="00E814D6"/>
    <w:rsid w:val="00EB17AB"/>
    <w:rsid w:val="00EC5810"/>
    <w:rsid w:val="00EC7F33"/>
    <w:rsid w:val="00ED4FB0"/>
    <w:rsid w:val="00EF3544"/>
    <w:rsid w:val="00EF50E0"/>
    <w:rsid w:val="00F0451E"/>
    <w:rsid w:val="00F139A3"/>
    <w:rsid w:val="00F166F3"/>
    <w:rsid w:val="00F31EC6"/>
    <w:rsid w:val="00F664BF"/>
    <w:rsid w:val="00F75A36"/>
    <w:rsid w:val="00F86CA9"/>
    <w:rsid w:val="00F90425"/>
    <w:rsid w:val="00F92002"/>
    <w:rsid w:val="00F9286D"/>
    <w:rsid w:val="00FE1975"/>
    <w:rsid w:val="00FE3971"/>
    <w:rsid w:val="00FF25A2"/>
    <w:rsid w:val="0192740E"/>
    <w:rsid w:val="02E9ED78"/>
    <w:rsid w:val="0454CF00"/>
    <w:rsid w:val="04FEE04A"/>
    <w:rsid w:val="0515274A"/>
    <w:rsid w:val="0596CA82"/>
    <w:rsid w:val="05FC1AE1"/>
    <w:rsid w:val="0801B592"/>
    <w:rsid w:val="089AE726"/>
    <w:rsid w:val="0AD7798A"/>
    <w:rsid w:val="1256B7F8"/>
    <w:rsid w:val="1283FBBC"/>
    <w:rsid w:val="13F28859"/>
    <w:rsid w:val="143107EF"/>
    <w:rsid w:val="16BA2DE3"/>
    <w:rsid w:val="16D51BAD"/>
    <w:rsid w:val="16ED3012"/>
    <w:rsid w:val="1750AC33"/>
    <w:rsid w:val="1AD498F7"/>
    <w:rsid w:val="1B19F79E"/>
    <w:rsid w:val="1F6C728A"/>
    <w:rsid w:val="2015E1B9"/>
    <w:rsid w:val="202E6B28"/>
    <w:rsid w:val="2050B211"/>
    <w:rsid w:val="21CA3B89"/>
    <w:rsid w:val="2250A1CB"/>
    <w:rsid w:val="29B892B0"/>
    <w:rsid w:val="2A2E1EB6"/>
    <w:rsid w:val="2BDE5BB4"/>
    <w:rsid w:val="2F15FC76"/>
    <w:rsid w:val="3156B306"/>
    <w:rsid w:val="324D9D38"/>
    <w:rsid w:val="3341602B"/>
    <w:rsid w:val="334E6BF5"/>
    <w:rsid w:val="36F1A563"/>
    <w:rsid w:val="3AD7F794"/>
    <w:rsid w:val="3B4A096B"/>
    <w:rsid w:val="3DE0F1D2"/>
    <w:rsid w:val="45F42313"/>
    <w:rsid w:val="462FCBB6"/>
    <w:rsid w:val="4725F74E"/>
    <w:rsid w:val="476EABBB"/>
    <w:rsid w:val="494C435D"/>
    <w:rsid w:val="4C1F02B4"/>
    <w:rsid w:val="4DA4C557"/>
    <w:rsid w:val="53D75DA3"/>
    <w:rsid w:val="5499161E"/>
    <w:rsid w:val="57D77183"/>
    <w:rsid w:val="5880B1D4"/>
    <w:rsid w:val="592F8851"/>
    <w:rsid w:val="607F7678"/>
    <w:rsid w:val="60A64CDC"/>
    <w:rsid w:val="61BD97F4"/>
    <w:rsid w:val="63596855"/>
    <w:rsid w:val="652097DC"/>
    <w:rsid w:val="659E04AD"/>
    <w:rsid w:val="65CE281A"/>
    <w:rsid w:val="69C8A9D9"/>
    <w:rsid w:val="6A9BADBA"/>
    <w:rsid w:val="6AFF29DB"/>
    <w:rsid w:val="6E84E410"/>
    <w:rsid w:val="6F5F5C20"/>
    <w:rsid w:val="6FE8E0E7"/>
    <w:rsid w:val="727C88DD"/>
    <w:rsid w:val="738F3481"/>
    <w:rsid w:val="75615B48"/>
    <w:rsid w:val="7AAA3690"/>
    <w:rsid w:val="7FE3E39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FF04D"/>
  <w15:chartTrackingRefBased/>
  <w15:docId w15:val="{0A9EBEE7-C7AD-4FEE-8A91-857F3BD87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4875"/>
    <w:pPr>
      <w:overflowPunct w:val="0"/>
      <w:autoSpaceDE w:val="0"/>
      <w:autoSpaceDN w:val="0"/>
      <w:adjustRightInd w:val="0"/>
      <w:spacing w:after="120" w:line="240" w:lineRule="auto"/>
      <w:textAlignment w:val="baseline"/>
    </w:pPr>
    <w:rPr>
      <w:rFonts w:ascii="Source Sans Pro Light" w:eastAsia="Times New Roman" w:hAnsi="Source Sans Pro Light" w:cs="Times New Roman"/>
      <w:sz w:val="24"/>
      <w:szCs w:val="20"/>
    </w:rPr>
  </w:style>
  <w:style w:type="paragraph" w:styleId="Heading1">
    <w:name w:val="heading 1"/>
    <w:basedOn w:val="Normal"/>
    <w:next w:val="Normal"/>
    <w:link w:val="Heading1Char"/>
    <w:uiPriority w:val="9"/>
    <w:qFormat/>
    <w:rsid w:val="00094875"/>
    <w:pPr>
      <w:keepNext/>
      <w:keepLines/>
      <w:spacing w:after="240"/>
      <w:outlineLvl w:val="0"/>
    </w:pPr>
    <w:rPr>
      <w:rFonts w:ascii="Source Sans Pro SemiBold" w:eastAsiaTheme="majorEastAsia" w:hAnsi="Source Sans Pro SemiBold"/>
      <w:b/>
      <w:bCs/>
      <w:color w:val="000000" w:themeColor="text1"/>
      <w:sz w:val="32"/>
      <w:szCs w:val="32"/>
    </w:rPr>
  </w:style>
  <w:style w:type="paragraph" w:styleId="Heading2">
    <w:name w:val="heading 2"/>
    <w:basedOn w:val="Normal"/>
    <w:next w:val="Normal"/>
    <w:link w:val="Heading2Char"/>
    <w:uiPriority w:val="9"/>
    <w:unhideWhenUsed/>
    <w:qFormat/>
    <w:rsid w:val="00094875"/>
    <w:pPr>
      <w:keepNext/>
      <w:keepLines/>
      <w:spacing w:before="200" w:after="0"/>
      <w:outlineLvl w:val="1"/>
    </w:pPr>
    <w:rPr>
      <w:rFonts w:ascii="Source Sans Pro SemiBold" w:eastAsiaTheme="majorEastAsia" w:hAnsi="Source Sans Pro SemiBold"/>
      <w:noProof/>
      <w:color w:val="2E74B5" w:themeColor="accent1" w:themeShade="BF"/>
      <w:sz w:val="26"/>
      <w:szCs w:val="26"/>
    </w:rPr>
  </w:style>
  <w:style w:type="paragraph" w:styleId="Heading3">
    <w:name w:val="heading 3"/>
    <w:basedOn w:val="Normal"/>
    <w:next w:val="Normal"/>
    <w:link w:val="Heading3Char"/>
    <w:uiPriority w:val="9"/>
    <w:unhideWhenUsed/>
    <w:qFormat/>
    <w:rsid w:val="00094875"/>
    <w:pPr>
      <w:keepNext/>
      <w:keepLines/>
      <w:spacing w:before="40" w:after="0"/>
      <w:outlineLvl w:val="2"/>
    </w:pPr>
    <w:rPr>
      <w:rFonts w:eastAsiaTheme="majorEastAsia" w:cstheme="majorBidi"/>
      <w:color w:val="1F4D78" w:themeColor="accent1" w:themeShade="7F"/>
      <w:szCs w:val="24"/>
    </w:rPr>
  </w:style>
  <w:style w:type="paragraph" w:styleId="Heading4">
    <w:name w:val="heading 4"/>
    <w:basedOn w:val="Normal"/>
    <w:next w:val="Normal"/>
    <w:link w:val="Heading4Char"/>
    <w:uiPriority w:val="99"/>
    <w:qFormat/>
    <w:rsid w:val="006720A6"/>
    <w:pPr>
      <w:keepNext/>
      <w:spacing w:after="60" w:line="480" w:lineRule="atLeast"/>
      <w:ind w:left="10" w:right="170"/>
      <w:outlineLvl w:val="3"/>
    </w:pPr>
    <w:rPr>
      <w:u w:val="single"/>
    </w:rPr>
  </w:style>
  <w:style w:type="paragraph" w:styleId="Heading5">
    <w:name w:val="heading 5"/>
    <w:basedOn w:val="Normal"/>
    <w:next w:val="Normal"/>
    <w:link w:val="Heading5Char"/>
    <w:uiPriority w:val="9"/>
    <w:unhideWhenUsed/>
    <w:qFormat/>
    <w:rsid w:val="00094875"/>
    <w:pPr>
      <w:keepNext/>
      <w:keepLines/>
      <w:spacing w:before="40" w:after="0"/>
      <w:outlineLvl w:val="4"/>
    </w:pPr>
    <w:rPr>
      <w:rFonts w:ascii="Source Sans Pro SemiBold" w:eastAsiaTheme="majorEastAsia" w:hAnsi="Source Sans Pro SemiBold"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6720A6"/>
    <w:rPr>
      <w:rFonts w:ascii="Times New Roman" w:eastAsia="Times New Roman" w:hAnsi="Times New Roman" w:cs="Times New Roman"/>
      <w:sz w:val="24"/>
      <w:szCs w:val="20"/>
      <w:u w:val="single"/>
    </w:rPr>
  </w:style>
  <w:style w:type="paragraph" w:styleId="BodyText">
    <w:name w:val="Body Text"/>
    <w:basedOn w:val="Normal"/>
    <w:link w:val="BodyTextChar"/>
    <w:uiPriority w:val="99"/>
    <w:rsid w:val="006720A6"/>
    <w:rPr>
      <w:color w:val="000080"/>
    </w:rPr>
  </w:style>
  <w:style w:type="character" w:customStyle="1" w:styleId="BodyTextChar">
    <w:name w:val="Body Text Char"/>
    <w:basedOn w:val="DefaultParagraphFont"/>
    <w:link w:val="BodyText"/>
    <w:uiPriority w:val="99"/>
    <w:rsid w:val="006720A6"/>
    <w:rPr>
      <w:rFonts w:ascii="Times New Roman" w:eastAsia="Times New Roman" w:hAnsi="Times New Roman" w:cs="Times New Roman"/>
      <w:color w:val="000080"/>
      <w:sz w:val="24"/>
      <w:szCs w:val="20"/>
    </w:rPr>
  </w:style>
  <w:style w:type="paragraph" w:styleId="CommentText">
    <w:name w:val="annotation text"/>
    <w:basedOn w:val="Normal"/>
    <w:link w:val="CommentTextChar"/>
    <w:uiPriority w:val="99"/>
    <w:semiHidden/>
    <w:rsid w:val="006720A6"/>
    <w:rPr>
      <w:sz w:val="20"/>
    </w:rPr>
  </w:style>
  <w:style w:type="character" w:customStyle="1" w:styleId="CommentTextChar">
    <w:name w:val="Comment Text Char"/>
    <w:basedOn w:val="DefaultParagraphFont"/>
    <w:link w:val="CommentText"/>
    <w:uiPriority w:val="99"/>
    <w:semiHidden/>
    <w:rsid w:val="006720A6"/>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E21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1EE"/>
    <w:rPr>
      <w:rFonts w:ascii="Segoe UI" w:eastAsia="Times New Roman" w:hAnsi="Segoe UI" w:cs="Segoe UI"/>
      <w:sz w:val="18"/>
      <w:szCs w:val="18"/>
    </w:rPr>
  </w:style>
  <w:style w:type="paragraph" w:styleId="Header">
    <w:name w:val="header"/>
    <w:basedOn w:val="Normal"/>
    <w:link w:val="HeaderChar"/>
    <w:uiPriority w:val="99"/>
    <w:unhideWhenUsed/>
    <w:rsid w:val="005C0BB9"/>
    <w:pPr>
      <w:tabs>
        <w:tab w:val="center" w:pos="4680"/>
        <w:tab w:val="right" w:pos="9360"/>
      </w:tabs>
    </w:pPr>
  </w:style>
  <w:style w:type="character" w:customStyle="1" w:styleId="HeaderChar">
    <w:name w:val="Header Char"/>
    <w:basedOn w:val="DefaultParagraphFont"/>
    <w:link w:val="Header"/>
    <w:uiPriority w:val="99"/>
    <w:rsid w:val="005C0BB9"/>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C0BB9"/>
    <w:pPr>
      <w:tabs>
        <w:tab w:val="center" w:pos="4680"/>
        <w:tab w:val="right" w:pos="9360"/>
      </w:tabs>
    </w:pPr>
  </w:style>
  <w:style w:type="character" w:customStyle="1" w:styleId="FooterChar">
    <w:name w:val="Footer Char"/>
    <w:basedOn w:val="DefaultParagraphFont"/>
    <w:link w:val="Footer"/>
    <w:uiPriority w:val="99"/>
    <w:rsid w:val="005C0BB9"/>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C0BB9"/>
    <w:rPr>
      <w:color w:val="0000FF"/>
      <w:u w:val="single"/>
    </w:rPr>
  </w:style>
  <w:style w:type="table" w:styleId="TableGrid">
    <w:name w:val="Table Grid"/>
    <w:basedOn w:val="TableNormal"/>
    <w:uiPriority w:val="39"/>
    <w:rsid w:val="00686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94875"/>
    <w:rPr>
      <w:rFonts w:ascii="Source Sans Pro SemiBold" w:eastAsiaTheme="majorEastAsia" w:hAnsi="Source Sans Pro SemiBold" w:cs="Times New Roman"/>
      <w:b/>
      <w:bCs/>
      <w:color w:val="000000" w:themeColor="text1"/>
      <w:sz w:val="32"/>
      <w:szCs w:val="32"/>
    </w:rPr>
  </w:style>
  <w:style w:type="character" w:customStyle="1" w:styleId="Heading2Char">
    <w:name w:val="Heading 2 Char"/>
    <w:basedOn w:val="DefaultParagraphFont"/>
    <w:link w:val="Heading2"/>
    <w:uiPriority w:val="9"/>
    <w:rsid w:val="00094875"/>
    <w:rPr>
      <w:rFonts w:ascii="Source Sans Pro SemiBold" w:eastAsiaTheme="majorEastAsia" w:hAnsi="Source Sans Pro SemiBold" w:cs="Times New Roman"/>
      <w:noProof/>
      <w:color w:val="2E74B5" w:themeColor="accent1" w:themeShade="BF"/>
      <w:sz w:val="26"/>
      <w:szCs w:val="26"/>
    </w:rPr>
  </w:style>
  <w:style w:type="character" w:customStyle="1" w:styleId="Heading3Char">
    <w:name w:val="Heading 3 Char"/>
    <w:basedOn w:val="DefaultParagraphFont"/>
    <w:link w:val="Heading3"/>
    <w:uiPriority w:val="9"/>
    <w:rsid w:val="00094875"/>
    <w:rPr>
      <w:rFonts w:ascii="Source Sans Pro Light" w:eastAsiaTheme="majorEastAsia" w:hAnsi="Source Sans Pro Light" w:cstheme="majorBidi"/>
      <w:color w:val="1F4D78" w:themeColor="accent1" w:themeShade="7F"/>
      <w:sz w:val="24"/>
      <w:szCs w:val="24"/>
    </w:rPr>
  </w:style>
  <w:style w:type="character" w:customStyle="1" w:styleId="Heading5Char">
    <w:name w:val="Heading 5 Char"/>
    <w:basedOn w:val="DefaultParagraphFont"/>
    <w:link w:val="Heading5"/>
    <w:uiPriority w:val="9"/>
    <w:rsid w:val="00094875"/>
    <w:rPr>
      <w:rFonts w:ascii="Source Sans Pro SemiBold" w:eastAsiaTheme="majorEastAsia" w:hAnsi="Source Sans Pro SemiBold" w:cstheme="majorBidi"/>
      <w:color w:val="2E74B5" w:themeColor="accent1" w:themeShade="BF"/>
      <w:sz w:val="24"/>
      <w:szCs w:val="20"/>
    </w:rPr>
  </w:style>
  <w:style w:type="paragraph" w:styleId="NoSpacing">
    <w:name w:val="No Spacing"/>
    <w:uiPriority w:val="1"/>
    <w:qFormat/>
    <w:rsid w:val="00094875"/>
    <w:pPr>
      <w:spacing w:after="0" w:line="240" w:lineRule="auto"/>
    </w:pPr>
    <w:rPr>
      <w:color w:val="44546A" w:themeColor="text2"/>
      <w:sz w:val="20"/>
      <w:szCs w:val="20"/>
    </w:rPr>
  </w:style>
  <w:style w:type="paragraph" w:styleId="Title">
    <w:name w:val="Title"/>
    <w:basedOn w:val="Normal"/>
    <w:next w:val="Normal"/>
    <w:link w:val="TitleChar"/>
    <w:uiPriority w:val="10"/>
    <w:qFormat/>
    <w:rsid w:val="00D766B8"/>
    <w:pPr>
      <w:spacing w:after="0"/>
      <w:contextualSpacing/>
    </w:pPr>
    <w:rPr>
      <w:rFonts w:asciiTheme="majorHAnsi" w:eastAsiaTheme="majorEastAsia" w:hAnsiTheme="majorHAnsi" w:cstheme="majorBidi"/>
      <w:noProof/>
      <w:spacing w:val="-10"/>
      <w:kern w:val="28"/>
      <w:sz w:val="68"/>
      <w:szCs w:val="68"/>
    </w:rPr>
  </w:style>
  <w:style w:type="character" w:customStyle="1" w:styleId="TitleChar">
    <w:name w:val="Title Char"/>
    <w:basedOn w:val="DefaultParagraphFont"/>
    <w:link w:val="Title"/>
    <w:uiPriority w:val="10"/>
    <w:rsid w:val="00D766B8"/>
    <w:rPr>
      <w:rFonts w:asciiTheme="majorHAnsi" w:eastAsiaTheme="majorEastAsia" w:hAnsiTheme="majorHAnsi" w:cstheme="majorBidi"/>
      <w:noProof/>
      <w:spacing w:val="-10"/>
      <w:kern w:val="28"/>
      <w:sz w:val="68"/>
      <w:szCs w:val="68"/>
    </w:rPr>
  </w:style>
  <w:style w:type="paragraph" w:styleId="Subtitle">
    <w:name w:val="Subtitle"/>
    <w:basedOn w:val="Normal"/>
    <w:next w:val="Normal"/>
    <w:link w:val="SubtitleChar"/>
    <w:uiPriority w:val="11"/>
    <w:qFormat/>
    <w:rsid w:val="00D766B8"/>
    <w:pPr>
      <w:numPr>
        <w:ilvl w:val="1"/>
      </w:numPr>
      <w:spacing w:after="160"/>
    </w:pPr>
    <w:rPr>
      <w:rFonts w:asciiTheme="minorHAnsi" w:eastAsiaTheme="minorEastAsia" w:hAnsiTheme="minorHAnsi" w:cstheme="minorBidi"/>
      <w:color w:val="5A5A5A" w:themeColor="text1" w:themeTint="A5"/>
      <w:spacing w:val="15"/>
      <w:sz w:val="40"/>
      <w:szCs w:val="40"/>
    </w:rPr>
  </w:style>
  <w:style w:type="character" w:customStyle="1" w:styleId="SubtitleChar">
    <w:name w:val="Subtitle Char"/>
    <w:basedOn w:val="DefaultParagraphFont"/>
    <w:link w:val="Subtitle"/>
    <w:uiPriority w:val="11"/>
    <w:rsid w:val="00D766B8"/>
    <w:rPr>
      <w:rFonts w:eastAsiaTheme="minorEastAsia"/>
      <w:color w:val="5A5A5A" w:themeColor="text1" w:themeTint="A5"/>
      <w:spacing w:val="15"/>
      <w:sz w:val="40"/>
      <w:szCs w:val="40"/>
    </w:rPr>
  </w:style>
  <w:style w:type="character" w:styleId="IntenseReference">
    <w:name w:val="Intense Reference"/>
    <w:basedOn w:val="DefaultParagraphFont"/>
    <w:uiPriority w:val="32"/>
    <w:qFormat/>
    <w:rsid w:val="00CA05A3"/>
    <w:rPr>
      <w:b/>
      <w:bCs/>
      <w:smallCaps/>
      <w:color w:val="5B9BD5" w:themeColor="accent1"/>
      <w:spacing w:val="5"/>
    </w:rPr>
  </w:style>
  <w:style w:type="character" w:styleId="SubtleReference">
    <w:name w:val="Subtle Reference"/>
    <w:basedOn w:val="DefaultParagraphFont"/>
    <w:uiPriority w:val="31"/>
    <w:qFormat/>
    <w:rsid w:val="00CA05A3"/>
    <w:rPr>
      <w:smallCaps/>
      <w:color w:val="5A5A5A" w:themeColor="text1" w:themeTint="A5"/>
    </w:rPr>
  </w:style>
  <w:style w:type="paragraph" w:styleId="ListParagraph">
    <w:name w:val="List Paragraph"/>
    <w:basedOn w:val="Normal"/>
    <w:uiPriority w:val="34"/>
    <w:qFormat/>
    <w:rsid w:val="00B723E4"/>
    <w:pPr>
      <w:ind w:left="720"/>
      <w:contextualSpacing/>
    </w:pPr>
  </w:style>
  <w:style w:type="character" w:styleId="UnresolvedMention">
    <w:name w:val="Unresolved Mention"/>
    <w:basedOn w:val="DefaultParagraphFont"/>
    <w:uiPriority w:val="99"/>
    <w:rsid w:val="00F9286D"/>
    <w:rPr>
      <w:color w:val="605E5C"/>
      <w:shd w:val="clear" w:color="auto" w:fill="E1DFDD"/>
    </w:rPr>
  </w:style>
  <w:style w:type="table" w:styleId="PlainTable1">
    <w:name w:val="Plain Table 1"/>
    <w:basedOn w:val="TableNormal"/>
    <w:uiPriority w:val="41"/>
    <w:rsid w:val="00481AE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481AE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481AEE"/>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5">
    <w:name w:val="Grid Table 4 Accent 5"/>
    <w:basedOn w:val="TableNormal"/>
    <w:uiPriority w:val="49"/>
    <w:rsid w:val="00481AEE"/>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4">
    <w:name w:val="Grid Table 4 Accent 4"/>
    <w:basedOn w:val="TableNormal"/>
    <w:uiPriority w:val="49"/>
    <w:rsid w:val="00481AEE"/>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3">
    <w:name w:val="Grid Table 4 Accent 3"/>
    <w:basedOn w:val="TableNormal"/>
    <w:uiPriority w:val="49"/>
    <w:rsid w:val="00481AE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2">
    <w:name w:val="Grid Table 4 Accent 2"/>
    <w:basedOn w:val="TableNormal"/>
    <w:uiPriority w:val="49"/>
    <w:rsid w:val="00481AEE"/>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Table">
    <w:name w:val="Table"/>
    <w:basedOn w:val="Normal"/>
    <w:link w:val="TableChar"/>
    <w:qFormat/>
    <w:rsid w:val="00481AEE"/>
    <w:pPr>
      <w:spacing w:after="0"/>
    </w:pPr>
    <w:rPr>
      <w:rFonts w:ascii="Arial Narrow" w:hAnsi="Arial Narrow"/>
      <w:bCs/>
      <w:sz w:val="22"/>
    </w:rPr>
  </w:style>
  <w:style w:type="paragraph" w:customStyle="1" w:styleId="TableHeader">
    <w:name w:val="Table Header"/>
    <w:basedOn w:val="Table"/>
    <w:link w:val="TableHeaderChar"/>
    <w:qFormat/>
    <w:rsid w:val="00481AEE"/>
    <w:rPr>
      <w:b/>
      <w:bCs w:val="0"/>
      <w:color w:val="FFFFFF" w:themeColor="background1"/>
    </w:rPr>
  </w:style>
  <w:style w:type="character" w:customStyle="1" w:styleId="TableChar">
    <w:name w:val="Table Char"/>
    <w:basedOn w:val="DefaultParagraphFont"/>
    <w:link w:val="Table"/>
    <w:rsid w:val="00481AEE"/>
    <w:rPr>
      <w:rFonts w:ascii="Arial Narrow" w:eastAsia="Times New Roman" w:hAnsi="Arial Narrow" w:cs="Times New Roman"/>
      <w:bCs/>
      <w:szCs w:val="20"/>
    </w:rPr>
  </w:style>
  <w:style w:type="paragraph" w:styleId="Caption">
    <w:name w:val="caption"/>
    <w:basedOn w:val="Normal"/>
    <w:next w:val="Normal"/>
    <w:uiPriority w:val="35"/>
    <w:unhideWhenUsed/>
    <w:qFormat/>
    <w:rsid w:val="006C1C22"/>
    <w:pPr>
      <w:spacing w:after="200"/>
    </w:pPr>
    <w:rPr>
      <w:i/>
      <w:iCs/>
      <w:color w:val="44546A" w:themeColor="text2"/>
      <w:sz w:val="18"/>
      <w:szCs w:val="18"/>
    </w:rPr>
  </w:style>
  <w:style w:type="character" w:customStyle="1" w:styleId="TableHeaderChar">
    <w:name w:val="Table Header Char"/>
    <w:basedOn w:val="TableChar"/>
    <w:link w:val="TableHeader"/>
    <w:rsid w:val="00481AEE"/>
    <w:rPr>
      <w:rFonts w:ascii="Arial Narrow" w:eastAsia="Times New Roman" w:hAnsi="Arial Narrow" w:cs="Times New Roman"/>
      <w:b/>
      <w:bCs w:val="0"/>
      <w:color w:val="FFFFFF" w:themeColor="background1"/>
      <w:szCs w:val="20"/>
    </w:rPr>
  </w:style>
  <w:style w:type="paragraph" w:styleId="TOCHeading">
    <w:name w:val="TOC Heading"/>
    <w:basedOn w:val="Heading1"/>
    <w:next w:val="Normal"/>
    <w:uiPriority w:val="39"/>
    <w:unhideWhenUsed/>
    <w:qFormat/>
    <w:rsid w:val="006F2C10"/>
    <w:pPr>
      <w:overflowPunct/>
      <w:autoSpaceDE/>
      <w:autoSpaceDN/>
      <w:adjustRightInd/>
      <w:spacing w:before="240" w:after="0" w:line="259" w:lineRule="auto"/>
      <w:textAlignment w:val="auto"/>
      <w:outlineLvl w:val="9"/>
    </w:pPr>
    <w:rPr>
      <w:rFonts w:asciiTheme="majorHAnsi" w:hAnsiTheme="majorHAnsi" w:cstheme="majorBidi"/>
      <w:b w:val="0"/>
      <w:bCs w:val="0"/>
      <w:color w:val="2E74B5" w:themeColor="accent1" w:themeShade="BF"/>
    </w:rPr>
  </w:style>
  <w:style w:type="paragraph" w:styleId="TOC1">
    <w:name w:val="toc 1"/>
    <w:basedOn w:val="Normal"/>
    <w:next w:val="Normal"/>
    <w:autoRedefine/>
    <w:uiPriority w:val="39"/>
    <w:unhideWhenUsed/>
    <w:rsid w:val="006F2C10"/>
    <w:pPr>
      <w:spacing w:after="100"/>
    </w:pPr>
  </w:style>
  <w:style w:type="paragraph" w:styleId="FootnoteText">
    <w:name w:val="footnote text"/>
    <w:basedOn w:val="Normal"/>
    <w:link w:val="FootnoteTextChar"/>
    <w:uiPriority w:val="99"/>
    <w:semiHidden/>
    <w:unhideWhenUsed/>
    <w:rsid w:val="006F2C10"/>
    <w:pPr>
      <w:spacing w:after="0"/>
    </w:pPr>
    <w:rPr>
      <w:sz w:val="20"/>
    </w:rPr>
  </w:style>
  <w:style w:type="character" w:customStyle="1" w:styleId="FootnoteTextChar">
    <w:name w:val="Footnote Text Char"/>
    <w:basedOn w:val="DefaultParagraphFont"/>
    <w:link w:val="FootnoteText"/>
    <w:uiPriority w:val="99"/>
    <w:semiHidden/>
    <w:rsid w:val="006F2C10"/>
    <w:rPr>
      <w:rFonts w:ascii="Source Sans Pro Light" w:eastAsia="Times New Roman" w:hAnsi="Source Sans Pro Light" w:cs="Times New Roman"/>
      <w:sz w:val="20"/>
      <w:szCs w:val="20"/>
    </w:rPr>
  </w:style>
  <w:style w:type="character" w:styleId="FootnoteReference">
    <w:name w:val="footnote reference"/>
    <w:basedOn w:val="DefaultParagraphFont"/>
    <w:uiPriority w:val="99"/>
    <w:semiHidden/>
    <w:unhideWhenUsed/>
    <w:rsid w:val="006F2C10"/>
    <w:rPr>
      <w:vertAlign w:val="superscript"/>
    </w:rPr>
  </w:style>
  <w:style w:type="paragraph" w:styleId="TableofFigures">
    <w:name w:val="table of figures"/>
    <w:basedOn w:val="Normal"/>
    <w:next w:val="Normal"/>
    <w:uiPriority w:val="99"/>
    <w:unhideWhenUsed/>
    <w:rsid w:val="00514C98"/>
    <w:pPr>
      <w:spacing w:after="0"/>
    </w:pPr>
  </w:style>
  <w:style w:type="character" w:styleId="CommentReference">
    <w:name w:val="annotation reference"/>
    <w:basedOn w:val="DefaultParagraphFont"/>
    <w:uiPriority w:val="99"/>
    <w:semiHidden/>
    <w:unhideWhenUsed/>
    <w:rsid w:val="00C34ECB"/>
    <w:rPr>
      <w:sz w:val="16"/>
      <w:szCs w:val="16"/>
    </w:rPr>
  </w:style>
  <w:style w:type="paragraph" w:styleId="CommentSubject">
    <w:name w:val="annotation subject"/>
    <w:basedOn w:val="CommentText"/>
    <w:next w:val="CommentText"/>
    <w:link w:val="CommentSubjectChar"/>
    <w:uiPriority w:val="99"/>
    <w:semiHidden/>
    <w:unhideWhenUsed/>
    <w:rsid w:val="00C34ECB"/>
    <w:rPr>
      <w:b/>
      <w:bCs/>
    </w:rPr>
  </w:style>
  <w:style w:type="character" w:customStyle="1" w:styleId="CommentSubjectChar">
    <w:name w:val="Comment Subject Char"/>
    <w:basedOn w:val="CommentTextChar"/>
    <w:link w:val="CommentSubject"/>
    <w:uiPriority w:val="99"/>
    <w:semiHidden/>
    <w:rsid w:val="00C34ECB"/>
    <w:rPr>
      <w:rFonts w:ascii="Source Sans Pro Light" w:eastAsia="Times New Roman" w:hAnsi="Source Sans Pro Light" w:cs="Times New Roman"/>
      <w:b/>
      <w:bCs/>
      <w:sz w:val="20"/>
      <w:szCs w:val="20"/>
    </w:rPr>
  </w:style>
  <w:style w:type="paragraph" w:styleId="Revision">
    <w:name w:val="Revision"/>
    <w:hidden/>
    <w:uiPriority w:val="99"/>
    <w:semiHidden/>
    <w:rsid w:val="00A92587"/>
    <w:pPr>
      <w:spacing w:after="0" w:line="240" w:lineRule="auto"/>
    </w:pPr>
    <w:rPr>
      <w:rFonts w:ascii="Source Sans Pro Light" w:eastAsia="Times New Roman" w:hAnsi="Source Sans Pro Light" w:cs="Times New Roman"/>
      <w:sz w:val="24"/>
      <w:szCs w:val="20"/>
    </w:rPr>
  </w:style>
  <w:style w:type="paragraph" w:customStyle="1" w:styleId="NNCoverTitle">
    <w:name w:val="NN Cover Title"/>
    <w:basedOn w:val="Normal"/>
    <w:uiPriority w:val="25"/>
    <w:qFormat/>
    <w:rsid w:val="00A92587"/>
    <w:pPr>
      <w:overflowPunct/>
      <w:autoSpaceDE/>
      <w:autoSpaceDN/>
      <w:adjustRightInd/>
      <w:spacing w:before="240"/>
      <w:jc w:val="center"/>
      <w:textAlignment w:val="auto"/>
    </w:pPr>
    <w:rPr>
      <w:rFonts w:asciiTheme="majorHAnsi" w:hAnsiTheme="majorHAnsi"/>
      <w:b/>
      <w:caps/>
      <w:color w:val="5B9BD5" w:themeColor="accent1"/>
      <w:sz w:val="56"/>
      <w:szCs w:val="56"/>
    </w:rPr>
  </w:style>
  <w:style w:type="paragraph" w:customStyle="1" w:styleId="NNMainBody">
    <w:name w:val="NN Main Body"/>
    <w:link w:val="NNMainBodyChar"/>
    <w:qFormat/>
    <w:rsid w:val="00A92587"/>
    <w:pPr>
      <w:suppressAutoHyphens/>
      <w:spacing w:before="120" w:after="120" w:line="264" w:lineRule="auto"/>
    </w:pPr>
    <w:rPr>
      <w:rFonts w:eastAsia="Times New Roman" w:cs="Times New Roman"/>
      <w:sz w:val="21"/>
    </w:rPr>
  </w:style>
  <w:style w:type="character" w:customStyle="1" w:styleId="NNMainBodyChar">
    <w:name w:val="NN Main Body Char"/>
    <w:basedOn w:val="DefaultParagraphFont"/>
    <w:link w:val="NNMainBody"/>
    <w:rsid w:val="00A92587"/>
    <w:rPr>
      <w:rFonts w:eastAsia="Times New Roman" w:cs="Times New Roman"/>
      <w:sz w:val="21"/>
    </w:rPr>
  </w:style>
  <w:style w:type="character" w:styleId="Strong">
    <w:name w:val="Strong"/>
    <w:basedOn w:val="DefaultParagraphFont"/>
    <w:uiPriority w:val="49"/>
    <w:unhideWhenUsed/>
    <w:rsid w:val="00A92587"/>
    <w:rPr>
      <w:b/>
      <w:bCs/>
    </w:rPr>
  </w:style>
  <w:style w:type="paragraph" w:customStyle="1" w:styleId="NNMemoCategories">
    <w:name w:val="NN Memo Categories"/>
    <w:basedOn w:val="Normal"/>
    <w:link w:val="NNMemoCategoriesChar"/>
    <w:uiPriority w:val="26"/>
    <w:unhideWhenUsed/>
    <w:rsid w:val="00A92587"/>
    <w:pPr>
      <w:overflowPunct/>
      <w:autoSpaceDE/>
      <w:autoSpaceDN/>
      <w:adjustRightInd/>
      <w:spacing w:before="120" w:after="0" w:line="264" w:lineRule="auto"/>
      <w:ind w:left="1080" w:hanging="1080"/>
      <w:textAlignment w:val="auto"/>
    </w:pPr>
    <w:rPr>
      <w:rFonts w:asciiTheme="majorHAnsi" w:eastAsiaTheme="minorHAnsi" w:hAnsiTheme="majorHAnsi"/>
      <w:szCs w:val="21"/>
      <w:lang w:eastAsia="ja-JP"/>
    </w:rPr>
  </w:style>
  <w:style w:type="character" w:customStyle="1" w:styleId="NNMemoCategoriesChar">
    <w:name w:val="NN Memo Categories Char"/>
    <w:basedOn w:val="DefaultParagraphFont"/>
    <w:link w:val="NNMemoCategories"/>
    <w:uiPriority w:val="26"/>
    <w:rsid w:val="00A92587"/>
    <w:rPr>
      <w:rFonts w:asciiTheme="majorHAnsi" w:hAnsiTheme="majorHAnsi" w:cs="Times New Roman"/>
      <w:sz w:val="24"/>
      <w:szCs w:val="21"/>
      <w:lang w:eastAsia="ja-JP"/>
    </w:rPr>
  </w:style>
  <w:style w:type="paragraph" w:customStyle="1" w:styleId="NNBullets">
    <w:name w:val="NN Bullets"/>
    <w:basedOn w:val="NNMainBody"/>
    <w:link w:val="NNBulletsChar"/>
    <w:qFormat/>
    <w:rsid w:val="004B0027"/>
    <w:pPr>
      <w:numPr>
        <w:numId w:val="7"/>
      </w:numPr>
      <w:spacing w:before="60" w:after="60" w:line="260" w:lineRule="atLeast"/>
    </w:pPr>
    <w:rPr>
      <w:sz w:val="24"/>
      <w:szCs w:val="24"/>
    </w:rPr>
  </w:style>
  <w:style w:type="paragraph" w:customStyle="1" w:styleId="NNBullets2">
    <w:name w:val="NN Bullets 2"/>
    <w:basedOn w:val="NNBullets"/>
    <w:rsid w:val="004B0027"/>
    <w:pPr>
      <w:numPr>
        <w:ilvl w:val="1"/>
      </w:numPr>
      <w:tabs>
        <w:tab w:val="clear" w:pos="1080"/>
      </w:tabs>
      <w:ind w:left="1440"/>
    </w:pPr>
  </w:style>
  <w:style w:type="paragraph" w:customStyle="1" w:styleId="NNBullets3">
    <w:name w:val="NN Bullets 3"/>
    <w:basedOn w:val="NNBullets2"/>
    <w:rsid w:val="004B0027"/>
    <w:pPr>
      <w:numPr>
        <w:ilvl w:val="2"/>
      </w:numPr>
      <w:tabs>
        <w:tab w:val="clear" w:pos="1440"/>
      </w:tabs>
      <w:ind w:left="2160"/>
    </w:pPr>
  </w:style>
  <w:style w:type="paragraph" w:customStyle="1" w:styleId="NNBullets4">
    <w:name w:val="NN Bullets 4"/>
    <w:basedOn w:val="NNBullets3"/>
    <w:rsid w:val="004B0027"/>
    <w:pPr>
      <w:numPr>
        <w:ilvl w:val="3"/>
      </w:numPr>
      <w:tabs>
        <w:tab w:val="clear" w:pos="1800"/>
      </w:tabs>
      <w:ind w:left="2880"/>
    </w:pPr>
  </w:style>
  <w:style w:type="character" w:customStyle="1" w:styleId="NNBulletsChar">
    <w:name w:val="NN Bullets Char"/>
    <w:basedOn w:val="DefaultParagraphFont"/>
    <w:link w:val="NNBullets"/>
    <w:locked/>
    <w:rsid w:val="004B0027"/>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84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opr.ca.gov/docs/20190122-743_Technical_Advisory.pdf"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ginfo.legislature.ca.gov/faces/codes_displayText.xhtml?lawCode=PRC&amp;division=13.&amp;title=&amp;part=&amp;chapter=2.7.&amp;articl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inga\Downloads\MTC-ABAG_memo_accessi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6421A04864D72B86B8891B4AA1459"/>
        <w:category>
          <w:name w:val="General"/>
          <w:gallery w:val="placeholder"/>
        </w:category>
        <w:types>
          <w:type w:val="bbPlcHdr"/>
        </w:types>
        <w:behaviors>
          <w:behavior w:val="content"/>
        </w:behaviors>
        <w:guid w:val="{945938BC-A570-46D0-A616-1FFC87DD51BA}"/>
      </w:docPartPr>
      <w:docPartBody>
        <w:p w:rsidR="00EF779A" w:rsidRDefault="007E13B3" w:rsidP="007E13B3">
          <w:pPr>
            <w:pStyle w:val="1196421A04864D72B86B8891B4AA1459"/>
          </w:pPr>
          <w:r w:rsidRPr="005A0ED7">
            <w:t>[Pick the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Light">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B0FA0"/>
    <w:rsid w:val="007E13B3"/>
    <w:rsid w:val="00822F56"/>
    <w:rsid w:val="00CB0FA0"/>
    <w:rsid w:val="00EF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6421A04864D72B86B8891B4AA1459">
    <w:name w:val="1196421A04864D72B86B8891B4AA1459"/>
    <w:rsid w:val="007E1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80D3095E746304B9D1848D036BB373A" ma:contentTypeVersion="10" ma:contentTypeDescription="Create a new document." ma:contentTypeScope="" ma:versionID="209ff7d1596f5c7a8b42f31006e5835d">
  <xsd:schema xmlns:xsd="http://www.w3.org/2001/XMLSchema" xmlns:xs="http://www.w3.org/2001/XMLSchema" xmlns:p="http://schemas.microsoft.com/office/2006/metadata/properties" xmlns:ns2="39a203be-a114-4baf-922e-3b94baa1582b" xmlns:ns3="17a1b1d9-cfb5-4207-95ad-fd46db4e3aa2" targetNamespace="http://schemas.microsoft.com/office/2006/metadata/properties" ma:root="true" ma:fieldsID="1898c12285c1071481b24d010f0a2405" ns2:_="" ns3:_="">
    <xsd:import namespace="39a203be-a114-4baf-922e-3b94baa1582b"/>
    <xsd:import namespace="17a1b1d9-cfb5-4207-95ad-fd46db4e3a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203be-a114-4baf-922e-3b94baa15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7334e89-0b5a-479c-ac9f-74724dd37f6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a1b1d9-cfb5-4207-95ad-fd46db4e3aa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91ce50-c051-49a6-83f7-91aecc6dbc69}" ma:internalName="TaxCatchAll" ma:showField="CatchAllData" ma:web="17a1b1d9-cfb5-4207-95ad-fd46db4e3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a203be-a114-4baf-922e-3b94baa1582b">
      <Terms xmlns="http://schemas.microsoft.com/office/infopath/2007/PartnerControls"/>
    </lcf76f155ced4ddcb4097134ff3c332f>
    <TaxCatchAll xmlns="17a1b1d9-cfb5-4207-95ad-fd46db4e3aa2" xsi:nil="true"/>
  </documentManagement>
</p:properties>
</file>

<file path=customXml/itemProps1.xml><?xml version="1.0" encoding="utf-8"?>
<ds:datastoreItem xmlns:ds="http://schemas.openxmlformats.org/officeDocument/2006/customXml" ds:itemID="{0A510629-4E31-4E58-9470-32F2CE461A44}">
  <ds:schemaRefs>
    <ds:schemaRef ds:uri="http://schemas.microsoft.com/sharepoint/v3/contenttype/forms"/>
  </ds:schemaRefs>
</ds:datastoreItem>
</file>

<file path=customXml/itemProps2.xml><?xml version="1.0" encoding="utf-8"?>
<ds:datastoreItem xmlns:ds="http://schemas.openxmlformats.org/officeDocument/2006/customXml" ds:itemID="{8F3554E4-9F45-4AD2-8B18-EA07EAF331C3}">
  <ds:schemaRefs>
    <ds:schemaRef ds:uri="http://schemas.openxmlformats.org/officeDocument/2006/bibliography"/>
  </ds:schemaRefs>
</ds:datastoreItem>
</file>

<file path=customXml/itemProps3.xml><?xml version="1.0" encoding="utf-8"?>
<ds:datastoreItem xmlns:ds="http://schemas.openxmlformats.org/officeDocument/2006/customXml" ds:itemID="{505737D0-6B9A-42DA-AB8F-0DC16B4A2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203be-a114-4baf-922e-3b94baa1582b"/>
    <ds:schemaRef ds:uri="17a1b1d9-cfb5-4207-95ad-fd46db4e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17E34A-7F53-4942-B7DD-BF73C5889E28}">
  <ds:schemaRefs>
    <ds:schemaRef ds:uri="http://schemas.openxmlformats.org/package/2006/metadata/core-properties"/>
    <ds:schemaRef ds:uri="39a203be-a114-4baf-922e-3b94baa1582b"/>
    <ds:schemaRef ds:uri="http://www.w3.org/XML/1998/namespace"/>
    <ds:schemaRef ds:uri="http://schemas.microsoft.com/office/2006/documentManagement/types"/>
    <ds:schemaRef ds:uri="http://purl.org/dc/terms/"/>
    <ds:schemaRef ds:uri="http://purl.org/dc/elements/1.1/"/>
    <ds:schemaRef ds:uri="http://schemas.microsoft.com/office/2006/metadata/properties"/>
    <ds:schemaRef ds:uri="http://schemas.microsoft.com/office/infopath/2007/PartnerControls"/>
    <ds:schemaRef ds:uri="17a1b1d9-cfb5-4207-95ad-fd46db4e3aa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MTC-ABAG_memo_accessible.dotx</Template>
  <TotalTime>0</TotalTime>
  <Pages>9</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Metropolitan Transportation Commission and Association of Bay Area Governments memo</vt:lpstr>
    </vt:vector>
  </TitlesOfParts>
  <Manager/>
  <Company>ABAG</Company>
  <LinksUpToDate>false</LinksUpToDate>
  <CharactersWithSpaces>12930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Metropolitan Transportation Commission and Association of Bay Area Governments memo</dc:title>
  <dc:subject/>
  <dc:creator>Brian Manford</dc:creator>
  <cp:keywords/>
  <dc:description/>
  <cp:lastModifiedBy>Krute Singa</cp:lastModifiedBy>
  <cp:revision>2</cp:revision>
  <cp:lastPrinted>2016-04-21T16:29:00Z</cp:lastPrinted>
  <dcterms:created xsi:type="dcterms:W3CDTF">2022-06-20T18:21:00Z</dcterms:created>
  <dcterms:modified xsi:type="dcterms:W3CDTF">2022-06-20T18:21:00Z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0x010100380D3095E746304B9D1848D036BB373A</vt:lpwstr>
  </property>
  <property fmtid="{D5CDD505-2E9C-101B-9397-08002B2CF9AE}" pid="3" name="MediaServiceImageTags">
    <vt:lpwstr/>
  </property>
</Properties>
</file>