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5820" w14:textId="7944EE90" w:rsidR="00725096" w:rsidRDefault="6F83E347" w:rsidP="00F71BB3">
      <w:pPr>
        <w:pStyle w:val="Heading1"/>
      </w:pPr>
      <w:r>
        <w:t>Sample Ordinance: Supportive Housing</w:t>
      </w:r>
    </w:p>
    <w:p w14:paraId="2E8B418D" w14:textId="385A6892" w:rsidR="00DC2B58" w:rsidRDefault="00DC2B58" w:rsidP="00F71BB3">
      <w:pPr>
        <w:pStyle w:val="Heading3"/>
      </w:pPr>
      <w:r>
        <w:t xml:space="preserve">Section </w:t>
      </w:r>
      <w:r w:rsidR="00F71BB3">
        <w:t>xx.xx.010</w:t>
      </w:r>
      <w:r>
        <w:t>: Purpose</w:t>
      </w:r>
    </w:p>
    <w:p w14:paraId="6928EFDA" w14:textId="53293449" w:rsidR="00F71BB3" w:rsidRDefault="0014723B" w:rsidP="004D0486">
      <w:pPr>
        <w:jc w:val="both"/>
      </w:pPr>
      <w:r>
        <w:rPr>
          <w:noProof/>
        </w:rPr>
        <mc:AlternateContent>
          <mc:Choice Requires="wps">
            <w:drawing>
              <wp:anchor distT="45720" distB="45720" distL="114300" distR="114300" simplePos="0" relativeHeight="251659264" behindDoc="1" locked="0" layoutInCell="1" allowOverlap="1" wp14:anchorId="7AF65053" wp14:editId="2179451F">
                <wp:simplePos x="0" y="0"/>
                <wp:positionH relativeFrom="margin">
                  <wp:posOffset>3371850</wp:posOffset>
                </wp:positionH>
                <wp:positionV relativeFrom="margin">
                  <wp:posOffset>1314450</wp:posOffset>
                </wp:positionV>
                <wp:extent cx="2543175" cy="1057275"/>
                <wp:effectExtent l="0" t="0" r="28575" b="28575"/>
                <wp:wrapTight wrapText="bothSides">
                  <wp:wrapPolygon edited="0">
                    <wp:start x="0" y="0"/>
                    <wp:lineTo x="0" y="21795"/>
                    <wp:lineTo x="21681" y="21795"/>
                    <wp:lineTo x="2168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7275"/>
                        </a:xfrm>
                        <a:prstGeom prst="rect">
                          <a:avLst/>
                        </a:prstGeom>
                        <a:solidFill>
                          <a:srgbClr val="FFFFFF"/>
                        </a:solidFill>
                        <a:ln w="9525">
                          <a:solidFill>
                            <a:srgbClr val="000000"/>
                          </a:solidFill>
                          <a:miter lim="800000"/>
                          <a:headEnd/>
                          <a:tailEnd/>
                        </a:ln>
                      </wps:spPr>
                      <wps:txbx>
                        <w:txbxContent>
                          <w:p w14:paraId="683990EF" w14:textId="77777777" w:rsidR="00002FA8" w:rsidRDefault="00002FA8" w:rsidP="00002FA8">
                            <w:pPr>
                              <w:pStyle w:val="CommentText"/>
                            </w:pPr>
                            <w:r>
                              <w:rPr>
                                <w:b/>
                                <w:bCs/>
                              </w:rPr>
                              <w:t xml:space="preserve">Note to user: </w:t>
                            </w:r>
                            <w:r w:rsidRPr="005C3A5F">
                              <w:t>Jurisdictions should specify which of their permit types would be required (e.g., zone clearance, site plan review – as long as it is ministerial) and may refer to their own applicable procedures already established elsewhere in the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65053" id="_x0000_t202" coordsize="21600,21600" o:spt="202" path="m,l,21600r21600,l21600,xe">
                <v:stroke joinstyle="miter"/>
                <v:path gradientshapeok="t" o:connecttype="rect"/>
              </v:shapetype>
              <v:shape id="Text Box 4" o:spid="_x0000_s1026" type="#_x0000_t202" style="position:absolute;left:0;text-align:left;margin-left:265.5pt;margin-top:103.5pt;width:200.25pt;height:8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GKQIAAFEEAAAOAAAAZHJzL2Uyb0RvYy54bWysVNtu2zAMfR+wfxD0vtjJnL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">
                <v:textbox>
                  <w:txbxContent>
                    <w:p w14:paraId="683990EF" w14:textId="77777777" w:rsidR="00002FA8" w:rsidRDefault="00002FA8" w:rsidP="00002FA8">
                      <w:pPr>
                        <w:pStyle w:val="CommentText"/>
                      </w:pPr>
                      <w:r>
                        <w:rPr>
                          <w:b/>
                          <w:bCs/>
                        </w:rPr>
                        <w:t xml:space="preserve">Note to user: </w:t>
                      </w:r>
                      <w:r w:rsidRPr="005C3A5F">
                        <w:t xml:space="preserve">Jurisdictions should specify which of their permit types would be required (e.g., zone clearance, site plan review – </w:t>
                      </w:r>
                      <w:proofErr w:type="gramStart"/>
                      <w:r w:rsidRPr="005C3A5F">
                        <w:t>as long as</w:t>
                      </w:r>
                      <w:proofErr w:type="gramEnd"/>
                      <w:r w:rsidRPr="005C3A5F">
                        <w:t xml:space="preserve"> it is ministerial) and may refer to their own applicable procedures already established elsewhere in the code.</w:t>
                      </w:r>
                    </w:p>
                  </w:txbxContent>
                </v:textbox>
                <w10:wrap type="tight" anchorx="margin" anchory="margin"/>
              </v:shape>
            </w:pict>
          </mc:Fallback>
        </mc:AlternateContent>
      </w:r>
      <w:r w:rsidR="00F71BB3">
        <w:rPr>
          <w:shd w:val="clear" w:color="auto" w:fill="FFFFFF"/>
        </w:rPr>
        <w:t xml:space="preserve">The purpose of </w:t>
      </w:r>
      <w:r w:rsidR="00F71BB3" w:rsidRPr="00F71BB3">
        <w:rPr>
          <w:shd w:val="clear" w:color="auto" w:fill="FFFFFF"/>
        </w:rPr>
        <w:t>this chapter is</w:t>
      </w:r>
      <w:r w:rsidR="00F71BB3">
        <w:rPr>
          <w:shd w:val="clear" w:color="auto" w:fill="FFFFFF"/>
        </w:rPr>
        <w:t xml:space="preserve"> to establish </w:t>
      </w:r>
      <w:r w:rsidR="00F71BB3">
        <w:rPr>
          <w:color w:val="000000"/>
          <w:shd w:val="clear" w:color="auto" w:fill="FFFFFF"/>
        </w:rPr>
        <w:t>development</w:t>
      </w:r>
      <w:r w:rsidR="00C53FF5">
        <w:rPr>
          <w:color w:val="000000"/>
          <w:shd w:val="clear" w:color="auto" w:fill="FFFFFF"/>
        </w:rPr>
        <w:t xml:space="preserve"> </w:t>
      </w:r>
      <w:r w:rsidR="00F71BB3">
        <w:rPr>
          <w:color w:val="000000"/>
          <w:shd w:val="clear" w:color="auto" w:fill="FFFFFF"/>
        </w:rPr>
        <w:t>standards</w:t>
      </w:r>
      <w:r w:rsidR="00F71BB3">
        <w:rPr>
          <w:shd w:val="clear" w:color="auto" w:fill="FFFFFF"/>
        </w:rPr>
        <w:t xml:space="preserve"> for </w:t>
      </w:r>
      <w:r w:rsidR="00C53FF5">
        <w:rPr>
          <w:color w:val="000000"/>
          <w:shd w:val="clear" w:color="auto" w:fill="FFFFFF"/>
        </w:rPr>
        <w:t>supportive housing</w:t>
      </w:r>
      <w:r w:rsidR="00F71BB3">
        <w:rPr>
          <w:shd w:val="clear" w:color="auto" w:fill="FFFFFF"/>
        </w:rPr>
        <w:t xml:space="preserve"> and to ensure the </w:t>
      </w:r>
      <w:r w:rsidR="00C53FF5">
        <w:rPr>
          <w:color w:val="000000"/>
          <w:shd w:val="clear" w:color="auto" w:fill="FFFFFF"/>
        </w:rPr>
        <w:t xml:space="preserve">supportive housing </w:t>
      </w:r>
      <w:r w:rsidR="00F71BB3">
        <w:rPr>
          <w:shd w:val="clear" w:color="auto" w:fill="FFFFFF"/>
        </w:rPr>
        <w:t xml:space="preserve">is constructed and operated in a manner that is consistent with the </w:t>
      </w:r>
      <w:r w:rsidR="004D0486">
        <w:rPr>
          <w:shd w:val="clear" w:color="auto" w:fill="FFFFFF"/>
        </w:rPr>
        <w:t>r</w:t>
      </w:r>
      <w:r w:rsidR="00F71BB3">
        <w:rPr>
          <w:shd w:val="clear" w:color="auto" w:fill="FFFFFF"/>
        </w:rPr>
        <w:t>equirements and allowances of state law, specifically</w:t>
      </w:r>
      <w:r w:rsidR="004831E7">
        <w:rPr>
          <w:shd w:val="clear" w:color="auto" w:fill="FFFFFF"/>
        </w:rPr>
        <w:t xml:space="preserve"> Article 11</w:t>
      </w:r>
      <w:r w:rsidR="00F20A26">
        <w:rPr>
          <w:shd w:val="clear" w:color="auto" w:fill="FFFFFF"/>
        </w:rPr>
        <w:t xml:space="preserve"> of</w:t>
      </w:r>
      <w:r w:rsidR="004831E7">
        <w:rPr>
          <w:shd w:val="clear" w:color="auto" w:fill="FFFFFF"/>
        </w:rPr>
        <w:t xml:space="preserve"> Chapter 3</w:t>
      </w:r>
      <w:r w:rsidR="00F20A26">
        <w:rPr>
          <w:shd w:val="clear" w:color="auto" w:fill="FFFFFF"/>
        </w:rPr>
        <w:t xml:space="preserve"> of</w:t>
      </w:r>
      <w:r w:rsidR="004831E7">
        <w:rPr>
          <w:shd w:val="clear" w:color="auto" w:fill="FFFFFF"/>
        </w:rPr>
        <w:t xml:space="preserve"> Division 1 </w:t>
      </w:r>
      <w:r w:rsidR="00F20A26">
        <w:rPr>
          <w:shd w:val="clear" w:color="auto" w:fill="FFFFFF"/>
        </w:rPr>
        <w:t xml:space="preserve">of Planning and Zoning Law </w:t>
      </w:r>
      <w:r w:rsidR="004831E7">
        <w:rPr>
          <w:shd w:val="clear" w:color="auto" w:fill="FFFFFF"/>
        </w:rPr>
        <w:t xml:space="preserve">commencing with </w:t>
      </w:r>
      <w:r w:rsidR="00F71BB3">
        <w:rPr>
          <w:shd w:val="clear" w:color="auto" w:fill="FFFFFF"/>
        </w:rPr>
        <w:t xml:space="preserve">Government Code Section </w:t>
      </w:r>
      <w:r w:rsidR="00C53FF5">
        <w:rPr>
          <w:shd w:val="clear" w:color="auto" w:fill="FFFFFF"/>
        </w:rPr>
        <w:t>65650.</w:t>
      </w:r>
    </w:p>
    <w:p w14:paraId="586D0CF8" w14:textId="175BC1DC" w:rsidR="00DC2B58" w:rsidRDefault="00DC2B58" w:rsidP="00F71BB3">
      <w:pPr>
        <w:pStyle w:val="Heading3"/>
      </w:pPr>
      <w:r>
        <w:t xml:space="preserve">Section </w:t>
      </w:r>
      <w:r w:rsidR="00F71BB3">
        <w:t>xx.xx.020</w:t>
      </w:r>
      <w:r>
        <w:t>: Applicability</w:t>
      </w:r>
    </w:p>
    <w:p w14:paraId="7D2101C9" w14:textId="45EBBC18" w:rsidR="00F71BB3" w:rsidRDefault="00F71BB3" w:rsidP="00DC2B58">
      <w:pPr>
        <w:rPr>
          <w:color w:val="000000"/>
          <w:shd w:val="clear" w:color="auto" w:fill="FFFFFF"/>
        </w:rPr>
      </w:pPr>
      <w:r>
        <w:rPr>
          <w:shd w:val="clear" w:color="auto" w:fill="FFFFFF"/>
        </w:rPr>
        <w:t xml:space="preserve">The </w:t>
      </w:r>
      <w:r w:rsidR="00585D98">
        <w:rPr>
          <w:color w:val="000000"/>
          <w:shd w:val="clear" w:color="auto" w:fill="FFFFFF"/>
        </w:rPr>
        <w:t>provisions of this</w:t>
      </w:r>
      <w:r>
        <w:rPr>
          <w:shd w:val="clear" w:color="auto" w:fill="FFFFFF"/>
        </w:rPr>
        <w:t xml:space="preserve"> chapter shall apply to all </w:t>
      </w:r>
      <w:r w:rsidR="00D11954">
        <w:rPr>
          <w:color w:val="000000"/>
          <w:shd w:val="clear" w:color="auto" w:fill="FFFFFF"/>
        </w:rPr>
        <w:t>supportive housing projects</w:t>
      </w:r>
      <w:r>
        <w:rPr>
          <w:color w:val="000000"/>
          <w:shd w:val="clear" w:color="auto" w:fill="FFFFFF"/>
        </w:rPr>
        <w:t>.</w:t>
      </w:r>
    </w:p>
    <w:p w14:paraId="04CFE018" w14:textId="065A2195" w:rsidR="00455E54" w:rsidRDefault="00455E54" w:rsidP="00455E54">
      <w:pPr>
        <w:pStyle w:val="Heading3"/>
        <w:rPr>
          <w:shd w:val="clear" w:color="auto" w:fill="FFFFFF"/>
        </w:rPr>
      </w:pPr>
      <w:r>
        <w:rPr>
          <w:shd w:val="clear" w:color="auto" w:fill="FFFFFF"/>
        </w:rPr>
        <w:t>Section xx.xx.030: Permit</w:t>
      </w:r>
      <w:r w:rsidR="00892862">
        <w:rPr>
          <w:shd w:val="clear" w:color="auto" w:fill="FFFFFF"/>
        </w:rPr>
        <w:t xml:space="preserve"> Required</w:t>
      </w:r>
    </w:p>
    <w:p w14:paraId="7389BA83" w14:textId="7550EF81" w:rsidR="00037AB3" w:rsidRDefault="0014723B" w:rsidP="00782123">
      <w:pPr>
        <w:spacing w:after="0" w:line="240" w:lineRule="auto"/>
        <w:rPr>
          <w:shd w:val="clear" w:color="auto" w:fill="FFFFFF"/>
        </w:rPr>
      </w:pPr>
      <w:r>
        <w:rPr>
          <w:noProof/>
        </w:rPr>
        <mc:AlternateContent>
          <mc:Choice Requires="wps">
            <w:drawing>
              <wp:anchor distT="45720" distB="45720" distL="114300" distR="114300" simplePos="0" relativeHeight="251663360" behindDoc="1" locked="0" layoutInCell="1" allowOverlap="1" wp14:anchorId="279ECC7A" wp14:editId="0CCC17DD">
                <wp:simplePos x="0" y="0"/>
                <wp:positionH relativeFrom="margin">
                  <wp:posOffset>3370580</wp:posOffset>
                </wp:positionH>
                <wp:positionV relativeFrom="margin">
                  <wp:posOffset>3015615</wp:posOffset>
                </wp:positionV>
                <wp:extent cx="2543175" cy="702310"/>
                <wp:effectExtent l="0" t="0" r="28575" b="21590"/>
                <wp:wrapTight wrapText="bothSides">
                  <wp:wrapPolygon edited="0">
                    <wp:start x="0" y="0"/>
                    <wp:lineTo x="0" y="21678"/>
                    <wp:lineTo x="21681" y="21678"/>
                    <wp:lineTo x="2168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02310"/>
                        </a:xfrm>
                        <a:prstGeom prst="rect">
                          <a:avLst/>
                        </a:prstGeom>
                        <a:solidFill>
                          <a:srgbClr val="FFFFFF"/>
                        </a:solidFill>
                        <a:ln w="9525">
                          <a:solidFill>
                            <a:srgbClr val="000000"/>
                          </a:solidFill>
                          <a:miter lim="800000"/>
                          <a:headEnd/>
                          <a:tailEnd/>
                        </a:ln>
                      </wps:spPr>
                      <wps:txbx>
                        <w:txbxContent>
                          <w:p w14:paraId="52A3C82D" w14:textId="3445F9CC" w:rsidR="00002FA8" w:rsidRDefault="00002FA8" w:rsidP="00002FA8">
                            <w:pPr>
                              <w:pStyle w:val="CommentText"/>
                            </w:pPr>
                            <w:r>
                              <w:rPr>
                                <w:b/>
                                <w:bCs/>
                              </w:rPr>
                              <w:t xml:space="preserve">Note to user: </w:t>
                            </w:r>
                            <w:r>
                              <w:t>Jurisdictions have the option</w:t>
                            </w:r>
                            <w:r w:rsidRPr="00E625CA">
                              <w:t xml:space="preserve"> to allow</w:t>
                            </w:r>
                            <w:r w:rsidR="000714E2">
                              <w:t xml:space="preserve"> supportive housing without discretionary review</w:t>
                            </w:r>
                            <w:r w:rsidRPr="00E625CA">
                              <w:t xml:space="preserve"> in more zones beyond what is required </w:t>
                            </w:r>
                            <w:r>
                              <w:t>by</w:t>
                            </w:r>
                            <w:r w:rsidRPr="00E625CA">
                              <w:t xml:space="preserve"> state law</w:t>
                            </w:r>
                            <w:r>
                              <w:t xml:space="preserve"> as written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ECC7A" id="_x0000_t202" coordsize="21600,21600" o:spt="202" path="m,l,21600r21600,l21600,xe">
                <v:stroke joinstyle="miter"/>
                <v:path gradientshapeok="t" o:connecttype="rect"/>
              </v:shapetype>
              <v:shape id="Text Box 2" o:spid="_x0000_s1027" type="#_x0000_t202" style="position:absolute;margin-left:265.4pt;margin-top:237.45pt;width:200.25pt;height:55.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kOLQIAAFc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">
                <v:textbox>
                  <w:txbxContent>
                    <w:p w14:paraId="52A3C82D" w14:textId="3445F9CC" w:rsidR="00002FA8" w:rsidRDefault="00002FA8" w:rsidP="00002FA8">
                      <w:pPr>
                        <w:pStyle w:val="CommentText"/>
                      </w:pPr>
                      <w:r>
                        <w:rPr>
                          <w:b/>
                          <w:bCs/>
                        </w:rPr>
                        <w:t xml:space="preserve">Note to user: </w:t>
                      </w:r>
                      <w:r>
                        <w:t>Jurisdictions have the option</w:t>
                      </w:r>
                      <w:r w:rsidRPr="00E625CA">
                        <w:t xml:space="preserve"> to allow</w:t>
                      </w:r>
                      <w:r w:rsidR="000714E2">
                        <w:t xml:space="preserve"> supportive housing without discretionary review</w:t>
                      </w:r>
                      <w:r w:rsidRPr="00E625CA">
                        <w:t xml:space="preserve"> in more zones beyond what is required </w:t>
                      </w:r>
                      <w:r>
                        <w:t>by</w:t>
                      </w:r>
                      <w:r w:rsidRPr="00E625CA">
                        <w:t xml:space="preserve"> state law</w:t>
                      </w:r>
                      <w:r>
                        <w:t xml:space="preserve"> as written here.</w:t>
                      </w:r>
                    </w:p>
                  </w:txbxContent>
                </v:textbox>
                <w10:wrap type="tight" anchorx="margin" anchory="margin"/>
              </v:shape>
            </w:pict>
          </mc:Fallback>
        </mc:AlternateContent>
      </w:r>
      <w:r>
        <w:rPr>
          <w:noProof/>
        </w:rPr>
        <mc:AlternateContent>
          <mc:Choice Requires="wps">
            <w:drawing>
              <wp:anchor distT="45720" distB="45720" distL="114300" distR="114300" simplePos="0" relativeHeight="251661312" behindDoc="1" locked="0" layoutInCell="1" allowOverlap="1" wp14:anchorId="4A6C431C" wp14:editId="0F2C9D8A">
                <wp:simplePos x="0" y="0"/>
                <wp:positionH relativeFrom="margin">
                  <wp:posOffset>3371850</wp:posOffset>
                </wp:positionH>
                <wp:positionV relativeFrom="margin">
                  <wp:posOffset>2476500</wp:posOffset>
                </wp:positionV>
                <wp:extent cx="2543175" cy="438150"/>
                <wp:effectExtent l="0" t="0" r="28575" b="19050"/>
                <wp:wrapTight wrapText="bothSides">
                  <wp:wrapPolygon edited="0">
                    <wp:start x="0" y="0"/>
                    <wp:lineTo x="0" y="21600"/>
                    <wp:lineTo x="21681" y="21600"/>
                    <wp:lineTo x="21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38150"/>
                        </a:xfrm>
                        <a:prstGeom prst="rect">
                          <a:avLst/>
                        </a:prstGeom>
                        <a:solidFill>
                          <a:srgbClr val="FFFFFF"/>
                        </a:solidFill>
                        <a:ln w="9525">
                          <a:solidFill>
                            <a:srgbClr val="000000"/>
                          </a:solidFill>
                          <a:miter lim="800000"/>
                          <a:headEnd/>
                          <a:tailEnd/>
                        </a:ln>
                      </wps:spPr>
                      <wps:txbx>
                        <w:txbxContent>
                          <w:p w14:paraId="1B00073F" w14:textId="4B8E3CCC" w:rsidR="00002FA8" w:rsidRDefault="00002FA8" w:rsidP="00002FA8">
                            <w:pPr>
                              <w:pStyle w:val="CommentText"/>
                            </w:pPr>
                            <w:r>
                              <w:rPr>
                                <w:b/>
                                <w:bCs/>
                              </w:rPr>
                              <w:t xml:space="preserve">Note to user: </w:t>
                            </w:r>
                            <w:r w:rsidRPr="00002FA8">
                              <w:t>For projects with more than 50 units th</w:t>
                            </w:r>
                            <w:r w:rsidR="000714E2">
                              <w:t>e 60 days increases</w:t>
                            </w:r>
                            <w:r w:rsidRPr="00002FA8">
                              <w:t xml:space="preserve"> to 120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C431C" id="Text Box 1" o:spid="_x0000_s1028" type="#_x0000_t202" style="position:absolute;margin-left:265.5pt;margin-top:195pt;width:200.25pt;height:3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">
                <v:textbox>
                  <w:txbxContent>
                    <w:p w14:paraId="1B00073F" w14:textId="4B8E3CCC" w:rsidR="00002FA8" w:rsidRDefault="00002FA8" w:rsidP="00002FA8">
                      <w:pPr>
                        <w:pStyle w:val="CommentText"/>
                      </w:pPr>
                      <w:r>
                        <w:rPr>
                          <w:b/>
                          <w:bCs/>
                        </w:rPr>
                        <w:t xml:space="preserve">Note to user: </w:t>
                      </w:r>
                      <w:r w:rsidRPr="00002FA8">
                        <w:t>For projects with more than 50 units th</w:t>
                      </w:r>
                      <w:r w:rsidR="000714E2">
                        <w:t>e 60 days increases</w:t>
                      </w:r>
                      <w:r w:rsidRPr="00002FA8">
                        <w:t xml:space="preserve"> to 120 days.</w:t>
                      </w:r>
                    </w:p>
                  </w:txbxContent>
                </v:textbox>
                <w10:wrap type="tight" anchorx="margin" anchory="margin"/>
              </v:shape>
            </w:pict>
          </mc:Fallback>
        </mc:AlternateContent>
      </w:r>
      <w:r w:rsidR="000D3C6D">
        <w:rPr>
          <w:shd w:val="clear" w:color="auto" w:fill="FFFFFF"/>
        </w:rPr>
        <w:t>A planning permit is required prior to establish</w:t>
      </w:r>
      <w:r w:rsidR="00037AB3">
        <w:rPr>
          <w:shd w:val="clear" w:color="auto" w:fill="FFFFFF"/>
        </w:rPr>
        <w:t>ment</w:t>
      </w:r>
      <w:r w:rsidR="000D3C6D">
        <w:rPr>
          <w:shd w:val="clear" w:color="auto" w:fill="FFFFFF"/>
        </w:rPr>
        <w:t xml:space="preserve"> of an</w:t>
      </w:r>
      <w:r w:rsidR="00640327">
        <w:rPr>
          <w:shd w:val="clear" w:color="auto" w:fill="FFFFFF"/>
        </w:rPr>
        <w:t>y</w:t>
      </w:r>
      <w:r w:rsidR="000D3C6D">
        <w:rPr>
          <w:shd w:val="clear" w:color="auto" w:fill="FFFFFF"/>
        </w:rPr>
        <w:t xml:space="preserve"> </w:t>
      </w:r>
      <w:r w:rsidR="00D11954">
        <w:rPr>
          <w:shd w:val="clear" w:color="auto" w:fill="FFFFFF"/>
        </w:rPr>
        <w:t xml:space="preserve">supportive housing </w:t>
      </w:r>
      <w:r w:rsidR="006F3232">
        <w:rPr>
          <w:shd w:val="clear" w:color="auto" w:fill="FFFFFF"/>
        </w:rPr>
        <w:t>project meeting either of the following criteria.</w:t>
      </w:r>
      <w:r w:rsidR="00037AB3">
        <w:rPr>
          <w:shd w:val="clear" w:color="auto" w:fill="FFFFFF"/>
        </w:rPr>
        <w:t xml:space="preserve"> The permit</w:t>
      </w:r>
      <w:r w:rsidR="00D24D27">
        <w:rPr>
          <w:shd w:val="clear" w:color="auto" w:fill="FFFFFF"/>
        </w:rPr>
        <w:t xml:space="preserve"> s</w:t>
      </w:r>
      <w:r w:rsidR="00037AB3">
        <w:rPr>
          <w:shd w:val="clear" w:color="auto" w:fill="FFFFFF"/>
        </w:rPr>
        <w:t xml:space="preserve">hall be </w:t>
      </w:r>
      <w:r w:rsidR="00D24D27">
        <w:rPr>
          <w:shd w:val="clear" w:color="auto" w:fill="FFFFFF"/>
        </w:rPr>
        <w:t>a ministerial action without discretionary review or a hearing</w:t>
      </w:r>
      <w:r w:rsidR="006F3232">
        <w:rPr>
          <w:shd w:val="clear" w:color="auto" w:fill="FFFFFF"/>
        </w:rPr>
        <w:t>.</w:t>
      </w:r>
      <w:r w:rsidR="00782123">
        <w:rPr>
          <w:shd w:val="clear" w:color="auto" w:fill="FFFFFF"/>
        </w:rPr>
        <w:t xml:space="preserve"> Action shall be taken within 60 days of a complete application being filed.</w:t>
      </w:r>
    </w:p>
    <w:p w14:paraId="3CD36925" w14:textId="2389DF21" w:rsidR="00252F0D" w:rsidRDefault="00252F0D" w:rsidP="00252F0D">
      <w:pPr>
        <w:pStyle w:val="LetterList1"/>
        <w:numPr>
          <w:ilvl w:val="1"/>
          <w:numId w:val="20"/>
        </w:numPr>
        <w:tabs>
          <w:tab w:val="clear" w:pos="840"/>
        </w:tabs>
      </w:pPr>
      <w:r>
        <w:t>Supportive housing projects in all zones where multifamily and mixed uses are permitted.</w:t>
      </w:r>
    </w:p>
    <w:p w14:paraId="5669D0B4" w14:textId="7B41AFA7" w:rsidR="00252F0D" w:rsidRDefault="000714E2" w:rsidP="00252F0D">
      <w:pPr>
        <w:pStyle w:val="LetterList1"/>
        <w:numPr>
          <w:ilvl w:val="1"/>
          <w:numId w:val="20"/>
        </w:numPr>
        <w:tabs>
          <w:tab w:val="clear" w:pos="840"/>
        </w:tabs>
      </w:pPr>
      <w:r>
        <w:rPr>
          <w:noProof/>
        </w:rPr>
        <mc:AlternateContent>
          <mc:Choice Requires="wps">
            <w:drawing>
              <wp:anchor distT="45720" distB="45720" distL="114300" distR="114300" simplePos="0" relativeHeight="251665408" behindDoc="1" locked="0" layoutInCell="1" allowOverlap="1" wp14:anchorId="4BDC13ED" wp14:editId="0B9F4415">
                <wp:simplePos x="0" y="0"/>
                <wp:positionH relativeFrom="margin">
                  <wp:posOffset>3371850</wp:posOffset>
                </wp:positionH>
                <wp:positionV relativeFrom="margin">
                  <wp:posOffset>3827619</wp:posOffset>
                </wp:positionV>
                <wp:extent cx="2543175" cy="2076450"/>
                <wp:effectExtent l="0" t="0" r="28575" b="19050"/>
                <wp:wrapTight wrapText="bothSides">
                  <wp:wrapPolygon edited="0">
                    <wp:start x="0" y="0"/>
                    <wp:lineTo x="0" y="21600"/>
                    <wp:lineTo x="21681" y="21600"/>
                    <wp:lineTo x="2168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76450"/>
                        </a:xfrm>
                        <a:prstGeom prst="rect">
                          <a:avLst/>
                        </a:prstGeom>
                        <a:solidFill>
                          <a:srgbClr val="FFFFFF"/>
                        </a:solidFill>
                        <a:ln w="9525">
                          <a:solidFill>
                            <a:srgbClr val="000000"/>
                          </a:solidFill>
                          <a:miter lim="800000"/>
                          <a:headEnd/>
                          <a:tailEnd/>
                        </a:ln>
                      </wps:spPr>
                      <wps:txbx>
                        <w:txbxContent>
                          <w:p w14:paraId="00A34578" w14:textId="2FEC00A0" w:rsidR="00002FA8" w:rsidRDefault="00002FA8" w:rsidP="00002FA8">
                            <w:pPr>
                              <w:pStyle w:val="CommentText"/>
                              <w:spacing w:after="120"/>
                            </w:pPr>
                            <w:r>
                              <w:rPr>
                                <w:b/>
                                <w:bCs/>
                              </w:rPr>
                              <w:t xml:space="preserve">Note to user: </w:t>
                            </w:r>
                            <w:r>
                              <w:t>For jurisdictions with a population of fewer than 200,000 and a population of persons experiencing homelessness of 1,500 or fewer, the by right provision shall apply to projects of 50 or fewer units. However, a jurisdiction may elect to allow projects greater than 50 units as by right uses in accordance with Government Code Section 65651(d).</w:t>
                            </w:r>
                          </w:p>
                          <w:p w14:paraId="53DBFB46" w14:textId="12ACBCB3" w:rsidR="00002FA8" w:rsidRDefault="00002FA8" w:rsidP="00002FA8">
                            <w:pPr>
                              <w:pStyle w:val="CommentText"/>
                              <w:spacing w:after="120"/>
                            </w:pPr>
                            <w:r>
                              <w:t>For supportive housing projects that do not meet these criteria, the jurisdiction can elect to provide for discretionary approvals.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C13ED" id="Text Box 3" o:spid="_x0000_s1029" type="#_x0000_t202" style="position:absolute;left:0;text-align:left;margin-left:265.5pt;margin-top:301.4pt;width:200.25pt;height:16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">
                <v:textbox>
                  <w:txbxContent>
                    <w:p w14:paraId="00A34578" w14:textId="2FEC00A0" w:rsidR="00002FA8" w:rsidRDefault="00002FA8" w:rsidP="00002FA8">
                      <w:pPr>
                        <w:pStyle w:val="CommentText"/>
                        <w:spacing w:after="120"/>
                      </w:pPr>
                      <w:r>
                        <w:rPr>
                          <w:b/>
                          <w:bCs/>
                        </w:rPr>
                        <w:t xml:space="preserve">Note to user: </w:t>
                      </w:r>
                      <w:r>
                        <w:t>For jurisdictions with a population of fewer than 200,000 and a population of persons experiencing homelessness of 1,500 or fewer, the by right provision shall apply to projects of 50 or fewer units. However, a jurisdiction may elect to allow projects greater than 50 units as by right uses in accordance with Government Code Section 65651(d).</w:t>
                      </w:r>
                    </w:p>
                    <w:p w14:paraId="53DBFB46" w14:textId="12ACBCB3" w:rsidR="00002FA8" w:rsidRDefault="00002FA8" w:rsidP="00002FA8">
                      <w:pPr>
                        <w:pStyle w:val="CommentText"/>
                        <w:spacing w:after="120"/>
                      </w:pPr>
                      <w:r>
                        <w:t>For supportive housing projects that do not meet these criteria, the jurisdiction can elect to provide for discretionary approvals.</w:t>
                      </w:r>
                    </w:p>
                  </w:txbxContent>
                </v:textbox>
                <w10:wrap type="tight" anchorx="margin" anchory="margin"/>
              </v:shape>
            </w:pict>
          </mc:Fallback>
        </mc:AlternateContent>
      </w:r>
      <w:r w:rsidR="00252F0D">
        <w:t>Supportive housing projects in non-residential zones where all the following requirements are met:</w:t>
      </w:r>
    </w:p>
    <w:p w14:paraId="6C5635D1" w14:textId="4E177BAD" w:rsidR="006F3232" w:rsidRPr="006F3232"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t>Units within the development are subject to a recorded affordability restriction for 55 years.</w:t>
      </w:r>
    </w:p>
    <w:p w14:paraId="425B76A8" w14:textId="2FF050F6" w:rsidR="006F3232" w:rsidRPr="006F3232"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t xml:space="preserve">One hundred percent of the units, excluding </w:t>
      </w:r>
      <w:r>
        <w:rPr>
          <w:shd w:val="clear" w:color="auto" w:fill="FFFFFF"/>
        </w:rPr>
        <w:t xml:space="preserve">the </w:t>
      </w:r>
      <w:r w:rsidRPr="006F3232">
        <w:rPr>
          <w:shd w:val="clear" w:color="auto" w:fill="FFFFFF"/>
        </w:rPr>
        <w:t>manager unit</w:t>
      </w:r>
      <w:r>
        <w:rPr>
          <w:shd w:val="clear" w:color="auto" w:fill="FFFFFF"/>
        </w:rPr>
        <w:t>(</w:t>
      </w:r>
      <w:r w:rsidRPr="006F3232">
        <w:rPr>
          <w:shd w:val="clear" w:color="auto" w:fill="FFFFFF"/>
        </w:rPr>
        <w:t>s</w:t>
      </w:r>
      <w:r>
        <w:rPr>
          <w:shd w:val="clear" w:color="auto" w:fill="FFFFFF"/>
        </w:rPr>
        <w:t>)</w:t>
      </w:r>
      <w:r w:rsidRPr="006F3232">
        <w:rPr>
          <w:shd w:val="clear" w:color="auto" w:fill="FFFFFF"/>
        </w:rPr>
        <w:t xml:space="preserve">, within the development are dedicated to lower income households and are receiving public funding to ensure affordability of the housing to lower income Californians. </w:t>
      </w:r>
    </w:p>
    <w:p w14:paraId="49E3DBE1" w14:textId="65615D06" w:rsidR="006F3232" w:rsidRPr="006F3232"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t>At least 25 percent of the units in the development or 12 units, whichever is greater, are restricted to residents in supportive housing who meet criteria of the target population. If the development consists of fewer than 12 units, then 100 percent of the units, excluding manager unit</w:t>
      </w:r>
      <w:r>
        <w:rPr>
          <w:shd w:val="clear" w:color="auto" w:fill="FFFFFF"/>
        </w:rPr>
        <w:t>(</w:t>
      </w:r>
      <w:r w:rsidRPr="006F3232">
        <w:rPr>
          <w:shd w:val="clear" w:color="auto" w:fill="FFFFFF"/>
        </w:rPr>
        <w:t>s</w:t>
      </w:r>
      <w:r>
        <w:rPr>
          <w:shd w:val="clear" w:color="auto" w:fill="FFFFFF"/>
        </w:rPr>
        <w:t>)</w:t>
      </w:r>
      <w:r w:rsidRPr="006F3232">
        <w:rPr>
          <w:shd w:val="clear" w:color="auto" w:fill="FFFFFF"/>
        </w:rPr>
        <w:t>, in the development shall be restricted to residents in supportive housing.</w:t>
      </w:r>
    </w:p>
    <w:p w14:paraId="061B4017" w14:textId="708FE490" w:rsidR="006F3232" w:rsidRPr="006F3232"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t>Non</w:t>
      </w:r>
      <w:r>
        <w:rPr>
          <w:shd w:val="clear" w:color="auto" w:fill="FFFFFF"/>
        </w:rPr>
        <w:t>-</w:t>
      </w:r>
      <w:r w:rsidRPr="006F3232">
        <w:rPr>
          <w:shd w:val="clear" w:color="auto" w:fill="FFFFFF"/>
        </w:rPr>
        <w:t>residential floor area shall be used for on</w:t>
      </w:r>
      <w:r>
        <w:rPr>
          <w:shd w:val="clear" w:color="auto" w:fill="FFFFFF"/>
        </w:rPr>
        <w:t>-</w:t>
      </w:r>
      <w:r w:rsidRPr="006F3232">
        <w:rPr>
          <w:shd w:val="clear" w:color="auto" w:fill="FFFFFF"/>
        </w:rPr>
        <w:t>site supportive services in the following amounts:</w:t>
      </w:r>
    </w:p>
    <w:p w14:paraId="5E76539F" w14:textId="5B404C31" w:rsidR="006F3232" w:rsidRPr="006F3232" w:rsidRDefault="006F3232" w:rsidP="006F3232">
      <w:pPr>
        <w:numPr>
          <w:ilvl w:val="3"/>
          <w:numId w:val="30"/>
        </w:numPr>
        <w:shd w:val="clear" w:color="auto" w:fill="FFFFFF"/>
        <w:spacing w:before="60" w:after="60" w:line="240" w:lineRule="auto"/>
        <w:jc w:val="both"/>
        <w:rPr>
          <w:shd w:val="clear" w:color="auto" w:fill="FFFFFF"/>
        </w:rPr>
      </w:pPr>
      <w:r w:rsidRPr="006F3232">
        <w:rPr>
          <w:shd w:val="clear" w:color="auto" w:fill="FFFFFF"/>
        </w:rPr>
        <w:t>For a development with 20 or fewer total units, at least 90 square feet shall be provided for onsite supportive services.</w:t>
      </w:r>
    </w:p>
    <w:p w14:paraId="7C72ED79" w14:textId="4CB7D296" w:rsidR="006F3232" w:rsidRPr="006F3232" w:rsidRDefault="006F3232" w:rsidP="006F3232">
      <w:pPr>
        <w:numPr>
          <w:ilvl w:val="3"/>
          <w:numId w:val="30"/>
        </w:numPr>
        <w:shd w:val="clear" w:color="auto" w:fill="FFFFFF"/>
        <w:spacing w:before="60" w:after="60" w:line="240" w:lineRule="auto"/>
        <w:jc w:val="both"/>
        <w:rPr>
          <w:shd w:val="clear" w:color="auto" w:fill="FFFFFF"/>
        </w:rPr>
      </w:pPr>
      <w:r w:rsidRPr="006F3232">
        <w:rPr>
          <w:shd w:val="clear" w:color="auto" w:fill="FFFFFF"/>
        </w:rPr>
        <w:t>For a development with more than 20 units, at least 3 percent of the total nonresidential floor area shall be provided for onsite supportive services that are limited to tenant use, including, but not limited to, community rooms, case management offices, computer rooms, and community kitchens.</w:t>
      </w:r>
    </w:p>
    <w:p w14:paraId="600D3EAE" w14:textId="2DB87626" w:rsidR="006F3232" w:rsidRPr="006F3232"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lastRenderedPageBreak/>
        <w:t>The developer replaces any dwelling units on the site of the supportive housing development</w:t>
      </w:r>
      <w:r w:rsidR="000156A9">
        <w:rPr>
          <w:shd w:val="clear" w:color="auto" w:fill="FFFFFF"/>
        </w:rPr>
        <w:t xml:space="preserve"> to ensure that a</w:t>
      </w:r>
      <w:r w:rsidRPr="000156A9">
        <w:rPr>
          <w:shd w:val="clear" w:color="auto" w:fill="FFFFFF"/>
        </w:rPr>
        <w:t>ny change to the occupancy of the supportive housing units is made in a manner that minimizes tenant disruption and only upon the vacancy of any supportive housing units</w:t>
      </w:r>
      <w:r w:rsidRPr="006F3232">
        <w:rPr>
          <w:shd w:val="clear" w:color="auto" w:fill="FFFFFF"/>
        </w:rPr>
        <w:t>.</w:t>
      </w:r>
    </w:p>
    <w:p w14:paraId="245AA175" w14:textId="6A4234D9" w:rsidR="006F3232" w:rsidRPr="000156A9" w:rsidRDefault="006F3232" w:rsidP="006F3232">
      <w:pPr>
        <w:numPr>
          <w:ilvl w:val="2"/>
          <w:numId w:val="30"/>
        </w:numPr>
        <w:shd w:val="clear" w:color="auto" w:fill="FFFFFF"/>
        <w:spacing w:before="60" w:after="60" w:line="240" w:lineRule="auto"/>
        <w:jc w:val="both"/>
        <w:rPr>
          <w:shd w:val="clear" w:color="auto" w:fill="FFFFFF"/>
        </w:rPr>
      </w:pPr>
      <w:r w:rsidRPr="006F3232">
        <w:rPr>
          <w:shd w:val="clear" w:color="auto" w:fill="FFFFFF"/>
        </w:rPr>
        <w:t>Units within the development, excluding manager unit</w:t>
      </w:r>
      <w:r w:rsidR="000156A9">
        <w:rPr>
          <w:shd w:val="clear" w:color="auto" w:fill="FFFFFF"/>
        </w:rPr>
        <w:t>(</w:t>
      </w:r>
      <w:r w:rsidRPr="006F3232">
        <w:rPr>
          <w:shd w:val="clear" w:color="auto" w:fill="FFFFFF"/>
        </w:rPr>
        <w:t>s</w:t>
      </w:r>
      <w:r w:rsidR="000156A9">
        <w:rPr>
          <w:shd w:val="clear" w:color="auto" w:fill="FFFFFF"/>
        </w:rPr>
        <w:t>)</w:t>
      </w:r>
      <w:r w:rsidRPr="006F3232">
        <w:rPr>
          <w:shd w:val="clear" w:color="auto" w:fill="FFFFFF"/>
        </w:rPr>
        <w:t>, include at least one bathroom and a kitchen or other cooking facilities, including, at minimum, a stovetop, a sink, and a refrigerator.</w:t>
      </w:r>
    </w:p>
    <w:p w14:paraId="32966DFE" w14:textId="77777777" w:rsidR="00F91A15" w:rsidRPr="00F74C98" w:rsidRDefault="00F91A15" w:rsidP="00F91A15">
      <w:pPr>
        <w:shd w:val="clear" w:color="auto" w:fill="FFFFFF"/>
        <w:spacing w:before="60" w:after="60" w:line="240" w:lineRule="auto"/>
        <w:ind w:left="840"/>
        <w:jc w:val="both"/>
      </w:pPr>
    </w:p>
    <w:p w14:paraId="4F0B45AE" w14:textId="65548B3B" w:rsidR="00DC2B58" w:rsidRDefault="00DC2B58" w:rsidP="00DD553F">
      <w:pPr>
        <w:pStyle w:val="Heading3"/>
      </w:pPr>
      <w:r>
        <w:t xml:space="preserve">Section </w:t>
      </w:r>
      <w:r w:rsidR="00DD553F">
        <w:t>xx.xx.0</w:t>
      </w:r>
      <w:r w:rsidR="00252F0D">
        <w:t>4</w:t>
      </w:r>
      <w:r w:rsidR="00DD553F">
        <w:t>0</w:t>
      </w:r>
      <w:r>
        <w:t xml:space="preserve">: Development </w:t>
      </w:r>
      <w:r w:rsidR="00DD553F">
        <w:t xml:space="preserve">and Operational </w:t>
      </w:r>
      <w:r>
        <w:t>Standards</w:t>
      </w:r>
    </w:p>
    <w:p w14:paraId="352875B5" w14:textId="00FBAA6A" w:rsidR="00810864" w:rsidRPr="00810864" w:rsidRDefault="006F3232" w:rsidP="006F3232">
      <w:pPr>
        <w:pStyle w:val="LetterList1"/>
      </w:pPr>
      <w:r>
        <w:t>Supportive housing projects</w:t>
      </w:r>
      <w:r w:rsidR="00892862" w:rsidRPr="00810864">
        <w:t xml:space="preserve"> </w:t>
      </w:r>
      <w:r w:rsidR="00810864" w:rsidRPr="00810864">
        <w:t>shall comply with all the following standards:</w:t>
      </w:r>
    </w:p>
    <w:p w14:paraId="3A5093CA" w14:textId="47E019C2" w:rsidR="006F3232" w:rsidRDefault="006F3232" w:rsidP="006F3232">
      <w:pPr>
        <w:pStyle w:val="LetterList1"/>
        <w:numPr>
          <w:ilvl w:val="1"/>
          <w:numId w:val="28"/>
        </w:numPr>
        <w:tabs>
          <w:tab w:val="clear" w:pos="840"/>
        </w:tabs>
      </w:pPr>
      <w:r>
        <w:t xml:space="preserve">The project </w:t>
      </w:r>
      <w:r w:rsidR="00381523">
        <w:t>may be required to</w:t>
      </w:r>
      <w:r w:rsidR="002D7EEE">
        <w:t xml:space="preserve"> comply with any</w:t>
      </w:r>
      <w:r w:rsidR="002055E2">
        <w:t xml:space="preserve"> written</w:t>
      </w:r>
      <w:r w:rsidR="002D7EEE">
        <w:t xml:space="preserve"> </w:t>
      </w:r>
      <w:r>
        <w:t>objective standards</w:t>
      </w:r>
      <w:r w:rsidR="002055E2">
        <w:t xml:space="preserve"> or policies</w:t>
      </w:r>
      <w:r>
        <w:t xml:space="preserve"> </w:t>
      </w:r>
      <w:r w:rsidR="002D7EEE">
        <w:t xml:space="preserve">also </w:t>
      </w:r>
      <w:r>
        <w:t>required of multifamily developments in the same zone</w:t>
      </w:r>
      <w:r w:rsidR="00810864">
        <w:t>.</w:t>
      </w:r>
    </w:p>
    <w:p w14:paraId="4B5FB1F0" w14:textId="57904239" w:rsidR="00810864" w:rsidRDefault="006F3232" w:rsidP="006F3232">
      <w:pPr>
        <w:pStyle w:val="LetterList1"/>
        <w:numPr>
          <w:ilvl w:val="1"/>
          <w:numId w:val="28"/>
        </w:numPr>
        <w:tabs>
          <w:tab w:val="clear" w:pos="840"/>
        </w:tabs>
      </w:pPr>
      <w:r>
        <w:t>The applicant shall submit a plan for providing supportive services, to include all the following items:</w:t>
      </w:r>
    </w:p>
    <w:p w14:paraId="63F28A67" w14:textId="77777777" w:rsidR="006F3232" w:rsidRPr="006F3232" w:rsidRDefault="006F3232" w:rsidP="006F3232">
      <w:pPr>
        <w:numPr>
          <w:ilvl w:val="2"/>
          <w:numId w:val="29"/>
        </w:numPr>
        <w:shd w:val="clear" w:color="auto" w:fill="FFFFFF"/>
        <w:spacing w:before="60" w:after="60" w:line="240" w:lineRule="auto"/>
        <w:jc w:val="both"/>
        <w:rPr>
          <w:shd w:val="clear" w:color="auto" w:fill="FFFFFF"/>
        </w:rPr>
      </w:pPr>
      <w:r w:rsidRPr="006F3232">
        <w:rPr>
          <w:shd w:val="clear" w:color="auto" w:fill="FFFFFF"/>
        </w:rPr>
        <w:t>Documentation that supportive services will be provided on-site.</w:t>
      </w:r>
    </w:p>
    <w:p w14:paraId="6AB481BC" w14:textId="77777777" w:rsidR="006F3232" w:rsidRPr="006F3232" w:rsidRDefault="006F3232" w:rsidP="006F3232">
      <w:pPr>
        <w:numPr>
          <w:ilvl w:val="2"/>
          <w:numId w:val="29"/>
        </w:numPr>
        <w:shd w:val="clear" w:color="auto" w:fill="FFFFFF"/>
        <w:spacing w:before="60" w:after="60" w:line="240" w:lineRule="auto"/>
        <w:jc w:val="both"/>
        <w:rPr>
          <w:shd w:val="clear" w:color="auto" w:fill="FFFFFF"/>
        </w:rPr>
      </w:pPr>
      <w:r w:rsidRPr="006F3232">
        <w:rPr>
          <w:shd w:val="clear" w:color="auto" w:fill="FFFFFF"/>
        </w:rPr>
        <w:t>The name of the proposed entities that will provide supportive services.</w:t>
      </w:r>
    </w:p>
    <w:p w14:paraId="29E1EDDA" w14:textId="77777777" w:rsidR="006F3232" w:rsidRPr="006F3232" w:rsidRDefault="006F3232" w:rsidP="006F3232">
      <w:pPr>
        <w:numPr>
          <w:ilvl w:val="2"/>
          <w:numId w:val="29"/>
        </w:numPr>
        <w:shd w:val="clear" w:color="auto" w:fill="FFFFFF"/>
        <w:spacing w:before="60" w:after="60" w:line="240" w:lineRule="auto"/>
        <w:jc w:val="both"/>
        <w:rPr>
          <w:shd w:val="clear" w:color="auto" w:fill="FFFFFF"/>
        </w:rPr>
      </w:pPr>
      <w:r w:rsidRPr="006F3232">
        <w:rPr>
          <w:shd w:val="clear" w:color="auto" w:fill="FFFFFF"/>
        </w:rPr>
        <w:t>The proposed funding sources for the services provided.</w:t>
      </w:r>
    </w:p>
    <w:p w14:paraId="544961B1" w14:textId="5B6E94E4" w:rsidR="006F3232" w:rsidRPr="006F3232" w:rsidRDefault="006F3232" w:rsidP="006F3232">
      <w:pPr>
        <w:numPr>
          <w:ilvl w:val="2"/>
          <w:numId w:val="29"/>
        </w:numPr>
        <w:shd w:val="clear" w:color="auto" w:fill="FFFFFF"/>
        <w:spacing w:before="60" w:after="60" w:line="240" w:lineRule="auto"/>
        <w:jc w:val="both"/>
        <w:rPr>
          <w:shd w:val="clear" w:color="auto" w:fill="FFFFFF"/>
        </w:rPr>
      </w:pPr>
      <w:r w:rsidRPr="006F3232">
        <w:rPr>
          <w:shd w:val="clear" w:color="auto" w:fill="FFFFFF"/>
        </w:rPr>
        <w:t>Proposed staffing levels</w:t>
      </w:r>
    </w:p>
    <w:p w14:paraId="02D6DA31" w14:textId="29984121" w:rsidR="006F3232" w:rsidRDefault="006F3232" w:rsidP="006F3232">
      <w:pPr>
        <w:pStyle w:val="LetterList1"/>
        <w:numPr>
          <w:ilvl w:val="1"/>
          <w:numId w:val="28"/>
        </w:numPr>
        <w:tabs>
          <w:tab w:val="clear" w:pos="840"/>
        </w:tabs>
      </w:pPr>
      <w:r>
        <w:t xml:space="preserve">No </w:t>
      </w:r>
      <w:r w:rsidR="009922C9">
        <w:t xml:space="preserve">minimum </w:t>
      </w:r>
      <w:r>
        <w:t>parking</w:t>
      </w:r>
      <w:r w:rsidR="009922C9">
        <w:t xml:space="preserve"> requirements</w:t>
      </w:r>
      <w:r>
        <w:t xml:space="preserve"> shall be required for </w:t>
      </w:r>
      <w:r w:rsidR="009922C9">
        <w:t>the units occupied by supportive housing residents for projects</w:t>
      </w:r>
      <w:r>
        <w:t xml:space="preserve"> located within one-half mile of a public transit stop.</w:t>
      </w:r>
    </w:p>
    <w:p w14:paraId="6C2E6CBF" w14:textId="77777777" w:rsidR="006F3232" w:rsidRDefault="006F3232" w:rsidP="00E03C27">
      <w:pPr>
        <w:pStyle w:val="Heading3"/>
      </w:pPr>
    </w:p>
    <w:p w14:paraId="685E90AE" w14:textId="704CEE20" w:rsidR="00F91A15" w:rsidRDefault="00F91A15" w:rsidP="00E03C27">
      <w:pPr>
        <w:pStyle w:val="Heading3"/>
      </w:pPr>
      <w:r>
        <w:t>Section xx.xx.0</w:t>
      </w:r>
      <w:r w:rsidR="006F3232">
        <w:t>5</w:t>
      </w:r>
      <w:r>
        <w:t xml:space="preserve">0: </w:t>
      </w:r>
      <w:r w:rsidR="00E03C27">
        <w:t>Definitions</w:t>
      </w:r>
    </w:p>
    <w:p w14:paraId="24E1A84C" w14:textId="2BF63522" w:rsidR="00DE026D" w:rsidRDefault="00DE026D" w:rsidP="00B55F26">
      <w:pPr>
        <w:jc w:val="both"/>
      </w:pPr>
      <w:r>
        <w:t>This section includes the definition of terms and phrases used in this chapter that are technical or specialized, or that may not reflect common usage.  If any of the definitions in this chapter conflict with definitions in other provisions of the Municipal Code, these definitions shall control for the purposes of this chapter.  If a word is not defined in this chapter or is defined and conflicts with another definition of the Municipal Code, the Director shall determine the most appropriate definition.</w:t>
      </w:r>
    </w:p>
    <w:p w14:paraId="6E99B49C" w14:textId="77777777" w:rsidR="00FF0DC3" w:rsidRPr="00992128" w:rsidRDefault="00FF0DC3" w:rsidP="00FF0DC3">
      <w:pPr>
        <w:shd w:val="clear" w:color="auto" w:fill="FFFFFF"/>
        <w:spacing w:before="60" w:after="60" w:line="240" w:lineRule="auto"/>
        <w:jc w:val="both"/>
        <w:rPr>
          <w:shd w:val="clear" w:color="auto" w:fill="FFFFFF"/>
        </w:rPr>
      </w:pPr>
      <w:r w:rsidRPr="00992128">
        <w:rPr>
          <w:b/>
          <w:bCs/>
          <w:shd w:val="clear" w:color="auto" w:fill="FFFFFF"/>
        </w:rPr>
        <w:t>L</w:t>
      </w:r>
      <w:r w:rsidRPr="006F3232">
        <w:rPr>
          <w:b/>
          <w:bCs/>
          <w:shd w:val="clear" w:color="auto" w:fill="FFFFFF"/>
        </w:rPr>
        <w:t xml:space="preserve">ower </w:t>
      </w:r>
      <w:r w:rsidRPr="00992128">
        <w:rPr>
          <w:b/>
          <w:bCs/>
          <w:shd w:val="clear" w:color="auto" w:fill="FFFFFF"/>
        </w:rPr>
        <w:t>I</w:t>
      </w:r>
      <w:r w:rsidRPr="006F3232">
        <w:rPr>
          <w:b/>
          <w:bCs/>
          <w:shd w:val="clear" w:color="auto" w:fill="FFFFFF"/>
        </w:rPr>
        <w:t xml:space="preserve">ncome </w:t>
      </w:r>
      <w:r w:rsidRPr="00992128">
        <w:rPr>
          <w:b/>
          <w:bCs/>
          <w:shd w:val="clear" w:color="auto" w:fill="FFFFFF"/>
        </w:rPr>
        <w:t>H</w:t>
      </w:r>
      <w:r w:rsidRPr="006F3232">
        <w:rPr>
          <w:b/>
          <w:bCs/>
          <w:shd w:val="clear" w:color="auto" w:fill="FFFFFF"/>
        </w:rPr>
        <w:t>ouseholds</w:t>
      </w:r>
      <w:r w:rsidRPr="00992128">
        <w:rPr>
          <w:b/>
          <w:bCs/>
          <w:shd w:val="clear" w:color="auto" w:fill="FFFFFF"/>
        </w:rPr>
        <w:t>.</w:t>
      </w:r>
      <w:r>
        <w:rPr>
          <w:shd w:val="clear" w:color="auto" w:fill="FFFFFF"/>
        </w:rPr>
        <w:t xml:space="preserve"> This term shall have the </w:t>
      </w:r>
      <w:r w:rsidRPr="006F3232">
        <w:rPr>
          <w:shd w:val="clear" w:color="auto" w:fill="FFFFFF"/>
        </w:rPr>
        <w:t>same meaning as defined in Section 50079.5 of the Health and Safety Code.</w:t>
      </w:r>
    </w:p>
    <w:p w14:paraId="017AF9F0" w14:textId="799EABE0" w:rsidR="00992128" w:rsidRDefault="006F3232" w:rsidP="00C240AF">
      <w:pPr>
        <w:rPr>
          <w:rFonts w:ascii="Verdana" w:hAnsi="Verdana"/>
          <w:color w:val="333333"/>
        </w:rPr>
      </w:pPr>
      <w:r>
        <w:rPr>
          <w:b/>
          <w:bCs/>
        </w:rPr>
        <w:t>Supportive Housing</w:t>
      </w:r>
      <w:r w:rsidR="00646B79" w:rsidRPr="00603C2B">
        <w:rPr>
          <w:b/>
          <w:bCs/>
        </w:rPr>
        <w:t>.</w:t>
      </w:r>
      <w:r w:rsidR="00646B79">
        <w:t xml:space="preserve"> </w:t>
      </w:r>
      <w:r w:rsidR="00992128" w:rsidRPr="00992128">
        <w:t>Housing with no limit on length of stay, that is occupied by the target population, and that is linked to on</w:t>
      </w:r>
      <w:r w:rsidR="00992128">
        <w:t>-</w:t>
      </w:r>
      <w:r w:rsidR="00992128" w:rsidRPr="00992128">
        <w:t>site or off</w:t>
      </w:r>
      <w:r w:rsidR="00992128">
        <w:t>-</w:t>
      </w:r>
      <w:r w:rsidR="00992128" w:rsidRPr="00992128">
        <w:t>site services that assist the supportive housing resident in retaining the housing, improving his or her health status, and maximizing his or her ability to live and, when possible, work in the community</w:t>
      </w:r>
      <w:r w:rsidR="00992128">
        <w:t>.</w:t>
      </w:r>
    </w:p>
    <w:p w14:paraId="2FFE1CC4" w14:textId="74DA1235" w:rsidR="00992128" w:rsidRDefault="006F3232" w:rsidP="001552B4">
      <w:r>
        <w:rPr>
          <w:b/>
          <w:bCs/>
        </w:rPr>
        <w:t>Supportive Services</w:t>
      </w:r>
      <w:r w:rsidR="001552B4" w:rsidRPr="00B07E55">
        <w:rPr>
          <w:b/>
          <w:bCs/>
        </w:rPr>
        <w:t>.</w:t>
      </w:r>
      <w:r w:rsidR="001552B4">
        <w:t xml:space="preserve"> </w:t>
      </w:r>
      <w:r w:rsidR="00992128" w:rsidRPr="00992128">
        <w:t>Service</w:t>
      </w:r>
      <w:r w:rsidR="00992128">
        <w:t>s</w:t>
      </w:r>
      <w:r w:rsidR="00992128" w:rsidRPr="00992128">
        <w:t xml:space="preserve"> would i</w:t>
      </w:r>
      <w:r w:rsidR="00215180" w:rsidRPr="00992128">
        <w:t>nclude, but are not limited to, a combination of subsidized, permanent housing, intensive case management, medical and mental health care, substance abuse treatment, employment services, and benefits advocacy</w:t>
      </w:r>
      <w:r w:rsidR="00992128">
        <w:t>.</w:t>
      </w:r>
    </w:p>
    <w:p w14:paraId="74BFFF9A" w14:textId="5352832C" w:rsidR="00992128" w:rsidRDefault="006F3232" w:rsidP="001552B4">
      <w:pPr>
        <w:rPr>
          <w:shd w:val="clear" w:color="auto" w:fill="FFFFFF"/>
        </w:rPr>
      </w:pPr>
      <w:r>
        <w:rPr>
          <w:b/>
          <w:bCs/>
        </w:rPr>
        <w:t>Target Population</w:t>
      </w:r>
      <w:r w:rsidR="001552B4" w:rsidRPr="00DE026D">
        <w:rPr>
          <w:b/>
          <w:bCs/>
        </w:rPr>
        <w:t>.</w:t>
      </w:r>
      <w:r w:rsidR="001552B4">
        <w:t xml:space="preserve"> </w:t>
      </w:r>
      <w:r w:rsidR="00992128" w:rsidRPr="00992128">
        <w:rPr>
          <w:shd w:val="clear" w:color="auto" w:fill="FFFFFF"/>
        </w:rPr>
        <w:t>Persons, including persons with disabilities, and families who are homeless, as that term is defined by Section 11302 of Title 42 of the United States Code, or who are homeless youth, as that term is defined by paragraph (2) of subdivision (e) of Section 11139.3 of the Government Code</w:t>
      </w:r>
      <w:r w:rsidR="00992128">
        <w:rPr>
          <w:shd w:val="clear" w:color="auto" w:fill="FFFFFF"/>
        </w:rPr>
        <w:t>.</w:t>
      </w:r>
    </w:p>
    <w:sectPr w:rsidR="0099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BCEE94"/>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lowerLetter"/>
      <w:lvlText w:val="%3."/>
      <w:lvlJc w:val="left"/>
      <w:pPr>
        <w:tabs>
          <w:tab w:val="num" w:pos="1260"/>
        </w:tabs>
        <w:ind w:left="1260" w:hanging="420"/>
      </w:pPr>
      <w:rPr>
        <w:rFonts w:ascii="Calibri" w:eastAsia="Calibri" w:hAnsi="Calibri" w:cs="Calibri"/>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0666A"/>
    <w:multiLevelType w:val="hybridMultilevel"/>
    <w:tmpl w:val="7DA6F0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1D6F"/>
    <w:multiLevelType w:val="hybridMultilevel"/>
    <w:tmpl w:val="D4E4B182"/>
    <w:lvl w:ilvl="0" w:tplc="A40E23AC">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2388A"/>
    <w:multiLevelType w:val="multilevel"/>
    <w:tmpl w:val="87A8CD1E"/>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C2EB9"/>
    <w:multiLevelType w:val="hybridMultilevel"/>
    <w:tmpl w:val="1044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5BF"/>
    <w:multiLevelType w:val="multilevel"/>
    <w:tmpl w:val="87A8CD1E"/>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527C3F"/>
    <w:multiLevelType w:val="hybridMultilevel"/>
    <w:tmpl w:val="6100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604"/>
    <w:multiLevelType w:val="hybridMultilevel"/>
    <w:tmpl w:val="E4E4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A5CA8"/>
    <w:multiLevelType w:val="multilevel"/>
    <w:tmpl w:val="17380CC2"/>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B26E60"/>
    <w:multiLevelType w:val="multilevel"/>
    <w:tmpl w:val="479E0FA8"/>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6F3301"/>
    <w:multiLevelType w:val="multilevel"/>
    <w:tmpl w:val="87A8CD1E"/>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D32792"/>
    <w:multiLevelType w:val="hybridMultilevel"/>
    <w:tmpl w:val="6CBC094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13C60"/>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17610"/>
    <w:multiLevelType w:val="multilevel"/>
    <w:tmpl w:val="87A8CD1E"/>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E55FDE"/>
    <w:multiLevelType w:val="hybridMultilevel"/>
    <w:tmpl w:val="00181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57836"/>
    <w:multiLevelType w:val="multilevel"/>
    <w:tmpl w:val="B6683F6A"/>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lowerLetter"/>
      <w:lvlText w:val="%3."/>
      <w:lvlJc w:val="left"/>
      <w:pPr>
        <w:tabs>
          <w:tab w:val="num" w:pos="1260"/>
        </w:tabs>
        <w:ind w:left="1260" w:hanging="420"/>
      </w:pPr>
      <w:rPr>
        <w:rFonts w:ascii="Calibri" w:eastAsia="Calibri" w:hAnsi="Calibri" w:cs="Calibri"/>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25283"/>
    <w:multiLevelType w:val="multilevel"/>
    <w:tmpl w:val="87A8CD1E"/>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decimal"/>
      <w:lvlText w:val="%3."/>
      <w:lvlJc w:val="left"/>
      <w:pPr>
        <w:tabs>
          <w:tab w:val="num" w:pos="1260"/>
        </w:tabs>
        <w:ind w:left="1260" w:hanging="420"/>
      </w:pPr>
      <w:rPr>
        <w:b w:val="0"/>
        <w:i w:val="0"/>
        <w:color w:val="111111"/>
        <w:sz w:val="22"/>
        <w:shd w:val="clear" w:color="auto" w:fill="FFFFFF"/>
      </w:rPr>
    </w:lvl>
    <w:lvl w:ilvl="3">
      <w:start w:val="1"/>
      <w:numFmt w:val="lowerLetter"/>
      <w:lvlText w:val="%4."/>
      <w:lvlJc w:val="left"/>
      <w:pPr>
        <w:tabs>
          <w:tab w:val="num" w:pos="1680"/>
        </w:tabs>
        <w:ind w:left="1680" w:hanging="420"/>
      </w:pPr>
      <w:rPr>
        <w:b w:val="0"/>
        <w:i w:val="0"/>
        <w:color w:val="111111"/>
        <w:sz w:val="22"/>
        <w:shd w:val="clear" w:color="auto" w:fill="FFFFFF"/>
      </w:rPr>
    </w:lvl>
    <w:lvl w:ilvl="4">
      <w:start w:val="1"/>
      <w:numFmt w:val="decimal"/>
      <w:lvlText w:val="%5)"/>
      <w:lvlJc w:val="left"/>
      <w:pPr>
        <w:tabs>
          <w:tab w:val="num" w:pos="2100"/>
        </w:tabs>
        <w:ind w:left="2100" w:hanging="420"/>
      </w:pPr>
      <w:rPr>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911368"/>
    <w:multiLevelType w:val="hybridMultilevel"/>
    <w:tmpl w:val="7332DEC4"/>
    <w:lvl w:ilvl="0" w:tplc="9CB07394">
      <w:start w:val="1"/>
      <w:numFmt w:val="bullet"/>
      <w:pStyle w:val="BulletList3"/>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00949"/>
    <w:multiLevelType w:val="multilevel"/>
    <w:tmpl w:val="F2EC0C1A"/>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lowerLetter"/>
      <w:lvlText w:val="%3."/>
      <w:lvlJc w:val="left"/>
      <w:pPr>
        <w:tabs>
          <w:tab w:val="num" w:pos="1260"/>
        </w:tabs>
        <w:ind w:left="1260" w:hanging="420"/>
      </w:pPr>
      <w:rPr>
        <w:rFonts w:ascii="Calibri" w:eastAsia="Calibri" w:hAnsi="Calibri" w:cs="Calibri"/>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49177A"/>
    <w:multiLevelType w:val="hybridMultilevel"/>
    <w:tmpl w:val="950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8152C"/>
    <w:multiLevelType w:val="multilevel"/>
    <w:tmpl w:val="74BCEE94"/>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lowerLetter"/>
      <w:lvlText w:val="%3."/>
      <w:lvlJc w:val="left"/>
      <w:pPr>
        <w:tabs>
          <w:tab w:val="num" w:pos="1260"/>
        </w:tabs>
        <w:ind w:left="1260" w:hanging="420"/>
      </w:pPr>
      <w:rPr>
        <w:rFonts w:ascii="Calibri" w:eastAsia="Calibri" w:hAnsi="Calibri" w:cs="Calibri"/>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826577"/>
    <w:multiLevelType w:val="hybridMultilevel"/>
    <w:tmpl w:val="9398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41834"/>
    <w:multiLevelType w:val="multilevel"/>
    <w:tmpl w:val="74BCEE94"/>
    <w:lvl w:ilvl="0">
      <w:start w:val="1"/>
      <w:numFmt w:val="upperLetter"/>
      <w:lvlText w:val="%1."/>
      <w:lvlJc w:val="left"/>
      <w:pPr>
        <w:tabs>
          <w:tab w:val="num" w:pos="420"/>
        </w:tabs>
        <w:ind w:left="420" w:hanging="420"/>
      </w:pPr>
      <w:rPr>
        <w:rFonts w:ascii="Calibri" w:eastAsia="Calibri" w:hAnsi="Calibri" w:cs="Calibri"/>
        <w:b w:val="0"/>
        <w:i w:val="0"/>
        <w:color w:val="111111"/>
        <w:sz w:val="22"/>
        <w:shd w:val="clear" w:color="auto" w:fill="FFFFFF"/>
      </w:rPr>
    </w:lvl>
    <w:lvl w:ilvl="1">
      <w:start w:val="1"/>
      <w:numFmt w:val="upperLetter"/>
      <w:lvlText w:val="%2."/>
      <w:lvlJc w:val="left"/>
      <w:pPr>
        <w:tabs>
          <w:tab w:val="num" w:pos="840"/>
        </w:tabs>
        <w:ind w:left="840" w:hanging="420"/>
      </w:pPr>
      <w:rPr>
        <w:b w:val="0"/>
        <w:i w:val="0"/>
        <w:color w:val="111111"/>
        <w:sz w:val="22"/>
        <w:shd w:val="clear" w:color="auto" w:fill="FFFFFF"/>
      </w:rPr>
    </w:lvl>
    <w:lvl w:ilvl="2">
      <w:start w:val="1"/>
      <w:numFmt w:val="lowerLetter"/>
      <w:lvlText w:val="%3."/>
      <w:lvlJc w:val="left"/>
      <w:pPr>
        <w:tabs>
          <w:tab w:val="num" w:pos="1260"/>
        </w:tabs>
        <w:ind w:left="1260" w:hanging="420"/>
      </w:pPr>
      <w:rPr>
        <w:rFonts w:ascii="Calibri" w:eastAsia="Calibri" w:hAnsi="Calibri" w:cs="Calibri"/>
        <w:b w:val="0"/>
        <w:i w:val="0"/>
        <w:color w:val="111111"/>
        <w:sz w:val="22"/>
        <w:shd w:val="clear" w:color="auto" w:fill="FFFFFF"/>
      </w:rPr>
    </w:lvl>
    <w:lvl w:ilvl="3">
      <w:start w:val="1"/>
      <w:numFmt w:val="lowerRoman"/>
      <w:lvlText w:val="%4."/>
      <w:lvlJc w:val="left"/>
      <w:pPr>
        <w:tabs>
          <w:tab w:val="num" w:pos="1680"/>
        </w:tabs>
        <w:ind w:left="1680" w:hanging="420"/>
      </w:pPr>
      <w:rPr>
        <w:rFonts w:ascii="Calibri" w:eastAsia="Calibri" w:hAnsi="Calibri" w:cs="Calibri"/>
        <w:b w:val="0"/>
        <w:i w:val="0"/>
        <w:color w:val="111111"/>
        <w:sz w:val="22"/>
        <w:shd w:val="clear" w:color="auto" w:fill="FFFFFF"/>
      </w:rPr>
    </w:lvl>
    <w:lvl w:ilvl="4">
      <w:start w:val="1"/>
      <w:numFmt w:val="decimal"/>
      <w:lvlText w:val="%5."/>
      <w:lvlJc w:val="left"/>
      <w:pPr>
        <w:tabs>
          <w:tab w:val="num" w:pos="2100"/>
        </w:tabs>
        <w:ind w:left="2100" w:hanging="420"/>
      </w:pPr>
      <w:rPr>
        <w:rFonts w:ascii="Calibri" w:eastAsia="Calibri" w:hAnsi="Calibri" w:cs="Calibri"/>
        <w:b w:val="0"/>
        <w:i w:val="0"/>
        <w:color w:val="111111"/>
        <w:sz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947FCA"/>
    <w:multiLevelType w:val="hybridMultilevel"/>
    <w:tmpl w:val="10FC15F6"/>
    <w:lvl w:ilvl="0" w:tplc="0409000F">
      <w:start w:val="1"/>
      <w:numFmt w:val="decimal"/>
      <w:lvlText w:val="%1."/>
      <w:lvlJc w:val="left"/>
      <w:pPr>
        <w:ind w:left="720" w:hanging="360"/>
      </w:pPr>
    </w:lvl>
    <w:lvl w:ilvl="1" w:tplc="04EAF70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D1F21"/>
    <w:multiLevelType w:val="hybridMultilevel"/>
    <w:tmpl w:val="B312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02BB5"/>
    <w:multiLevelType w:val="hybridMultilevel"/>
    <w:tmpl w:val="F05A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813BEF"/>
    <w:multiLevelType w:val="hybridMultilevel"/>
    <w:tmpl w:val="09B2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5037A"/>
    <w:multiLevelType w:val="hybridMultilevel"/>
    <w:tmpl w:val="2854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27"/>
  </w:num>
  <w:num w:numId="5">
    <w:abstractNumId w:val="26"/>
  </w:num>
  <w:num w:numId="6">
    <w:abstractNumId w:val="6"/>
  </w:num>
  <w:num w:numId="7">
    <w:abstractNumId w:val="7"/>
  </w:num>
  <w:num w:numId="8">
    <w:abstractNumId w:val="19"/>
  </w:num>
  <w:num w:numId="9">
    <w:abstractNumId w:val="24"/>
  </w:num>
  <w:num w:numId="10">
    <w:abstractNumId w:val="1"/>
  </w:num>
  <w:num w:numId="11">
    <w:abstractNumId w:val="11"/>
  </w:num>
  <w:num w:numId="12">
    <w:abstractNumId w:val="0"/>
  </w:num>
  <w:num w:numId="13">
    <w:abstractNumId w:val="1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8"/>
  </w:num>
  <w:num w:numId="20">
    <w:abstractNumId w:val="20"/>
  </w:num>
  <w:num w:numId="21">
    <w:abstractNumId w:val="9"/>
  </w:num>
  <w:num w:numId="22">
    <w:abstractNumId w:val="8"/>
  </w:num>
  <w:num w:numId="23">
    <w:abstractNumId w:val="4"/>
  </w:num>
  <w:num w:numId="24">
    <w:abstractNumId w:val="2"/>
  </w:num>
  <w:num w:numId="25">
    <w:abstractNumId w:val="17"/>
  </w:num>
  <w:num w:numId="26">
    <w:abstractNumId w:val="25"/>
  </w:num>
  <w:num w:numId="27">
    <w:abstractNumId w:val="13"/>
  </w:num>
  <w:num w:numId="28">
    <w:abstractNumId w:val="22"/>
  </w:num>
  <w:num w:numId="29">
    <w:abstractNumId w:val="16"/>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04"/>
    <w:rsid w:val="00002FA8"/>
    <w:rsid w:val="000156A9"/>
    <w:rsid w:val="00037AB3"/>
    <w:rsid w:val="000401C1"/>
    <w:rsid w:val="000714E2"/>
    <w:rsid w:val="00085B6C"/>
    <w:rsid w:val="00091464"/>
    <w:rsid w:val="000D3C6D"/>
    <w:rsid w:val="000D79D1"/>
    <w:rsid w:val="00100758"/>
    <w:rsid w:val="00126027"/>
    <w:rsid w:val="00140CA9"/>
    <w:rsid w:val="0014723B"/>
    <w:rsid w:val="00152FC7"/>
    <w:rsid w:val="001552B4"/>
    <w:rsid w:val="00156E68"/>
    <w:rsid w:val="00177CA4"/>
    <w:rsid w:val="001C1142"/>
    <w:rsid w:val="001F7705"/>
    <w:rsid w:val="002055E2"/>
    <w:rsid w:val="00215180"/>
    <w:rsid w:val="002241EB"/>
    <w:rsid w:val="00243723"/>
    <w:rsid w:val="00244E23"/>
    <w:rsid w:val="00252F0D"/>
    <w:rsid w:val="002D7EEE"/>
    <w:rsid w:val="00365A0F"/>
    <w:rsid w:val="00370FAB"/>
    <w:rsid w:val="00381523"/>
    <w:rsid w:val="003B34F0"/>
    <w:rsid w:val="003B5F76"/>
    <w:rsid w:val="003E734B"/>
    <w:rsid w:val="00455E54"/>
    <w:rsid w:val="004831E7"/>
    <w:rsid w:val="004C0EC4"/>
    <w:rsid w:val="004C0FB2"/>
    <w:rsid w:val="004D0486"/>
    <w:rsid w:val="004D5FA7"/>
    <w:rsid w:val="004E053B"/>
    <w:rsid w:val="004E5FBA"/>
    <w:rsid w:val="004F4035"/>
    <w:rsid w:val="00543077"/>
    <w:rsid w:val="00573FA1"/>
    <w:rsid w:val="00585D98"/>
    <w:rsid w:val="005A1ADB"/>
    <w:rsid w:val="005A44E7"/>
    <w:rsid w:val="005E6F26"/>
    <w:rsid w:val="00603C2B"/>
    <w:rsid w:val="0061793F"/>
    <w:rsid w:val="00640327"/>
    <w:rsid w:val="00646B79"/>
    <w:rsid w:val="006B0BC6"/>
    <w:rsid w:val="006F3232"/>
    <w:rsid w:val="006F4B8B"/>
    <w:rsid w:val="00707AB1"/>
    <w:rsid w:val="00721F1A"/>
    <w:rsid w:val="00722EC1"/>
    <w:rsid w:val="00725096"/>
    <w:rsid w:val="0073318E"/>
    <w:rsid w:val="0074047D"/>
    <w:rsid w:val="0075743F"/>
    <w:rsid w:val="00764866"/>
    <w:rsid w:val="00782123"/>
    <w:rsid w:val="007D5E5D"/>
    <w:rsid w:val="00810864"/>
    <w:rsid w:val="00821F98"/>
    <w:rsid w:val="008325B3"/>
    <w:rsid w:val="00832934"/>
    <w:rsid w:val="008431DB"/>
    <w:rsid w:val="008519BD"/>
    <w:rsid w:val="00892862"/>
    <w:rsid w:val="00892C42"/>
    <w:rsid w:val="00896786"/>
    <w:rsid w:val="008E67EA"/>
    <w:rsid w:val="0090000A"/>
    <w:rsid w:val="00917C94"/>
    <w:rsid w:val="00962F92"/>
    <w:rsid w:val="00977E0A"/>
    <w:rsid w:val="00992128"/>
    <w:rsid w:val="009922C9"/>
    <w:rsid w:val="009A708B"/>
    <w:rsid w:val="009A72B2"/>
    <w:rsid w:val="009B5588"/>
    <w:rsid w:val="00A03CCB"/>
    <w:rsid w:val="00A26363"/>
    <w:rsid w:val="00A42601"/>
    <w:rsid w:val="00A52AA0"/>
    <w:rsid w:val="00A74C7A"/>
    <w:rsid w:val="00AB2D79"/>
    <w:rsid w:val="00AE08FA"/>
    <w:rsid w:val="00B07E55"/>
    <w:rsid w:val="00B2369F"/>
    <w:rsid w:val="00B26F26"/>
    <w:rsid w:val="00B50F9E"/>
    <w:rsid w:val="00B55F26"/>
    <w:rsid w:val="00BB1F92"/>
    <w:rsid w:val="00BB7B11"/>
    <w:rsid w:val="00C240AF"/>
    <w:rsid w:val="00C25A7E"/>
    <w:rsid w:val="00C34B70"/>
    <w:rsid w:val="00C53FF5"/>
    <w:rsid w:val="00C548E4"/>
    <w:rsid w:val="00C61CDC"/>
    <w:rsid w:val="00C87F8A"/>
    <w:rsid w:val="00CD0869"/>
    <w:rsid w:val="00CD5181"/>
    <w:rsid w:val="00CF1374"/>
    <w:rsid w:val="00D026F2"/>
    <w:rsid w:val="00D11954"/>
    <w:rsid w:val="00D24D27"/>
    <w:rsid w:val="00D31F98"/>
    <w:rsid w:val="00D65EAD"/>
    <w:rsid w:val="00D8405A"/>
    <w:rsid w:val="00DA3B04"/>
    <w:rsid w:val="00DC1976"/>
    <w:rsid w:val="00DC2B58"/>
    <w:rsid w:val="00DD553F"/>
    <w:rsid w:val="00DE026D"/>
    <w:rsid w:val="00DE2FF7"/>
    <w:rsid w:val="00DE3D2D"/>
    <w:rsid w:val="00E03C27"/>
    <w:rsid w:val="00E625CA"/>
    <w:rsid w:val="00E94970"/>
    <w:rsid w:val="00E97883"/>
    <w:rsid w:val="00EB55FA"/>
    <w:rsid w:val="00F06696"/>
    <w:rsid w:val="00F165A4"/>
    <w:rsid w:val="00F20A26"/>
    <w:rsid w:val="00F24EB3"/>
    <w:rsid w:val="00F71BB3"/>
    <w:rsid w:val="00F74C98"/>
    <w:rsid w:val="00F8147F"/>
    <w:rsid w:val="00F91A15"/>
    <w:rsid w:val="00FA2B25"/>
    <w:rsid w:val="00FB1C45"/>
    <w:rsid w:val="00FE0581"/>
    <w:rsid w:val="00FF0DC3"/>
    <w:rsid w:val="6F83E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9340"/>
  <w15:chartTrackingRefBased/>
  <w15:docId w15:val="{B0A08EF7-6789-45B7-8C37-E5C81DD2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B5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C2B58"/>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71B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2055E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B58"/>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C2B58"/>
    <w:rPr>
      <w:rFonts w:asciiTheme="majorHAnsi" w:eastAsiaTheme="majorEastAsia" w:hAnsiTheme="majorHAnsi" w:cstheme="majorBidi"/>
      <w:b/>
      <w:sz w:val="26"/>
      <w:szCs w:val="26"/>
    </w:rPr>
  </w:style>
  <w:style w:type="paragraph" w:styleId="ListParagraph">
    <w:name w:val="List Paragraph"/>
    <w:basedOn w:val="Normal"/>
    <w:uiPriority w:val="34"/>
    <w:qFormat/>
    <w:rsid w:val="00DC2B58"/>
    <w:pPr>
      <w:ind w:left="720"/>
      <w:contextualSpacing/>
    </w:pPr>
  </w:style>
  <w:style w:type="character" w:styleId="CommentReference">
    <w:name w:val="annotation reference"/>
    <w:basedOn w:val="DefaultParagraphFont"/>
    <w:semiHidden/>
    <w:unhideWhenUsed/>
    <w:rsid w:val="00A74C7A"/>
    <w:rPr>
      <w:sz w:val="16"/>
      <w:szCs w:val="16"/>
    </w:rPr>
  </w:style>
  <w:style w:type="paragraph" w:styleId="CommentText">
    <w:name w:val="annotation text"/>
    <w:basedOn w:val="Normal"/>
    <w:link w:val="CommentTextChar"/>
    <w:uiPriority w:val="99"/>
    <w:unhideWhenUsed/>
    <w:rsid w:val="00A74C7A"/>
    <w:pPr>
      <w:spacing w:line="240" w:lineRule="auto"/>
    </w:pPr>
    <w:rPr>
      <w:sz w:val="20"/>
      <w:szCs w:val="20"/>
    </w:rPr>
  </w:style>
  <w:style w:type="character" w:customStyle="1" w:styleId="CommentTextChar">
    <w:name w:val="Comment Text Char"/>
    <w:basedOn w:val="DefaultParagraphFont"/>
    <w:link w:val="CommentText"/>
    <w:uiPriority w:val="99"/>
    <w:rsid w:val="00A74C7A"/>
    <w:rPr>
      <w:sz w:val="20"/>
      <w:szCs w:val="20"/>
    </w:rPr>
  </w:style>
  <w:style w:type="paragraph" w:styleId="CommentSubject">
    <w:name w:val="annotation subject"/>
    <w:basedOn w:val="CommentText"/>
    <w:next w:val="CommentText"/>
    <w:link w:val="CommentSubjectChar"/>
    <w:uiPriority w:val="99"/>
    <w:semiHidden/>
    <w:unhideWhenUsed/>
    <w:rsid w:val="00A74C7A"/>
    <w:rPr>
      <w:b/>
      <w:bCs/>
    </w:rPr>
  </w:style>
  <w:style w:type="character" w:customStyle="1" w:styleId="CommentSubjectChar">
    <w:name w:val="Comment Subject Char"/>
    <w:basedOn w:val="CommentTextChar"/>
    <w:link w:val="CommentSubject"/>
    <w:uiPriority w:val="99"/>
    <w:semiHidden/>
    <w:rsid w:val="00A74C7A"/>
    <w:rPr>
      <w:b/>
      <w:bCs/>
      <w:sz w:val="20"/>
      <w:szCs w:val="20"/>
    </w:rPr>
  </w:style>
  <w:style w:type="paragraph" w:styleId="Revision">
    <w:name w:val="Revision"/>
    <w:hidden/>
    <w:uiPriority w:val="99"/>
    <w:semiHidden/>
    <w:rsid w:val="00A74C7A"/>
    <w:pPr>
      <w:spacing w:after="0" w:line="240" w:lineRule="auto"/>
    </w:pPr>
  </w:style>
  <w:style w:type="paragraph" w:styleId="BalloonText">
    <w:name w:val="Balloon Text"/>
    <w:basedOn w:val="Normal"/>
    <w:link w:val="BalloonTextChar"/>
    <w:uiPriority w:val="99"/>
    <w:semiHidden/>
    <w:unhideWhenUsed/>
    <w:rsid w:val="00A74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7A"/>
    <w:rPr>
      <w:rFonts w:ascii="Segoe UI" w:hAnsi="Segoe UI" w:cs="Segoe UI"/>
      <w:sz w:val="18"/>
      <w:szCs w:val="18"/>
    </w:rPr>
  </w:style>
  <w:style w:type="character" w:customStyle="1" w:styleId="Heading3Char">
    <w:name w:val="Heading 3 Char"/>
    <w:basedOn w:val="DefaultParagraphFont"/>
    <w:link w:val="Heading3"/>
    <w:uiPriority w:val="9"/>
    <w:rsid w:val="00F71BB3"/>
    <w:rPr>
      <w:rFonts w:asciiTheme="majorHAnsi" w:eastAsiaTheme="majorEastAsia" w:hAnsiTheme="majorHAnsi" w:cstheme="majorBidi"/>
      <w:color w:val="1F3763" w:themeColor="accent1" w:themeShade="7F"/>
      <w:sz w:val="24"/>
      <w:szCs w:val="24"/>
    </w:rPr>
  </w:style>
  <w:style w:type="paragraph" w:customStyle="1" w:styleId="LetterList1">
    <w:name w:val="Letter List 1"/>
    <w:basedOn w:val="Normal"/>
    <w:link w:val="LetterList1Char"/>
    <w:qFormat/>
    <w:rsid w:val="00810864"/>
    <w:pPr>
      <w:shd w:val="clear" w:color="auto" w:fill="FFFFFF"/>
      <w:spacing w:before="60" w:after="60" w:line="240" w:lineRule="auto"/>
      <w:jc w:val="both"/>
    </w:pPr>
    <w:rPr>
      <w:color w:val="000000"/>
      <w:shd w:val="clear" w:color="auto" w:fill="FFFFFF"/>
    </w:rPr>
  </w:style>
  <w:style w:type="paragraph" w:styleId="NormalWeb">
    <w:name w:val="Normal (Web)"/>
    <w:basedOn w:val="Normal"/>
    <w:uiPriority w:val="99"/>
    <w:semiHidden/>
    <w:unhideWhenUsed/>
    <w:rsid w:val="00152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List1Char">
    <w:name w:val="Letter List 1 Char"/>
    <w:basedOn w:val="DefaultParagraphFont"/>
    <w:link w:val="LetterList1"/>
    <w:rsid w:val="00810864"/>
    <w:rPr>
      <w:color w:val="000000"/>
      <w:shd w:val="clear" w:color="auto" w:fill="FFFFFF"/>
    </w:rPr>
  </w:style>
  <w:style w:type="paragraph" w:customStyle="1" w:styleId="BulletList3">
    <w:name w:val="Bullet List 3"/>
    <w:basedOn w:val="BodyText"/>
    <w:rsid w:val="00252F0D"/>
    <w:pPr>
      <w:numPr>
        <w:numId w:val="25"/>
      </w:numPr>
      <w:tabs>
        <w:tab w:val="clear" w:pos="3240"/>
        <w:tab w:val="num" w:pos="420"/>
        <w:tab w:val="num" w:pos="1800"/>
      </w:tabs>
      <w:spacing w:after="240" w:line="240" w:lineRule="auto"/>
      <w:ind w:left="1440" w:hanging="420"/>
      <w:jc w:val="both"/>
    </w:pPr>
    <w:rPr>
      <w:rFonts w:ascii="Myriad Pro" w:eastAsia="Times New Roman" w:hAnsi="Myriad Pro" w:cs="Times New Roman"/>
    </w:rPr>
  </w:style>
  <w:style w:type="paragraph" w:styleId="BodyText">
    <w:name w:val="Body Text"/>
    <w:basedOn w:val="Normal"/>
    <w:link w:val="BodyTextChar"/>
    <w:uiPriority w:val="99"/>
    <w:semiHidden/>
    <w:unhideWhenUsed/>
    <w:rsid w:val="00252F0D"/>
    <w:pPr>
      <w:spacing w:after="120"/>
    </w:pPr>
  </w:style>
  <w:style w:type="character" w:customStyle="1" w:styleId="BodyTextChar">
    <w:name w:val="Body Text Char"/>
    <w:basedOn w:val="DefaultParagraphFont"/>
    <w:link w:val="BodyText"/>
    <w:uiPriority w:val="99"/>
    <w:semiHidden/>
    <w:rsid w:val="00252F0D"/>
  </w:style>
  <w:style w:type="paragraph" w:customStyle="1" w:styleId="TblSource">
    <w:name w:val="Tbl Source"/>
    <w:basedOn w:val="Normal"/>
    <w:link w:val="TblSourceChar"/>
    <w:rsid w:val="006F3232"/>
    <w:pPr>
      <w:spacing w:after="360" w:line="240" w:lineRule="auto"/>
    </w:pPr>
    <w:rPr>
      <w:rFonts w:ascii="Calibri Light" w:eastAsiaTheme="minorEastAsia" w:hAnsi="Calibri Light" w:cs="Times New Roman"/>
      <w:kern w:val="20"/>
      <w:sz w:val="15"/>
      <w:szCs w:val="20"/>
    </w:rPr>
  </w:style>
  <w:style w:type="character" w:customStyle="1" w:styleId="TblSourceChar">
    <w:name w:val="Tbl Source Char"/>
    <w:link w:val="TblSource"/>
    <w:locked/>
    <w:rsid w:val="006F3232"/>
    <w:rPr>
      <w:rFonts w:ascii="Calibri Light" w:eastAsiaTheme="minorEastAsia" w:hAnsi="Calibri Light" w:cs="Times New Roman"/>
      <w:kern w:val="20"/>
      <w:sz w:val="15"/>
      <w:szCs w:val="20"/>
    </w:rPr>
  </w:style>
  <w:style w:type="character" w:customStyle="1" w:styleId="Heading6Char">
    <w:name w:val="Heading 6 Char"/>
    <w:basedOn w:val="DefaultParagraphFont"/>
    <w:link w:val="Heading6"/>
    <w:uiPriority w:val="9"/>
    <w:rsid w:val="002055E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628">
      <w:bodyDiv w:val="1"/>
      <w:marLeft w:val="0"/>
      <w:marRight w:val="0"/>
      <w:marTop w:val="0"/>
      <w:marBottom w:val="0"/>
      <w:divBdr>
        <w:top w:val="none" w:sz="0" w:space="0" w:color="auto"/>
        <w:left w:val="none" w:sz="0" w:space="0" w:color="auto"/>
        <w:bottom w:val="none" w:sz="0" w:space="0" w:color="auto"/>
        <w:right w:val="none" w:sz="0" w:space="0" w:color="auto"/>
      </w:divBdr>
      <w:divsChild>
        <w:div w:id="1097411470">
          <w:marLeft w:val="0"/>
          <w:marRight w:val="0"/>
          <w:marTop w:val="0"/>
          <w:marBottom w:val="0"/>
          <w:divBdr>
            <w:top w:val="none" w:sz="0" w:space="0" w:color="auto"/>
            <w:left w:val="none" w:sz="0" w:space="0" w:color="auto"/>
            <w:bottom w:val="none" w:sz="0" w:space="0" w:color="auto"/>
            <w:right w:val="none" w:sz="0" w:space="0" w:color="auto"/>
          </w:divBdr>
          <w:divsChild>
            <w:div w:id="19214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4422">
      <w:bodyDiv w:val="1"/>
      <w:marLeft w:val="0"/>
      <w:marRight w:val="0"/>
      <w:marTop w:val="0"/>
      <w:marBottom w:val="0"/>
      <w:divBdr>
        <w:top w:val="none" w:sz="0" w:space="0" w:color="auto"/>
        <w:left w:val="none" w:sz="0" w:space="0" w:color="auto"/>
        <w:bottom w:val="none" w:sz="0" w:space="0" w:color="auto"/>
        <w:right w:val="none" w:sz="0" w:space="0" w:color="auto"/>
      </w:divBdr>
    </w:div>
    <w:div w:id="622885490">
      <w:bodyDiv w:val="1"/>
      <w:marLeft w:val="0"/>
      <w:marRight w:val="0"/>
      <w:marTop w:val="0"/>
      <w:marBottom w:val="0"/>
      <w:divBdr>
        <w:top w:val="none" w:sz="0" w:space="0" w:color="auto"/>
        <w:left w:val="none" w:sz="0" w:space="0" w:color="auto"/>
        <w:bottom w:val="none" w:sz="0" w:space="0" w:color="auto"/>
        <w:right w:val="none" w:sz="0" w:space="0" w:color="auto"/>
      </w:divBdr>
    </w:div>
    <w:div w:id="1109666230">
      <w:bodyDiv w:val="1"/>
      <w:marLeft w:val="0"/>
      <w:marRight w:val="0"/>
      <w:marTop w:val="0"/>
      <w:marBottom w:val="0"/>
      <w:divBdr>
        <w:top w:val="none" w:sz="0" w:space="0" w:color="auto"/>
        <w:left w:val="none" w:sz="0" w:space="0" w:color="auto"/>
        <w:bottom w:val="none" w:sz="0" w:space="0" w:color="auto"/>
        <w:right w:val="none" w:sz="0" w:space="0" w:color="auto"/>
      </w:divBdr>
    </w:div>
    <w:div w:id="1277058118">
      <w:bodyDiv w:val="1"/>
      <w:marLeft w:val="0"/>
      <w:marRight w:val="0"/>
      <w:marTop w:val="0"/>
      <w:marBottom w:val="0"/>
      <w:divBdr>
        <w:top w:val="none" w:sz="0" w:space="0" w:color="auto"/>
        <w:left w:val="none" w:sz="0" w:space="0" w:color="auto"/>
        <w:bottom w:val="none" w:sz="0" w:space="0" w:color="auto"/>
        <w:right w:val="none" w:sz="0" w:space="0" w:color="auto"/>
      </w:divBdr>
    </w:div>
    <w:div w:id="14766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Cynthia</dc:creator>
  <cp:keywords/>
  <dc:description/>
  <cp:lastModifiedBy>Amy Sinsheimer</cp:lastModifiedBy>
  <cp:revision>4</cp:revision>
  <dcterms:created xsi:type="dcterms:W3CDTF">2021-06-22T22:22:00Z</dcterms:created>
  <dcterms:modified xsi:type="dcterms:W3CDTF">2021-06-22T23:04:00Z</dcterms:modified>
</cp:coreProperties>
</file>