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0D11" w14:textId="50BF829B" w:rsidR="002E1AD1" w:rsidRPr="00873097" w:rsidRDefault="00691DFF" w:rsidP="002E1AD1">
      <w:pPr>
        <w:shd w:val="clear" w:color="auto" w:fill="FFFFFF"/>
        <w:rPr>
          <w:rFonts w:ascii="Helvetica" w:hAnsi="Helvetica" w:cs="Helvetica"/>
          <w:shd w:val="clear" w:color="auto" w:fill="FFFFFF"/>
        </w:rPr>
      </w:pPr>
      <w:r w:rsidRPr="00873097">
        <w:rPr>
          <w:rFonts w:ascii="Helvetica" w:hAnsi="Helvetica" w:cs="Helvetica"/>
          <w:shd w:val="clear" w:color="auto" w:fill="FFFFFF"/>
        </w:rPr>
        <w:t xml:space="preserve"> </w:t>
      </w:r>
      <w:r w:rsidR="002E1AD1" w:rsidRPr="00873097">
        <w:rPr>
          <w:rFonts w:ascii="Helvetica" w:hAnsi="Helvetica" w:cs="Helvetica"/>
          <w:noProof/>
          <w:shd w:val="clear" w:color="auto" w:fill="FFFFFF"/>
        </w:rPr>
        <w:drawing>
          <wp:inline distT="0" distB="0" distL="0" distR="0" wp14:anchorId="77DD0503" wp14:editId="75163B00">
            <wp:extent cx="2620615" cy="1158143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220" cy="11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1AD1" w:rsidRPr="00873097">
        <w:rPr>
          <w:rFonts w:ascii="Helvetica" w:hAnsi="Helvetica" w:cs="Helvetica"/>
          <w:shd w:val="clear" w:color="auto" w:fill="FFFFFF"/>
        </w:rPr>
        <w:t xml:space="preserve">                                                           </w:t>
      </w:r>
      <w:r w:rsidR="002E1AD1" w:rsidRPr="00873097">
        <w:rPr>
          <w:rFonts w:ascii="Helvetica" w:hAnsi="Helvetica" w:cs="Helvetica"/>
          <w:noProof/>
          <w:shd w:val="clear" w:color="auto" w:fill="FFFFFF"/>
        </w:rPr>
        <w:drawing>
          <wp:inline distT="0" distB="0" distL="0" distR="0" wp14:anchorId="70E269F4" wp14:editId="3907B8B1">
            <wp:extent cx="1316871" cy="423886"/>
            <wp:effectExtent l="0" t="0" r="4445" b="0"/>
            <wp:docPr id="3" name="Picture 3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outdoor,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502" cy="45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81A56" w14:textId="77777777" w:rsidR="002E1AD1" w:rsidRPr="00AB0A9E" w:rsidRDefault="002E1AD1" w:rsidP="00AB0A9E">
      <w:pPr>
        <w:spacing w:after="200" w:line="240" w:lineRule="auto"/>
        <w:rPr>
          <w:rFonts w:cstheme="minorHAnsi"/>
          <w:b/>
          <w:sz w:val="24"/>
          <w:szCs w:val="24"/>
        </w:rPr>
      </w:pPr>
    </w:p>
    <w:p w14:paraId="25F6C4D0" w14:textId="476BAA7B" w:rsidR="00162E9A" w:rsidRPr="00AB0A9E" w:rsidRDefault="002E1AD1" w:rsidP="00AB0A9E">
      <w:pPr>
        <w:spacing w:after="200" w:line="240" w:lineRule="auto"/>
        <w:rPr>
          <w:rFonts w:cstheme="minorHAnsi"/>
          <w:b/>
          <w:sz w:val="24"/>
          <w:szCs w:val="24"/>
        </w:rPr>
      </w:pPr>
      <w:r w:rsidRPr="00AB0A9E">
        <w:rPr>
          <w:rFonts w:cstheme="minorHAnsi"/>
          <w:b/>
          <w:sz w:val="24"/>
          <w:szCs w:val="24"/>
        </w:rPr>
        <w:t xml:space="preserve">About a </w:t>
      </w:r>
      <w:r w:rsidR="00B86843" w:rsidRPr="00AB0A9E">
        <w:rPr>
          <w:rFonts w:cstheme="minorHAnsi"/>
          <w:b/>
          <w:sz w:val="24"/>
          <w:szCs w:val="24"/>
        </w:rPr>
        <w:t>Housing Element</w:t>
      </w:r>
      <w:r w:rsidRPr="00AB0A9E">
        <w:rPr>
          <w:rFonts w:cstheme="minorHAnsi"/>
          <w:b/>
          <w:sz w:val="24"/>
          <w:szCs w:val="24"/>
        </w:rPr>
        <w:t>:</w:t>
      </w:r>
      <w:r w:rsidR="00B86843" w:rsidRPr="00AB0A9E">
        <w:rPr>
          <w:rFonts w:cstheme="minorHAnsi"/>
          <w:b/>
          <w:sz w:val="24"/>
          <w:szCs w:val="24"/>
        </w:rPr>
        <w:t xml:space="preserve"> </w:t>
      </w:r>
      <w:r w:rsidR="000819F2" w:rsidRPr="00AB0A9E">
        <w:rPr>
          <w:rFonts w:cstheme="minorHAnsi"/>
          <w:b/>
          <w:sz w:val="24"/>
          <w:szCs w:val="24"/>
        </w:rPr>
        <w:t>Frequently Asked Questions</w:t>
      </w:r>
    </w:p>
    <w:p w14:paraId="06E919B6" w14:textId="2E7F0A1F" w:rsidR="000819F2" w:rsidRPr="00AB0A9E" w:rsidRDefault="000819F2" w:rsidP="00AB0A9E">
      <w:pPr>
        <w:spacing w:after="200" w:line="240" w:lineRule="auto"/>
        <w:rPr>
          <w:rFonts w:cstheme="minorHAnsi"/>
          <w:sz w:val="24"/>
          <w:szCs w:val="24"/>
        </w:rPr>
      </w:pPr>
    </w:p>
    <w:p w14:paraId="378C1B2F" w14:textId="77777777" w:rsidR="000819F2" w:rsidRPr="00AB0A9E" w:rsidRDefault="000819F2" w:rsidP="00AB0A9E">
      <w:pPr>
        <w:spacing w:after="200" w:line="240" w:lineRule="auto"/>
        <w:rPr>
          <w:rFonts w:cstheme="minorHAnsi"/>
          <w:b/>
          <w:sz w:val="24"/>
          <w:szCs w:val="24"/>
        </w:rPr>
      </w:pPr>
      <w:r w:rsidRPr="00AB0A9E">
        <w:rPr>
          <w:rFonts w:cstheme="minorHAnsi"/>
          <w:b/>
          <w:sz w:val="24"/>
          <w:szCs w:val="24"/>
        </w:rPr>
        <w:t>What is</w:t>
      </w:r>
      <w:r w:rsidR="00D8336D" w:rsidRPr="00AB0A9E">
        <w:rPr>
          <w:rFonts w:cstheme="minorHAnsi"/>
          <w:b/>
          <w:sz w:val="24"/>
          <w:szCs w:val="24"/>
        </w:rPr>
        <w:t xml:space="preserve"> the </w:t>
      </w:r>
      <w:r w:rsidRPr="00AB0A9E">
        <w:rPr>
          <w:rFonts w:cstheme="minorHAnsi"/>
          <w:b/>
          <w:sz w:val="24"/>
          <w:szCs w:val="24"/>
        </w:rPr>
        <w:t>Housing Element</w:t>
      </w:r>
      <w:r w:rsidR="004968B4" w:rsidRPr="00AB0A9E">
        <w:rPr>
          <w:rFonts w:cstheme="minorHAnsi"/>
          <w:b/>
          <w:sz w:val="24"/>
          <w:szCs w:val="24"/>
        </w:rPr>
        <w:t>?</w:t>
      </w:r>
    </w:p>
    <w:p w14:paraId="14FB992B" w14:textId="66C65274" w:rsidR="00683EC2" w:rsidRPr="00AB0A9E" w:rsidRDefault="00FD2D14" w:rsidP="00AB0A9E">
      <w:pPr>
        <w:spacing w:after="200" w:line="240" w:lineRule="auto"/>
        <w:rPr>
          <w:rFonts w:cstheme="minorHAnsi"/>
          <w:sz w:val="24"/>
          <w:szCs w:val="24"/>
        </w:rPr>
      </w:pPr>
      <w:r w:rsidRPr="00AB0A9E">
        <w:rPr>
          <w:rFonts w:cstheme="minorHAnsi"/>
          <w:sz w:val="24"/>
          <w:szCs w:val="24"/>
        </w:rPr>
        <w:t>T</w:t>
      </w:r>
      <w:r w:rsidR="00683EC2" w:rsidRPr="00AB0A9E">
        <w:rPr>
          <w:rFonts w:cstheme="minorHAnsi"/>
          <w:sz w:val="24"/>
          <w:szCs w:val="24"/>
        </w:rPr>
        <w:t xml:space="preserve">he Housing </w:t>
      </w:r>
      <w:r w:rsidR="005058FB" w:rsidRPr="00AB0A9E">
        <w:rPr>
          <w:rFonts w:cstheme="minorHAnsi"/>
          <w:sz w:val="24"/>
          <w:szCs w:val="24"/>
        </w:rPr>
        <w:t>Element is</w:t>
      </w:r>
      <w:r w:rsidR="00683EC2" w:rsidRPr="00AB0A9E">
        <w:rPr>
          <w:rFonts w:cstheme="minorHAnsi"/>
          <w:sz w:val="24"/>
          <w:szCs w:val="24"/>
        </w:rPr>
        <w:t xml:space="preserve"> one of many </w:t>
      </w:r>
      <w:r w:rsidR="0062664D" w:rsidRPr="00AB0A9E">
        <w:rPr>
          <w:rFonts w:cstheme="minorHAnsi"/>
          <w:sz w:val="24"/>
          <w:szCs w:val="24"/>
        </w:rPr>
        <w:t>chapters</w:t>
      </w:r>
      <w:r w:rsidR="00703C79" w:rsidRPr="00AB0A9E">
        <w:rPr>
          <w:rFonts w:cstheme="minorHAnsi"/>
          <w:sz w:val="24"/>
          <w:szCs w:val="24"/>
        </w:rPr>
        <w:t xml:space="preserve"> </w:t>
      </w:r>
      <w:r w:rsidR="00D42696" w:rsidRPr="00AB0A9E">
        <w:rPr>
          <w:rFonts w:cstheme="minorHAnsi"/>
          <w:sz w:val="24"/>
          <w:szCs w:val="24"/>
        </w:rPr>
        <w:t>of a</w:t>
      </w:r>
      <w:r w:rsidR="00F850C7" w:rsidRPr="00AB0A9E">
        <w:rPr>
          <w:rFonts w:cstheme="minorHAnsi"/>
          <w:sz w:val="24"/>
          <w:szCs w:val="24"/>
        </w:rPr>
        <w:t xml:space="preserve"> city or county</w:t>
      </w:r>
      <w:r w:rsidR="00683EC2" w:rsidRPr="00AB0A9E">
        <w:rPr>
          <w:rFonts w:cstheme="minorHAnsi"/>
          <w:sz w:val="24"/>
          <w:szCs w:val="24"/>
        </w:rPr>
        <w:t xml:space="preserve"> General Plan</w:t>
      </w:r>
      <w:r w:rsidR="00F850C7" w:rsidRPr="00AB0A9E">
        <w:rPr>
          <w:rFonts w:cstheme="minorHAnsi"/>
          <w:sz w:val="24"/>
          <w:szCs w:val="24"/>
        </w:rPr>
        <w:t xml:space="preserve">, which is that jurisdiction’s </w:t>
      </w:r>
      <w:r w:rsidR="00873097" w:rsidRPr="00AB0A9E">
        <w:rPr>
          <w:rFonts w:cstheme="minorHAnsi"/>
          <w:sz w:val="24"/>
          <w:szCs w:val="24"/>
        </w:rPr>
        <w:t>blueprint for the future</w:t>
      </w:r>
      <w:r w:rsidR="00683EC2" w:rsidRPr="00AB0A9E">
        <w:rPr>
          <w:rFonts w:cstheme="minorHAnsi"/>
          <w:sz w:val="24"/>
          <w:szCs w:val="24"/>
        </w:rPr>
        <w:t xml:space="preserve">. </w:t>
      </w:r>
      <w:r w:rsidR="00031D66" w:rsidRPr="00AB0A9E">
        <w:rPr>
          <w:rFonts w:cstheme="minorHAnsi"/>
          <w:sz w:val="24"/>
          <w:szCs w:val="24"/>
        </w:rPr>
        <w:t xml:space="preserve">A Housing Element is how local jurisdictions plan to meet the housing needs of everyone in the community. At its core a Housing Element is an opportunity to have a community conversation about how to address local housing challenges and find solutions. </w:t>
      </w:r>
      <w:r w:rsidR="00683EC2" w:rsidRPr="00AB0A9E">
        <w:rPr>
          <w:rFonts w:cstheme="minorHAnsi"/>
          <w:sz w:val="24"/>
          <w:szCs w:val="24"/>
        </w:rPr>
        <w:t>The H</w:t>
      </w:r>
      <w:r w:rsidR="00F850C7" w:rsidRPr="00AB0A9E">
        <w:rPr>
          <w:rFonts w:cstheme="minorHAnsi"/>
          <w:sz w:val="24"/>
          <w:szCs w:val="24"/>
        </w:rPr>
        <w:t xml:space="preserve">ousing </w:t>
      </w:r>
      <w:r w:rsidR="00683EC2" w:rsidRPr="00AB0A9E">
        <w:rPr>
          <w:rFonts w:cstheme="minorHAnsi"/>
          <w:sz w:val="24"/>
          <w:szCs w:val="24"/>
        </w:rPr>
        <w:t>E</w:t>
      </w:r>
      <w:r w:rsidR="00F850C7" w:rsidRPr="00AB0A9E">
        <w:rPr>
          <w:rFonts w:cstheme="minorHAnsi"/>
          <w:sz w:val="24"/>
          <w:szCs w:val="24"/>
        </w:rPr>
        <w:t>lement</w:t>
      </w:r>
      <w:r w:rsidR="00683EC2" w:rsidRPr="00AB0A9E">
        <w:rPr>
          <w:rFonts w:cstheme="minorHAnsi"/>
          <w:sz w:val="24"/>
          <w:szCs w:val="24"/>
        </w:rPr>
        <w:t xml:space="preserve"> </w:t>
      </w:r>
      <w:r w:rsidRPr="00AB0A9E">
        <w:rPr>
          <w:rFonts w:cstheme="minorHAnsi"/>
          <w:sz w:val="24"/>
          <w:szCs w:val="24"/>
        </w:rPr>
        <w:t xml:space="preserve">must be updated every eight </w:t>
      </w:r>
      <w:r w:rsidR="00E13701" w:rsidRPr="00AB0A9E">
        <w:rPr>
          <w:rFonts w:cstheme="minorHAnsi"/>
          <w:sz w:val="24"/>
          <w:szCs w:val="24"/>
        </w:rPr>
        <w:t>years and</w:t>
      </w:r>
      <w:r w:rsidRPr="00AB0A9E">
        <w:rPr>
          <w:rFonts w:cstheme="minorHAnsi"/>
          <w:sz w:val="24"/>
          <w:szCs w:val="24"/>
        </w:rPr>
        <w:t xml:space="preserve"> </w:t>
      </w:r>
      <w:r w:rsidR="00683EC2" w:rsidRPr="00AB0A9E">
        <w:rPr>
          <w:rFonts w:cstheme="minorHAnsi"/>
          <w:sz w:val="24"/>
          <w:szCs w:val="24"/>
        </w:rPr>
        <w:t xml:space="preserve">is the </w:t>
      </w:r>
      <w:r w:rsidRPr="00AB0A9E">
        <w:rPr>
          <w:rFonts w:cstheme="minorHAnsi"/>
          <w:sz w:val="24"/>
          <w:szCs w:val="24"/>
        </w:rPr>
        <w:t>only element</w:t>
      </w:r>
      <w:r w:rsidR="00683EC2" w:rsidRPr="00AB0A9E">
        <w:rPr>
          <w:rFonts w:cstheme="minorHAnsi"/>
          <w:sz w:val="24"/>
          <w:szCs w:val="24"/>
        </w:rPr>
        <w:t xml:space="preserve"> of the General Plan </w:t>
      </w:r>
      <w:r w:rsidRPr="00AB0A9E">
        <w:rPr>
          <w:rFonts w:cstheme="minorHAnsi"/>
          <w:sz w:val="24"/>
          <w:szCs w:val="24"/>
        </w:rPr>
        <w:t>subject to</w:t>
      </w:r>
      <w:r w:rsidR="00683EC2" w:rsidRPr="00AB0A9E">
        <w:rPr>
          <w:rFonts w:cstheme="minorHAnsi"/>
          <w:sz w:val="24"/>
          <w:szCs w:val="24"/>
        </w:rPr>
        <w:t xml:space="preserve"> </w:t>
      </w:r>
      <w:r w:rsidR="00000281">
        <w:rPr>
          <w:rFonts w:cstheme="minorHAnsi"/>
          <w:sz w:val="24"/>
          <w:szCs w:val="24"/>
        </w:rPr>
        <w:t>certification</w:t>
      </w:r>
      <w:r w:rsidR="00000281" w:rsidRPr="00AB0A9E">
        <w:rPr>
          <w:rFonts w:cstheme="minorHAnsi"/>
          <w:sz w:val="24"/>
          <w:szCs w:val="24"/>
        </w:rPr>
        <w:t xml:space="preserve"> </w:t>
      </w:r>
      <w:r w:rsidR="00683EC2" w:rsidRPr="00AB0A9E">
        <w:rPr>
          <w:rFonts w:cstheme="minorHAnsi"/>
          <w:sz w:val="24"/>
          <w:szCs w:val="24"/>
        </w:rPr>
        <w:t xml:space="preserve">by the </w:t>
      </w:r>
      <w:r w:rsidR="00703C79" w:rsidRPr="00AB0A9E">
        <w:rPr>
          <w:rFonts w:cstheme="minorHAnsi"/>
          <w:sz w:val="24"/>
          <w:szCs w:val="24"/>
        </w:rPr>
        <w:t>California Department</w:t>
      </w:r>
      <w:r w:rsidR="00683EC2" w:rsidRPr="00AB0A9E">
        <w:rPr>
          <w:rFonts w:cstheme="minorHAnsi"/>
          <w:sz w:val="24"/>
          <w:szCs w:val="24"/>
        </w:rPr>
        <w:t xml:space="preserve"> Housing </w:t>
      </w:r>
      <w:r w:rsidR="0062664D" w:rsidRPr="00AB0A9E">
        <w:rPr>
          <w:rFonts w:cstheme="minorHAnsi"/>
          <w:sz w:val="24"/>
          <w:szCs w:val="24"/>
        </w:rPr>
        <w:t>a</w:t>
      </w:r>
      <w:r w:rsidR="00683EC2" w:rsidRPr="00AB0A9E">
        <w:rPr>
          <w:rFonts w:cstheme="minorHAnsi"/>
          <w:sz w:val="24"/>
          <w:szCs w:val="24"/>
        </w:rPr>
        <w:t xml:space="preserve">nd Community Development </w:t>
      </w:r>
      <w:r w:rsidR="00DA78B2" w:rsidRPr="00AB0A9E">
        <w:rPr>
          <w:rFonts w:cstheme="minorHAnsi"/>
          <w:sz w:val="24"/>
          <w:szCs w:val="24"/>
        </w:rPr>
        <w:t>(HCD)</w:t>
      </w:r>
      <w:r w:rsidR="00683EC2" w:rsidRPr="00AB0A9E">
        <w:rPr>
          <w:rFonts w:cstheme="minorHAnsi"/>
          <w:sz w:val="24"/>
          <w:szCs w:val="24"/>
        </w:rPr>
        <w:t xml:space="preserve">.  </w:t>
      </w:r>
    </w:p>
    <w:p w14:paraId="132FB7DA" w14:textId="09FA2AEA" w:rsidR="00CF0A9C" w:rsidRPr="00AB0A9E" w:rsidRDefault="00CF0A9C" w:rsidP="00AB0A9E">
      <w:pPr>
        <w:spacing w:after="200" w:line="240" w:lineRule="auto"/>
        <w:rPr>
          <w:rFonts w:cstheme="minorHAnsi"/>
          <w:b/>
          <w:sz w:val="24"/>
          <w:szCs w:val="24"/>
        </w:rPr>
      </w:pPr>
      <w:r w:rsidRPr="00AB0A9E">
        <w:rPr>
          <w:rFonts w:cstheme="minorHAnsi"/>
          <w:b/>
          <w:sz w:val="24"/>
          <w:szCs w:val="24"/>
        </w:rPr>
        <w:t xml:space="preserve">What happens if </w:t>
      </w:r>
      <w:r w:rsidR="00FD2D14" w:rsidRPr="00AB0A9E">
        <w:rPr>
          <w:rFonts w:cstheme="minorHAnsi"/>
          <w:b/>
          <w:sz w:val="24"/>
          <w:szCs w:val="24"/>
        </w:rPr>
        <w:t xml:space="preserve">the </w:t>
      </w:r>
      <w:r w:rsidR="00D42696" w:rsidRPr="00AB0A9E">
        <w:rPr>
          <w:rFonts w:cstheme="minorHAnsi"/>
          <w:b/>
          <w:sz w:val="24"/>
          <w:szCs w:val="24"/>
        </w:rPr>
        <w:t>c</w:t>
      </w:r>
      <w:r w:rsidR="00FD2D14" w:rsidRPr="00AB0A9E">
        <w:rPr>
          <w:rFonts w:cstheme="minorHAnsi"/>
          <w:b/>
          <w:sz w:val="24"/>
          <w:szCs w:val="24"/>
        </w:rPr>
        <w:t>ity</w:t>
      </w:r>
      <w:r w:rsidR="004A436E" w:rsidRPr="00AB0A9E">
        <w:rPr>
          <w:rFonts w:cstheme="minorHAnsi"/>
          <w:b/>
          <w:sz w:val="24"/>
          <w:szCs w:val="24"/>
        </w:rPr>
        <w:t xml:space="preserve"> or </w:t>
      </w:r>
      <w:r w:rsidR="00D42696" w:rsidRPr="00AB0A9E">
        <w:rPr>
          <w:rFonts w:cstheme="minorHAnsi"/>
          <w:b/>
          <w:sz w:val="24"/>
          <w:szCs w:val="24"/>
        </w:rPr>
        <w:t xml:space="preserve">town or county </w:t>
      </w:r>
      <w:r w:rsidR="00FD2D14" w:rsidRPr="00AB0A9E">
        <w:rPr>
          <w:rFonts w:cstheme="minorHAnsi"/>
          <w:b/>
          <w:sz w:val="24"/>
          <w:szCs w:val="24"/>
        </w:rPr>
        <w:t xml:space="preserve">does not have an </w:t>
      </w:r>
      <w:r w:rsidRPr="00AB0A9E">
        <w:rPr>
          <w:rFonts w:cstheme="minorHAnsi"/>
          <w:b/>
          <w:sz w:val="24"/>
          <w:szCs w:val="24"/>
        </w:rPr>
        <w:t>approve</w:t>
      </w:r>
      <w:r w:rsidR="00FD2D14" w:rsidRPr="00AB0A9E">
        <w:rPr>
          <w:rFonts w:cstheme="minorHAnsi"/>
          <w:b/>
          <w:sz w:val="24"/>
          <w:szCs w:val="24"/>
        </w:rPr>
        <w:t>d</w:t>
      </w:r>
      <w:r w:rsidRPr="00AB0A9E">
        <w:rPr>
          <w:rFonts w:cstheme="minorHAnsi"/>
          <w:b/>
          <w:sz w:val="24"/>
          <w:szCs w:val="24"/>
        </w:rPr>
        <w:t xml:space="preserve"> Housing Element?</w:t>
      </w:r>
    </w:p>
    <w:p w14:paraId="28ACE6A3" w14:textId="3EFD7B50" w:rsidR="00D8336D" w:rsidRPr="00AB0A9E" w:rsidRDefault="00D8336D" w:rsidP="00AB0A9E">
      <w:pPr>
        <w:spacing w:after="200" w:line="240" w:lineRule="auto"/>
        <w:rPr>
          <w:rFonts w:cstheme="minorHAnsi"/>
          <w:sz w:val="24"/>
          <w:szCs w:val="24"/>
        </w:rPr>
      </w:pPr>
      <w:r w:rsidRPr="00AB0A9E">
        <w:rPr>
          <w:rFonts w:cstheme="minorHAnsi"/>
          <w:sz w:val="24"/>
          <w:szCs w:val="24"/>
        </w:rPr>
        <w:t xml:space="preserve">The </w:t>
      </w:r>
      <w:r w:rsidR="00D42696" w:rsidRPr="00AB0A9E">
        <w:rPr>
          <w:rFonts w:cstheme="minorHAnsi"/>
          <w:sz w:val="24"/>
          <w:szCs w:val="24"/>
        </w:rPr>
        <w:t>c</w:t>
      </w:r>
      <w:r w:rsidRPr="00AB0A9E">
        <w:rPr>
          <w:rFonts w:cstheme="minorHAnsi"/>
          <w:sz w:val="24"/>
          <w:szCs w:val="24"/>
        </w:rPr>
        <w:t>ity could face legal challenges</w:t>
      </w:r>
      <w:r w:rsidR="00FD2D14" w:rsidRPr="00AB0A9E">
        <w:rPr>
          <w:rFonts w:cstheme="minorHAnsi"/>
          <w:sz w:val="24"/>
          <w:szCs w:val="24"/>
        </w:rPr>
        <w:t xml:space="preserve"> to its land use requirements and decisions, which would impact how city resources are used</w:t>
      </w:r>
      <w:r w:rsidRPr="00AB0A9E">
        <w:rPr>
          <w:rFonts w:cstheme="minorHAnsi"/>
          <w:sz w:val="24"/>
          <w:szCs w:val="24"/>
        </w:rPr>
        <w:t xml:space="preserve">. It </w:t>
      </w:r>
      <w:r w:rsidR="00937B71">
        <w:rPr>
          <w:rFonts w:cstheme="minorHAnsi"/>
          <w:sz w:val="24"/>
          <w:szCs w:val="24"/>
        </w:rPr>
        <w:t>c</w:t>
      </w:r>
      <w:r w:rsidR="00FD2D14" w:rsidRPr="00AB0A9E">
        <w:rPr>
          <w:rFonts w:cstheme="minorHAnsi"/>
          <w:sz w:val="24"/>
          <w:szCs w:val="24"/>
        </w:rPr>
        <w:t xml:space="preserve">ould also </w:t>
      </w:r>
      <w:r w:rsidR="00000281">
        <w:rPr>
          <w:rFonts w:cstheme="minorHAnsi"/>
          <w:sz w:val="24"/>
          <w:szCs w:val="24"/>
        </w:rPr>
        <w:t xml:space="preserve">face fines and </w:t>
      </w:r>
      <w:r w:rsidR="00FD2D14" w:rsidRPr="00AB0A9E">
        <w:rPr>
          <w:rFonts w:cstheme="minorHAnsi"/>
          <w:sz w:val="24"/>
          <w:szCs w:val="24"/>
        </w:rPr>
        <w:t xml:space="preserve">make the </w:t>
      </w:r>
      <w:r w:rsidR="00F850C7" w:rsidRPr="00AB0A9E">
        <w:rPr>
          <w:rFonts w:cstheme="minorHAnsi"/>
          <w:sz w:val="24"/>
          <w:szCs w:val="24"/>
        </w:rPr>
        <w:t>c</w:t>
      </w:r>
      <w:r w:rsidR="00FD2D14" w:rsidRPr="00AB0A9E">
        <w:rPr>
          <w:rFonts w:cstheme="minorHAnsi"/>
          <w:sz w:val="24"/>
          <w:szCs w:val="24"/>
        </w:rPr>
        <w:t xml:space="preserve">ity </w:t>
      </w:r>
      <w:r w:rsidR="00F850C7" w:rsidRPr="00AB0A9E">
        <w:rPr>
          <w:rFonts w:cstheme="minorHAnsi"/>
          <w:sz w:val="24"/>
          <w:szCs w:val="24"/>
        </w:rPr>
        <w:t xml:space="preserve">or county </w:t>
      </w:r>
      <w:r w:rsidR="00FD2D14" w:rsidRPr="00AB0A9E">
        <w:rPr>
          <w:rFonts w:cstheme="minorHAnsi"/>
          <w:sz w:val="24"/>
          <w:szCs w:val="24"/>
        </w:rPr>
        <w:t>ineligible</w:t>
      </w:r>
      <w:r w:rsidR="003412BA" w:rsidRPr="00AB0A9E">
        <w:rPr>
          <w:rFonts w:cstheme="minorHAnsi"/>
          <w:sz w:val="24"/>
          <w:szCs w:val="24"/>
        </w:rPr>
        <w:t xml:space="preserve"> for many </w:t>
      </w:r>
      <w:r w:rsidR="00F850C7" w:rsidRPr="00AB0A9E">
        <w:rPr>
          <w:rFonts w:cstheme="minorHAnsi"/>
          <w:sz w:val="24"/>
          <w:szCs w:val="24"/>
        </w:rPr>
        <w:t xml:space="preserve">state </w:t>
      </w:r>
      <w:r w:rsidR="003412BA" w:rsidRPr="00AB0A9E">
        <w:rPr>
          <w:rFonts w:cstheme="minorHAnsi"/>
          <w:sz w:val="24"/>
          <w:szCs w:val="24"/>
        </w:rPr>
        <w:t>grant programs</w:t>
      </w:r>
      <w:r w:rsidR="00FD2D14" w:rsidRPr="00AB0A9E">
        <w:rPr>
          <w:rFonts w:cstheme="minorHAnsi"/>
          <w:sz w:val="24"/>
          <w:szCs w:val="24"/>
        </w:rPr>
        <w:t xml:space="preserve">, </w:t>
      </w:r>
      <w:r w:rsidR="00F850C7" w:rsidRPr="00AB0A9E">
        <w:rPr>
          <w:rFonts w:cstheme="minorHAnsi"/>
          <w:sz w:val="24"/>
          <w:szCs w:val="24"/>
        </w:rPr>
        <w:t xml:space="preserve">which fund </w:t>
      </w:r>
      <w:r w:rsidR="003E0584" w:rsidRPr="00AB0A9E">
        <w:rPr>
          <w:rFonts w:cstheme="minorHAnsi"/>
          <w:sz w:val="24"/>
          <w:szCs w:val="24"/>
        </w:rPr>
        <w:t>affordable housing and transportation improvements.</w:t>
      </w:r>
      <w:r w:rsidR="00FD2D14" w:rsidRPr="00AB0A9E">
        <w:rPr>
          <w:rFonts w:cstheme="minorHAnsi"/>
          <w:sz w:val="24"/>
          <w:szCs w:val="24"/>
        </w:rPr>
        <w:t xml:space="preserve"> </w:t>
      </w:r>
      <w:r w:rsidR="00C72E61" w:rsidRPr="00AB0A9E">
        <w:rPr>
          <w:rFonts w:cstheme="minorHAnsi"/>
          <w:sz w:val="24"/>
          <w:szCs w:val="24"/>
        </w:rPr>
        <w:t>In other cities, judges have</w:t>
      </w:r>
      <w:r w:rsidR="00A20BE0" w:rsidRPr="00AB0A9E">
        <w:rPr>
          <w:rFonts w:cstheme="minorHAnsi"/>
          <w:sz w:val="24"/>
          <w:szCs w:val="24"/>
        </w:rPr>
        <w:t xml:space="preserve"> suspended the </w:t>
      </w:r>
      <w:r w:rsidR="00C72E61" w:rsidRPr="00AB0A9E">
        <w:rPr>
          <w:rFonts w:cstheme="minorHAnsi"/>
          <w:sz w:val="24"/>
          <w:szCs w:val="24"/>
        </w:rPr>
        <w:t xml:space="preserve">local </w:t>
      </w:r>
      <w:r w:rsidR="00A20BE0" w:rsidRPr="00AB0A9E">
        <w:rPr>
          <w:rFonts w:cstheme="minorHAnsi"/>
          <w:sz w:val="24"/>
          <w:szCs w:val="24"/>
        </w:rPr>
        <w:t xml:space="preserve">ability to issue building permits until the Housing Element is certified. </w:t>
      </w:r>
    </w:p>
    <w:p w14:paraId="0C18B6C9" w14:textId="42F4447D" w:rsidR="000819F2" w:rsidRPr="00AB0A9E" w:rsidRDefault="003412BA" w:rsidP="00AB0A9E">
      <w:pPr>
        <w:spacing w:after="200" w:line="240" w:lineRule="auto"/>
        <w:rPr>
          <w:rFonts w:cstheme="minorHAnsi"/>
          <w:b/>
          <w:sz w:val="24"/>
          <w:szCs w:val="24"/>
        </w:rPr>
      </w:pPr>
      <w:r w:rsidRPr="00AB0A9E">
        <w:rPr>
          <w:rFonts w:cstheme="minorHAnsi"/>
          <w:sz w:val="24"/>
          <w:szCs w:val="24"/>
        </w:rPr>
        <w:t xml:space="preserve"> </w:t>
      </w:r>
      <w:r w:rsidR="00A02616" w:rsidRPr="00AB0A9E">
        <w:rPr>
          <w:rFonts w:cstheme="minorHAnsi"/>
          <w:b/>
          <w:bCs/>
          <w:sz w:val="24"/>
          <w:szCs w:val="24"/>
        </w:rPr>
        <w:t xml:space="preserve">How </w:t>
      </w:r>
      <w:r w:rsidR="00F509A8" w:rsidRPr="00AB0A9E">
        <w:rPr>
          <w:rFonts w:cstheme="minorHAnsi"/>
          <w:b/>
          <w:bCs/>
          <w:sz w:val="24"/>
          <w:szCs w:val="24"/>
        </w:rPr>
        <w:t>is</w:t>
      </w:r>
      <w:r w:rsidR="00A02616" w:rsidRPr="00AB0A9E">
        <w:rPr>
          <w:rFonts w:cstheme="minorHAnsi"/>
          <w:b/>
          <w:bCs/>
          <w:sz w:val="24"/>
          <w:szCs w:val="24"/>
        </w:rPr>
        <w:t xml:space="preserve"> </w:t>
      </w:r>
      <w:r w:rsidR="00F509A8" w:rsidRPr="00AB0A9E">
        <w:rPr>
          <w:rFonts w:cstheme="minorHAnsi"/>
          <w:b/>
          <w:bCs/>
          <w:sz w:val="24"/>
          <w:szCs w:val="24"/>
        </w:rPr>
        <w:t>a</w:t>
      </w:r>
      <w:r w:rsidR="00A02616" w:rsidRPr="00AB0A9E">
        <w:rPr>
          <w:rFonts w:cstheme="minorHAnsi"/>
          <w:b/>
          <w:bCs/>
          <w:sz w:val="24"/>
          <w:szCs w:val="24"/>
        </w:rPr>
        <w:t xml:space="preserve"> </w:t>
      </w:r>
      <w:r w:rsidR="00F509A8" w:rsidRPr="00AB0A9E">
        <w:rPr>
          <w:rFonts w:cstheme="minorHAnsi"/>
          <w:b/>
          <w:bCs/>
          <w:sz w:val="24"/>
          <w:szCs w:val="24"/>
        </w:rPr>
        <w:t>c</w:t>
      </w:r>
      <w:r w:rsidR="00A02616" w:rsidRPr="00AB0A9E">
        <w:rPr>
          <w:rFonts w:cstheme="minorHAnsi"/>
          <w:b/>
          <w:bCs/>
          <w:sz w:val="24"/>
          <w:szCs w:val="24"/>
        </w:rPr>
        <w:t xml:space="preserve">ity’s </w:t>
      </w:r>
      <w:r w:rsidR="00F509A8" w:rsidRPr="00AB0A9E">
        <w:rPr>
          <w:rFonts w:cstheme="minorHAnsi"/>
          <w:b/>
          <w:bCs/>
          <w:sz w:val="24"/>
          <w:szCs w:val="24"/>
        </w:rPr>
        <w:t>h</w:t>
      </w:r>
      <w:r w:rsidR="00A02616" w:rsidRPr="00AB0A9E">
        <w:rPr>
          <w:rFonts w:cstheme="minorHAnsi"/>
          <w:b/>
          <w:bCs/>
          <w:sz w:val="24"/>
          <w:szCs w:val="24"/>
        </w:rPr>
        <w:t xml:space="preserve">ousing </w:t>
      </w:r>
      <w:r w:rsidR="00F509A8" w:rsidRPr="00AB0A9E">
        <w:rPr>
          <w:rFonts w:cstheme="minorHAnsi"/>
          <w:b/>
          <w:bCs/>
          <w:sz w:val="24"/>
          <w:szCs w:val="24"/>
        </w:rPr>
        <w:t>n</w:t>
      </w:r>
      <w:r w:rsidR="00A02616" w:rsidRPr="00AB0A9E">
        <w:rPr>
          <w:rFonts w:cstheme="minorHAnsi"/>
          <w:b/>
          <w:bCs/>
          <w:sz w:val="24"/>
          <w:szCs w:val="24"/>
        </w:rPr>
        <w:t xml:space="preserve">eed </w:t>
      </w:r>
      <w:r w:rsidR="00F509A8" w:rsidRPr="00AB0A9E">
        <w:rPr>
          <w:rFonts w:cstheme="minorHAnsi"/>
          <w:b/>
          <w:bCs/>
          <w:sz w:val="24"/>
          <w:szCs w:val="24"/>
        </w:rPr>
        <w:t>d</w:t>
      </w:r>
      <w:r w:rsidR="00A02616" w:rsidRPr="00AB0A9E">
        <w:rPr>
          <w:rFonts w:cstheme="minorHAnsi"/>
          <w:b/>
          <w:bCs/>
          <w:sz w:val="24"/>
          <w:szCs w:val="24"/>
        </w:rPr>
        <w:t>etermined?</w:t>
      </w:r>
      <w:r w:rsidR="00A02616" w:rsidRPr="00AB0A9E">
        <w:rPr>
          <w:rFonts w:cstheme="minorHAnsi"/>
          <w:sz w:val="24"/>
          <w:szCs w:val="24"/>
        </w:rPr>
        <w:t xml:space="preserve"> </w:t>
      </w:r>
    </w:p>
    <w:p w14:paraId="2B290002" w14:textId="2B627F64" w:rsidR="00745F79" w:rsidRPr="00AB0A9E" w:rsidRDefault="00F850C7" w:rsidP="00AB0A9E">
      <w:pPr>
        <w:spacing w:after="200" w:line="240" w:lineRule="auto"/>
        <w:rPr>
          <w:rFonts w:cstheme="minorHAnsi"/>
          <w:sz w:val="24"/>
          <w:szCs w:val="24"/>
        </w:rPr>
      </w:pPr>
      <w:r w:rsidRPr="00AB0A9E">
        <w:rPr>
          <w:rFonts w:cstheme="minorHAnsi"/>
          <w:sz w:val="24"/>
          <w:szCs w:val="24"/>
        </w:rPr>
        <w:t>The</w:t>
      </w:r>
      <w:r w:rsidR="00745F79" w:rsidRPr="00AB0A9E">
        <w:rPr>
          <w:rFonts w:cstheme="minorHAnsi"/>
          <w:sz w:val="24"/>
          <w:szCs w:val="24"/>
        </w:rPr>
        <w:t xml:space="preserve"> State of California</w:t>
      </w:r>
      <w:r w:rsidR="00A20BE0" w:rsidRPr="00AB0A9E">
        <w:rPr>
          <w:rFonts w:cstheme="minorHAnsi"/>
          <w:sz w:val="24"/>
          <w:szCs w:val="24"/>
        </w:rPr>
        <w:t xml:space="preserve"> determines the number of homes that are needed for the Bay Area</w:t>
      </w:r>
      <w:r w:rsidRPr="00AB0A9E">
        <w:rPr>
          <w:rFonts w:cstheme="minorHAnsi"/>
          <w:sz w:val="24"/>
          <w:szCs w:val="24"/>
        </w:rPr>
        <w:t>, consistent with state law</w:t>
      </w:r>
      <w:r w:rsidR="00A20BE0" w:rsidRPr="00AB0A9E">
        <w:rPr>
          <w:rFonts w:cstheme="minorHAnsi"/>
          <w:sz w:val="24"/>
          <w:szCs w:val="24"/>
        </w:rPr>
        <w:t xml:space="preserve">. The Association of Bay Area Governments then distributes </w:t>
      </w:r>
      <w:r w:rsidR="00A800DF" w:rsidRPr="00AB0A9E">
        <w:rPr>
          <w:rFonts w:cstheme="minorHAnsi"/>
          <w:sz w:val="24"/>
          <w:szCs w:val="24"/>
        </w:rPr>
        <w:t>a share to each local government in</w:t>
      </w:r>
      <w:r w:rsidR="006A4DAF" w:rsidRPr="00AB0A9E">
        <w:rPr>
          <w:rFonts w:cstheme="minorHAnsi"/>
          <w:sz w:val="24"/>
          <w:szCs w:val="24"/>
        </w:rPr>
        <w:t xml:space="preserve"> </w:t>
      </w:r>
      <w:r w:rsidR="00745F79" w:rsidRPr="00AB0A9E">
        <w:rPr>
          <w:rFonts w:cstheme="minorHAnsi"/>
          <w:sz w:val="24"/>
          <w:szCs w:val="24"/>
        </w:rPr>
        <w:t xml:space="preserve">the </w:t>
      </w:r>
      <w:r w:rsidR="00E96195" w:rsidRPr="00AB0A9E">
        <w:rPr>
          <w:rFonts w:cstheme="minorHAnsi"/>
          <w:sz w:val="24"/>
          <w:szCs w:val="24"/>
        </w:rPr>
        <w:t>nine Bay Areas</w:t>
      </w:r>
      <w:r w:rsidR="00745F79" w:rsidRPr="00AB0A9E">
        <w:rPr>
          <w:rFonts w:cstheme="minorHAnsi"/>
          <w:sz w:val="24"/>
          <w:szCs w:val="24"/>
        </w:rPr>
        <w:t xml:space="preserve"> counties. </w:t>
      </w:r>
      <w:r w:rsidR="002F1D89" w:rsidRPr="00AB0A9E">
        <w:rPr>
          <w:rFonts w:cstheme="minorHAnsi"/>
          <w:sz w:val="24"/>
          <w:szCs w:val="24"/>
        </w:rPr>
        <w:t>Each jurisdiction is assigned a portion of the regional need</w:t>
      </w:r>
      <w:r w:rsidR="007A76E2" w:rsidRPr="00AB0A9E">
        <w:rPr>
          <w:rFonts w:cstheme="minorHAnsi"/>
          <w:sz w:val="24"/>
          <w:szCs w:val="24"/>
        </w:rPr>
        <w:t xml:space="preserve"> </w:t>
      </w:r>
      <w:r w:rsidR="00937B71">
        <w:rPr>
          <w:rFonts w:cstheme="minorHAnsi"/>
          <w:sz w:val="24"/>
          <w:szCs w:val="24"/>
        </w:rPr>
        <w:t xml:space="preserve">at various income levels </w:t>
      </w:r>
      <w:r w:rsidR="00A02616" w:rsidRPr="00AB0A9E">
        <w:rPr>
          <w:rFonts w:cstheme="minorHAnsi"/>
          <w:sz w:val="24"/>
          <w:szCs w:val="24"/>
        </w:rPr>
        <w:t>based on factors such as</w:t>
      </w:r>
      <w:r w:rsidR="003E0584" w:rsidRPr="00AB0A9E">
        <w:rPr>
          <w:rFonts w:cstheme="minorHAnsi"/>
          <w:sz w:val="24"/>
          <w:szCs w:val="24"/>
        </w:rPr>
        <w:t xml:space="preserve"> </w:t>
      </w:r>
      <w:r w:rsidR="00A20BE0" w:rsidRPr="00AB0A9E">
        <w:rPr>
          <w:rFonts w:cstheme="minorHAnsi"/>
          <w:sz w:val="24"/>
          <w:szCs w:val="24"/>
        </w:rPr>
        <w:t xml:space="preserve">future population, access to jobs and </w:t>
      </w:r>
      <w:r w:rsidR="00C72E61" w:rsidRPr="00AB0A9E">
        <w:rPr>
          <w:rFonts w:cstheme="minorHAnsi"/>
          <w:sz w:val="24"/>
          <w:szCs w:val="24"/>
        </w:rPr>
        <w:t>other factors</w:t>
      </w:r>
      <w:r w:rsidR="00A20BE0" w:rsidRPr="00AB0A9E">
        <w:rPr>
          <w:rFonts w:cstheme="minorHAnsi"/>
          <w:sz w:val="24"/>
          <w:szCs w:val="24"/>
        </w:rPr>
        <w:t xml:space="preserve">. </w:t>
      </w:r>
      <w:r w:rsidR="007A76E2" w:rsidRPr="00AB0A9E">
        <w:rPr>
          <w:rFonts w:cstheme="minorHAnsi"/>
          <w:sz w:val="24"/>
          <w:szCs w:val="24"/>
        </w:rPr>
        <w:t xml:space="preserve">This assignment is known as </w:t>
      </w:r>
      <w:r w:rsidR="002F1D89" w:rsidRPr="00AB0A9E">
        <w:rPr>
          <w:rFonts w:cstheme="minorHAnsi"/>
          <w:sz w:val="24"/>
          <w:szCs w:val="24"/>
        </w:rPr>
        <w:t>the Regional Housing Need Allocation (RHNA)</w:t>
      </w:r>
      <w:r w:rsidR="007A76E2" w:rsidRPr="00AB0A9E">
        <w:rPr>
          <w:rFonts w:cstheme="minorHAnsi"/>
          <w:sz w:val="24"/>
          <w:szCs w:val="24"/>
        </w:rPr>
        <w:t xml:space="preserve">, and is intended to promote the </w:t>
      </w:r>
      <w:r w:rsidR="004968B4" w:rsidRPr="00AB0A9E">
        <w:rPr>
          <w:rFonts w:cstheme="minorHAnsi"/>
          <w:sz w:val="24"/>
          <w:szCs w:val="24"/>
        </w:rPr>
        <w:t>following objectives:</w:t>
      </w:r>
      <w:r w:rsidR="002F1D89" w:rsidRPr="00AB0A9E">
        <w:rPr>
          <w:rFonts w:cstheme="minorHAnsi"/>
          <w:sz w:val="24"/>
          <w:szCs w:val="24"/>
        </w:rPr>
        <w:t xml:space="preserve"> </w:t>
      </w:r>
    </w:p>
    <w:p w14:paraId="5EF20F09" w14:textId="77777777" w:rsidR="002A69CF" w:rsidRPr="00AB0A9E" w:rsidRDefault="004968B4" w:rsidP="00AB0A9E">
      <w:pPr>
        <w:pStyle w:val="ListParagraph"/>
        <w:numPr>
          <w:ilvl w:val="0"/>
          <w:numId w:val="1"/>
        </w:numPr>
        <w:spacing w:after="200" w:line="240" w:lineRule="auto"/>
        <w:rPr>
          <w:rFonts w:cstheme="minorHAnsi"/>
          <w:sz w:val="24"/>
          <w:szCs w:val="24"/>
        </w:rPr>
      </w:pPr>
      <w:r w:rsidRPr="00AB0A9E">
        <w:rPr>
          <w:rFonts w:cstheme="minorHAnsi"/>
          <w:sz w:val="24"/>
          <w:szCs w:val="24"/>
        </w:rPr>
        <w:t>I</w:t>
      </w:r>
      <w:r w:rsidR="002A69CF" w:rsidRPr="00AB0A9E">
        <w:rPr>
          <w:rFonts w:cstheme="minorHAnsi"/>
          <w:sz w:val="24"/>
          <w:szCs w:val="24"/>
        </w:rPr>
        <w:t>ncrease the housing supply and the mix of housing types in an equitable manner</w:t>
      </w:r>
    </w:p>
    <w:p w14:paraId="0737C2F6" w14:textId="70C8C73F" w:rsidR="004968B4" w:rsidRPr="00AB0A9E" w:rsidRDefault="004968B4" w:rsidP="00AB0A9E">
      <w:pPr>
        <w:pStyle w:val="ListParagraph"/>
        <w:numPr>
          <w:ilvl w:val="0"/>
          <w:numId w:val="1"/>
        </w:numPr>
        <w:spacing w:after="200" w:line="240" w:lineRule="auto"/>
        <w:rPr>
          <w:rFonts w:cstheme="minorHAnsi"/>
          <w:sz w:val="24"/>
          <w:szCs w:val="24"/>
        </w:rPr>
      </w:pPr>
      <w:r w:rsidRPr="00AB0A9E">
        <w:rPr>
          <w:rFonts w:cstheme="minorHAnsi"/>
          <w:sz w:val="24"/>
          <w:szCs w:val="24"/>
        </w:rPr>
        <w:t>P</w:t>
      </w:r>
      <w:r w:rsidR="002A69CF" w:rsidRPr="00AB0A9E">
        <w:rPr>
          <w:rFonts w:cstheme="minorHAnsi"/>
          <w:sz w:val="24"/>
          <w:szCs w:val="24"/>
        </w:rPr>
        <w:t>romote infill development</w:t>
      </w:r>
      <w:r w:rsidR="00D42696" w:rsidRPr="00AB0A9E">
        <w:rPr>
          <w:rFonts w:cstheme="minorHAnsi"/>
          <w:sz w:val="24"/>
          <w:szCs w:val="24"/>
        </w:rPr>
        <w:t xml:space="preserve"> that encourages alternatives to solo driving and reduces greenhouse gas emissions</w:t>
      </w:r>
    </w:p>
    <w:p w14:paraId="013F000F" w14:textId="3F608D50" w:rsidR="004968B4" w:rsidRPr="00AB0A9E" w:rsidRDefault="00E944E6" w:rsidP="00AB0A9E">
      <w:pPr>
        <w:pStyle w:val="ListParagraph"/>
        <w:numPr>
          <w:ilvl w:val="0"/>
          <w:numId w:val="1"/>
        </w:numPr>
        <w:spacing w:after="200" w:line="240" w:lineRule="auto"/>
        <w:rPr>
          <w:rFonts w:cstheme="minorHAnsi"/>
          <w:sz w:val="24"/>
          <w:szCs w:val="24"/>
        </w:rPr>
      </w:pPr>
      <w:r w:rsidRPr="00AB0A9E">
        <w:rPr>
          <w:rFonts w:cstheme="minorHAnsi"/>
          <w:sz w:val="24"/>
          <w:szCs w:val="24"/>
        </w:rPr>
        <w:t xml:space="preserve">Balance </w:t>
      </w:r>
      <w:r w:rsidR="002A69CF" w:rsidRPr="00AB0A9E">
        <w:rPr>
          <w:rFonts w:cstheme="minorHAnsi"/>
          <w:sz w:val="24"/>
          <w:szCs w:val="24"/>
        </w:rPr>
        <w:t>jobs and housing</w:t>
      </w:r>
    </w:p>
    <w:p w14:paraId="68F1E4C3" w14:textId="01211CD8" w:rsidR="002A69CF" w:rsidRPr="00AB0A9E" w:rsidRDefault="00974602" w:rsidP="00AB0A9E">
      <w:pPr>
        <w:pStyle w:val="ListParagraph"/>
        <w:numPr>
          <w:ilvl w:val="0"/>
          <w:numId w:val="1"/>
        </w:numPr>
        <w:spacing w:after="200" w:line="240" w:lineRule="auto"/>
        <w:rPr>
          <w:rFonts w:cstheme="minorHAnsi"/>
          <w:sz w:val="24"/>
          <w:szCs w:val="24"/>
        </w:rPr>
      </w:pPr>
      <w:r w:rsidRPr="00AB0A9E">
        <w:rPr>
          <w:rFonts w:cstheme="minorHAnsi"/>
          <w:sz w:val="24"/>
          <w:szCs w:val="24"/>
        </w:rPr>
        <w:t xml:space="preserve">Discourage housing development patterns that segment communities </w:t>
      </w:r>
    </w:p>
    <w:p w14:paraId="22E1F837" w14:textId="77777777" w:rsidR="002A69CF" w:rsidRPr="00AB0A9E" w:rsidRDefault="004968B4" w:rsidP="00AB0A9E">
      <w:pPr>
        <w:pStyle w:val="ListParagraph"/>
        <w:numPr>
          <w:ilvl w:val="0"/>
          <w:numId w:val="1"/>
        </w:numPr>
        <w:spacing w:after="200" w:line="240" w:lineRule="auto"/>
        <w:rPr>
          <w:rFonts w:cstheme="minorHAnsi"/>
          <w:sz w:val="24"/>
          <w:szCs w:val="24"/>
        </w:rPr>
      </w:pPr>
      <w:r w:rsidRPr="00AB0A9E">
        <w:rPr>
          <w:rFonts w:cstheme="minorHAnsi"/>
          <w:sz w:val="24"/>
          <w:szCs w:val="24"/>
        </w:rPr>
        <w:t>A</w:t>
      </w:r>
      <w:r w:rsidR="002A69CF" w:rsidRPr="00AB0A9E">
        <w:rPr>
          <w:rFonts w:cstheme="minorHAnsi"/>
          <w:sz w:val="24"/>
          <w:szCs w:val="24"/>
        </w:rPr>
        <w:t>ffirmatively further fair housing</w:t>
      </w:r>
    </w:p>
    <w:p w14:paraId="51FC2015" w14:textId="066AF9B6" w:rsidR="004968B4" w:rsidRPr="00AB0A9E" w:rsidRDefault="004968B4" w:rsidP="00AB0A9E">
      <w:pPr>
        <w:spacing w:after="200" w:line="240" w:lineRule="auto"/>
        <w:rPr>
          <w:rFonts w:cstheme="minorHAnsi"/>
          <w:sz w:val="24"/>
          <w:szCs w:val="24"/>
        </w:rPr>
      </w:pPr>
      <w:r w:rsidRPr="00AB0A9E">
        <w:rPr>
          <w:rFonts w:cstheme="minorHAnsi"/>
          <w:sz w:val="24"/>
          <w:szCs w:val="24"/>
        </w:rPr>
        <w:t xml:space="preserve">Each jurisdiction must ensure there is enough land with appropriate zoning to accommodate its </w:t>
      </w:r>
      <w:r w:rsidR="005A06C2" w:rsidRPr="00AB0A9E">
        <w:rPr>
          <w:rFonts w:cstheme="minorHAnsi"/>
          <w:sz w:val="24"/>
          <w:szCs w:val="24"/>
        </w:rPr>
        <w:t xml:space="preserve">RHNA </w:t>
      </w:r>
      <w:r w:rsidR="006A4DAF" w:rsidRPr="00AB0A9E">
        <w:rPr>
          <w:rFonts w:cstheme="minorHAnsi"/>
          <w:sz w:val="24"/>
          <w:szCs w:val="24"/>
        </w:rPr>
        <w:t xml:space="preserve">allocation </w:t>
      </w:r>
      <w:r w:rsidR="005A06C2" w:rsidRPr="00AB0A9E">
        <w:rPr>
          <w:rFonts w:cstheme="minorHAnsi"/>
          <w:sz w:val="24"/>
          <w:szCs w:val="24"/>
        </w:rPr>
        <w:t>in</w:t>
      </w:r>
      <w:r w:rsidRPr="00AB0A9E">
        <w:rPr>
          <w:rFonts w:cstheme="minorHAnsi"/>
          <w:sz w:val="24"/>
          <w:szCs w:val="24"/>
        </w:rPr>
        <w:t xml:space="preserve"> its Housing Element.</w:t>
      </w:r>
      <w:r w:rsidR="00956C97" w:rsidRPr="00AB0A9E">
        <w:rPr>
          <w:rFonts w:cstheme="minorHAnsi"/>
          <w:sz w:val="24"/>
          <w:szCs w:val="24"/>
        </w:rPr>
        <w:t xml:space="preserve"> </w:t>
      </w:r>
    </w:p>
    <w:p w14:paraId="6A91897B" w14:textId="51F3B834" w:rsidR="00956C97" w:rsidRPr="00AB0A9E" w:rsidRDefault="00000281" w:rsidP="00AB0A9E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was the process in assigning the RHNA</w:t>
      </w:r>
      <w:r w:rsidR="009971DE">
        <w:rPr>
          <w:rFonts w:cstheme="minorHAnsi"/>
          <w:b/>
          <w:sz w:val="24"/>
          <w:szCs w:val="24"/>
        </w:rPr>
        <w:t xml:space="preserve"> Allocation</w:t>
      </w:r>
      <w:r w:rsidR="00956C97" w:rsidRPr="00AB0A9E">
        <w:rPr>
          <w:rFonts w:cstheme="minorHAnsi"/>
          <w:b/>
          <w:sz w:val="24"/>
          <w:szCs w:val="24"/>
        </w:rPr>
        <w:t>?</w:t>
      </w:r>
    </w:p>
    <w:p w14:paraId="7304FB79" w14:textId="0DEE9216" w:rsidR="00D42696" w:rsidRDefault="00D42696" w:rsidP="00AB0A9E">
      <w:pPr>
        <w:spacing w:after="200" w:line="240" w:lineRule="auto"/>
        <w:rPr>
          <w:rFonts w:cstheme="minorHAnsi"/>
          <w:color w:val="333333"/>
          <w:sz w:val="24"/>
          <w:szCs w:val="24"/>
        </w:rPr>
      </w:pPr>
      <w:r w:rsidRPr="00AB0A9E">
        <w:rPr>
          <w:rFonts w:cstheme="minorHAnsi"/>
          <w:sz w:val="24"/>
          <w:szCs w:val="24"/>
        </w:rPr>
        <w:lastRenderedPageBreak/>
        <w:t xml:space="preserve">RHNA starts with the Regional Housing Needs Determination (RHND) provided by California’s HCD, which is the total number of housing units the Bay Area needs over the eight-year period, by income group. The heart of ABAG’s work on RHNA is developing the methodology to allocate a portion of housing needs to each city, town, and county in the region. ABAG convened a </w:t>
      </w:r>
      <w:hyperlink r:id="rId7" w:history="1">
        <w:r w:rsidRPr="00AB0A9E">
          <w:rPr>
            <w:rStyle w:val="Hyperlink"/>
            <w:rFonts w:cstheme="minorHAnsi"/>
            <w:sz w:val="24"/>
            <w:szCs w:val="24"/>
          </w:rPr>
          <w:t>Housing Methodology Committee</w:t>
        </w:r>
      </w:hyperlink>
      <w:r w:rsidRPr="00AB0A9E">
        <w:rPr>
          <w:rFonts w:cstheme="minorHAnsi"/>
          <w:color w:val="0000FF"/>
          <w:sz w:val="24"/>
          <w:szCs w:val="24"/>
        </w:rPr>
        <w:t xml:space="preserve"> </w:t>
      </w:r>
      <w:r w:rsidRPr="00AB0A9E">
        <w:rPr>
          <w:rFonts w:cstheme="minorHAnsi"/>
          <w:sz w:val="24"/>
          <w:szCs w:val="24"/>
        </w:rPr>
        <w:t xml:space="preserve">made up of local elected officials and staff and stakeholders, which met for nearly a year before recommending a </w:t>
      </w:r>
      <w:hyperlink r:id="rId8" w:history="1">
        <w:r w:rsidRPr="00AB0A9E">
          <w:rPr>
            <w:rStyle w:val="Hyperlink"/>
            <w:rFonts w:cstheme="minorHAnsi"/>
            <w:sz w:val="24"/>
            <w:szCs w:val="24"/>
          </w:rPr>
          <w:t>proposed RHNA methodology</w:t>
        </w:r>
      </w:hyperlink>
      <w:r w:rsidRPr="00AB0A9E">
        <w:rPr>
          <w:rFonts w:cstheme="minorHAnsi"/>
          <w:sz w:val="24"/>
          <w:szCs w:val="24"/>
        </w:rPr>
        <w:t xml:space="preserve">. </w:t>
      </w:r>
      <w:r w:rsidRPr="00AB0A9E">
        <w:rPr>
          <w:rFonts w:cstheme="minorHAnsi"/>
          <w:color w:val="333333"/>
          <w:sz w:val="24"/>
          <w:szCs w:val="24"/>
        </w:rPr>
        <w:t xml:space="preserve">The ABAG Regional Planning Committee and Executive Board approved the proposed methodology in October 2020, followed by a </w:t>
      </w:r>
      <w:hyperlink r:id="rId9" w:history="1">
        <w:r w:rsidRPr="00AB0A9E">
          <w:rPr>
            <w:rStyle w:val="Hyperlink"/>
            <w:rFonts w:cstheme="minorHAnsi"/>
            <w:sz w:val="24"/>
            <w:szCs w:val="24"/>
          </w:rPr>
          <w:t>public comment period</w:t>
        </w:r>
      </w:hyperlink>
      <w:r w:rsidRPr="00AB0A9E">
        <w:rPr>
          <w:rFonts w:cstheme="minorHAnsi"/>
          <w:color w:val="333333"/>
          <w:sz w:val="24"/>
          <w:szCs w:val="24"/>
        </w:rPr>
        <w:t xml:space="preserve">. After considering the public comments, the RPC and Executive Board approved the draft RHNA methodology in January 2021. </w:t>
      </w:r>
    </w:p>
    <w:p w14:paraId="281CB4E3" w14:textId="2032B01B" w:rsidR="007026E9" w:rsidRDefault="00137140" w:rsidP="00AB0A9E">
      <w:pPr>
        <w:spacing w:after="200" w:line="240" w:lineRule="auto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I</w:t>
      </w:r>
      <w:r w:rsidRPr="00AB0A9E">
        <w:rPr>
          <w:rFonts w:eastAsia="Times New Roman" w:cstheme="minorHAnsi"/>
          <w:color w:val="333333"/>
          <w:sz w:val="24"/>
          <w:szCs w:val="24"/>
        </w:rPr>
        <w:t>n May 2021</w:t>
      </w:r>
      <w:r>
        <w:rPr>
          <w:rFonts w:eastAsia="Times New Roman" w:cstheme="minorHAnsi"/>
          <w:color w:val="333333"/>
          <w:sz w:val="24"/>
          <w:szCs w:val="24"/>
        </w:rPr>
        <w:t>,</w:t>
      </w:r>
      <w:r w:rsidRPr="00AB0A9E">
        <w:rPr>
          <w:rFonts w:eastAsia="Times New Roman" w:cstheme="minorHAnsi"/>
          <w:color w:val="333333"/>
          <w:sz w:val="24"/>
          <w:szCs w:val="24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</w:rPr>
        <w:t>f</w:t>
      </w:r>
      <w:r w:rsidR="00D42696" w:rsidRPr="00AB0A9E">
        <w:rPr>
          <w:rFonts w:eastAsia="Times New Roman" w:cstheme="minorHAnsi"/>
          <w:color w:val="333333"/>
          <w:sz w:val="24"/>
          <w:szCs w:val="24"/>
        </w:rPr>
        <w:t xml:space="preserve">ollowing </w:t>
      </w:r>
      <w:hyperlink r:id="rId10" w:history="1">
        <w:r w:rsidR="00D42696" w:rsidRPr="00AB0A9E">
          <w:rPr>
            <w:rStyle w:val="Hyperlink"/>
            <w:rFonts w:eastAsia="Times New Roman" w:cstheme="minorHAnsi"/>
            <w:sz w:val="24"/>
            <w:szCs w:val="24"/>
          </w:rPr>
          <w:t>HCD’s findings</w:t>
        </w:r>
      </w:hyperlink>
      <w:r w:rsidR="00D42696" w:rsidRPr="00AB0A9E">
        <w:rPr>
          <w:rFonts w:eastAsia="Times New Roman" w:cstheme="minorHAnsi"/>
          <w:color w:val="0000FF"/>
          <w:sz w:val="24"/>
          <w:szCs w:val="24"/>
        </w:rPr>
        <w:t xml:space="preserve"> </w:t>
      </w:r>
      <w:r w:rsidR="00D42696" w:rsidRPr="00AB0A9E">
        <w:rPr>
          <w:rFonts w:eastAsia="Times New Roman" w:cstheme="minorHAnsi"/>
          <w:color w:val="333333"/>
          <w:sz w:val="24"/>
          <w:szCs w:val="24"/>
        </w:rPr>
        <w:t xml:space="preserve">that the draft RHNA methodology furthers the RHNA objectives, </w:t>
      </w:r>
      <w:r w:rsidR="00D42696" w:rsidRPr="00AB0A9E">
        <w:rPr>
          <w:rFonts w:eastAsia="Times New Roman" w:cstheme="minorHAnsi"/>
          <w:sz w:val="24"/>
          <w:szCs w:val="24"/>
        </w:rPr>
        <w:t xml:space="preserve">ABAG adopted a final methodology and draft allocations for every local government in the Bay Area. </w:t>
      </w:r>
      <w:r>
        <w:rPr>
          <w:rFonts w:eastAsia="Times New Roman" w:cstheme="minorHAnsi"/>
          <w:sz w:val="24"/>
          <w:szCs w:val="24"/>
        </w:rPr>
        <w:t>Bay Area j</w:t>
      </w:r>
      <w:r w:rsidR="007026E9" w:rsidRPr="005A704F">
        <w:rPr>
          <w:rFonts w:eastAsia="Times New Roman" w:cstheme="minorHAnsi"/>
          <w:color w:val="201F1E"/>
          <w:sz w:val="24"/>
          <w:szCs w:val="24"/>
        </w:rPr>
        <w:t>urisdictions and HCD ha</w:t>
      </w:r>
      <w:r>
        <w:rPr>
          <w:rFonts w:eastAsia="Times New Roman" w:cstheme="minorHAnsi"/>
          <w:color w:val="201F1E"/>
          <w:sz w:val="24"/>
          <w:szCs w:val="24"/>
        </w:rPr>
        <w:t>d</w:t>
      </w:r>
      <w:r w:rsidR="007026E9" w:rsidRPr="005A704F">
        <w:rPr>
          <w:rFonts w:eastAsia="Times New Roman" w:cstheme="minorHAnsi"/>
          <w:color w:val="201F1E"/>
          <w:sz w:val="24"/>
          <w:szCs w:val="24"/>
        </w:rPr>
        <w:t xml:space="preserve"> an opportunity to appeal a jurisdiction's draft RHNA allocation</w:t>
      </w:r>
      <w:r>
        <w:rPr>
          <w:rFonts w:eastAsia="Times New Roman" w:cstheme="minorHAnsi"/>
          <w:color w:val="201F1E"/>
          <w:sz w:val="24"/>
          <w:szCs w:val="24"/>
        </w:rPr>
        <w:t xml:space="preserve"> by July 9, 2021</w:t>
      </w:r>
      <w:r w:rsidR="007026E9" w:rsidRPr="005A704F">
        <w:rPr>
          <w:rFonts w:eastAsia="Times New Roman" w:cstheme="minorHAnsi"/>
          <w:color w:val="201F1E"/>
          <w:sz w:val="24"/>
          <w:szCs w:val="24"/>
        </w:rPr>
        <w:t>. Any appeals that are upheld could affect the allocations for all jurisdictions. Following the appeals process, ABAG will adopt final RHNA allocations by the end of 2021</w:t>
      </w:r>
      <w:r w:rsidR="007026E9" w:rsidRPr="00D00B98">
        <w:rPr>
          <w:rFonts w:eastAsia="Times New Roman" w:cstheme="minorHAnsi"/>
          <w:color w:val="201F1E"/>
          <w:sz w:val="24"/>
          <w:szCs w:val="24"/>
        </w:rPr>
        <w:t xml:space="preserve">. </w:t>
      </w:r>
    </w:p>
    <w:p w14:paraId="7A10E46A" w14:textId="3EB45B3B" w:rsidR="00D42696" w:rsidRPr="00AB0A9E" w:rsidRDefault="00D42696" w:rsidP="00AB0A9E">
      <w:pPr>
        <w:spacing w:after="200" w:line="240" w:lineRule="auto"/>
        <w:rPr>
          <w:rFonts w:eastAsia="Times New Roman" w:cstheme="minorHAnsi"/>
          <w:sz w:val="24"/>
          <w:szCs w:val="24"/>
        </w:rPr>
      </w:pPr>
      <w:r w:rsidRPr="00AB0A9E">
        <w:rPr>
          <w:rFonts w:eastAsia="Times New Roman" w:cstheme="minorHAnsi"/>
          <w:sz w:val="24"/>
          <w:szCs w:val="24"/>
        </w:rPr>
        <w:t xml:space="preserve">See the report entitled </w:t>
      </w:r>
      <w:hyperlink r:id="rId11" w:history="1">
        <w:r w:rsidRPr="00AB0A9E">
          <w:rPr>
            <w:rStyle w:val="Hyperlink"/>
            <w:rFonts w:eastAsia="Times New Roman" w:cstheme="minorHAnsi"/>
            <w:i/>
            <w:iCs/>
            <w:sz w:val="24"/>
            <w:szCs w:val="24"/>
          </w:rPr>
          <w:t>Draft Regional Housing Needs Allocation (RHNA) Plan: San Francisco Bay Area, 2023-2031</w:t>
        </w:r>
      </w:hyperlink>
      <w:r w:rsidRPr="00AB0A9E">
        <w:rPr>
          <w:rFonts w:eastAsia="Times New Roman" w:cstheme="minorHAnsi"/>
          <w:i/>
          <w:iCs/>
          <w:color w:val="0000FF"/>
          <w:sz w:val="24"/>
          <w:szCs w:val="24"/>
        </w:rPr>
        <w:t xml:space="preserve"> </w:t>
      </w:r>
      <w:r w:rsidRPr="00AB0A9E">
        <w:rPr>
          <w:rFonts w:eastAsia="Times New Roman" w:cstheme="minorHAnsi"/>
          <w:sz w:val="24"/>
          <w:szCs w:val="24"/>
        </w:rPr>
        <w:t xml:space="preserve">for a detailed overview of the final RHNA methodology and draft allocations. </w:t>
      </w:r>
    </w:p>
    <w:p w14:paraId="5BFFA3CC" w14:textId="6F65F793" w:rsidR="00974602" w:rsidRPr="00AB0A9E" w:rsidRDefault="00974602" w:rsidP="00AB0A9E">
      <w:pPr>
        <w:spacing w:after="200" w:line="240" w:lineRule="auto"/>
        <w:rPr>
          <w:rFonts w:cstheme="minorHAnsi"/>
          <w:b/>
          <w:bCs/>
          <w:sz w:val="24"/>
          <w:szCs w:val="24"/>
        </w:rPr>
      </w:pPr>
      <w:r w:rsidRPr="00AB0A9E">
        <w:rPr>
          <w:rFonts w:cstheme="minorHAnsi"/>
          <w:b/>
          <w:bCs/>
          <w:sz w:val="24"/>
          <w:szCs w:val="24"/>
        </w:rPr>
        <w:t xml:space="preserve">What is the Housing Need in </w:t>
      </w:r>
      <w:r w:rsidRPr="00ED4147">
        <w:rPr>
          <w:rFonts w:cstheme="minorHAnsi"/>
          <w:b/>
          <w:bCs/>
          <w:sz w:val="24"/>
          <w:szCs w:val="24"/>
          <w:highlight w:val="yellow"/>
        </w:rPr>
        <w:t>my city</w:t>
      </w:r>
      <w:r w:rsidR="00183E5F" w:rsidRPr="00ED4147">
        <w:rPr>
          <w:rFonts w:cstheme="minorHAnsi"/>
          <w:b/>
          <w:bCs/>
          <w:sz w:val="24"/>
          <w:szCs w:val="24"/>
          <w:highlight w:val="yellow"/>
        </w:rPr>
        <w:t>/town/</w:t>
      </w:r>
      <w:r w:rsidRPr="00ED4147">
        <w:rPr>
          <w:rFonts w:cstheme="minorHAnsi"/>
          <w:b/>
          <w:bCs/>
          <w:sz w:val="24"/>
          <w:szCs w:val="24"/>
          <w:highlight w:val="yellow"/>
        </w:rPr>
        <w:t>county</w:t>
      </w:r>
      <w:r w:rsidRPr="00AB0A9E">
        <w:rPr>
          <w:rFonts w:cstheme="minorHAnsi"/>
          <w:b/>
          <w:bCs/>
          <w:sz w:val="24"/>
          <w:szCs w:val="24"/>
        </w:rPr>
        <w:t xml:space="preserve">? </w:t>
      </w:r>
    </w:p>
    <w:p w14:paraId="4E64AEE8" w14:textId="42B13E76" w:rsidR="00D00B98" w:rsidRDefault="00CE2C3A" w:rsidP="00AB0A9E">
      <w:pPr>
        <w:spacing w:after="200" w:line="240" w:lineRule="auto"/>
        <w:rPr>
          <w:rFonts w:cstheme="minorHAnsi"/>
          <w:sz w:val="24"/>
          <w:szCs w:val="24"/>
        </w:rPr>
      </w:pPr>
      <w:r w:rsidRPr="00AB0A9E">
        <w:rPr>
          <w:rFonts w:cstheme="minorHAnsi"/>
          <w:sz w:val="24"/>
          <w:szCs w:val="24"/>
        </w:rPr>
        <w:t xml:space="preserve">With a projected growth of over 441,000 households for the Bay Area by 2030, </w:t>
      </w:r>
      <w:r w:rsidR="00D11156" w:rsidRPr="00AB0A9E">
        <w:rPr>
          <w:rFonts w:cstheme="minorHAnsi"/>
          <w:sz w:val="24"/>
          <w:szCs w:val="24"/>
        </w:rPr>
        <w:t>[City/Town/County]</w:t>
      </w:r>
      <w:r w:rsidRPr="00AB0A9E">
        <w:rPr>
          <w:rFonts w:cstheme="minorHAnsi"/>
          <w:sz w:val="24"/>
          <w:szCs w:val="24"/>
        </w:rPr>
        <w:t xml:space="preserve"> was assigned </w:t>
      </w:r>
      <w:r w:rsidR="00D11156" w:rsidRPr="00AB0A9E">
        <w:rPr>
          <w:rFonts w:cstheme="minorHAnsi"/>
          <w:sz w:val="24"/>
          <w:szCs w:val="24"/>
        </w:rPr>
        <w:t>the housing need allocation shown below</w:t>
      </w:r>
      <w:r w:rsidRPr="00AB0A9E">
        <w:rPr>
          <w:rFonts w:cstheme="minorHAnsi"/>
          <w:sz w:val="24"/>
          <w:szCs w:val="24"/>
        </w:rPr>
        <w:t xml:space="preserve">. </w:t>
      </w:r>
    </w:p>
    <w:p w14:paraId="68AC6789" w14:textId="70C8A94D" w:rsidR="00183E5F" w:rsidRPr="00AB0A9E" w:rsidRDefault="00183E5F" w:rsidP="00AB0A9E">
      <w:pPr>
        <w:spacing w:after="200" w:line="240" w:lineRule="auto"/>
        <w:rPr>
          <w:rFonts w:cstheme="minorHAnsi"/>
          <w:i/>
          <w:iCs/>
          <w:sz w:val="24"/>
          <w:szCs w:val="24"/>
        </w:rPr>
      </w:pPr>
      <w:r w:rsidRPr="00AB0A9E">
        <w:rPr>
          <w:rFonts w:cstheme="minorHAnsi"/>
          <w:i/>
          <w:iCs/>
          <w:sz w:val="24"/>
          <w:szCs w:val="24"/>
        </w:rPr>
        <w:t xml:space="preserve">[Note to staff: see Table 4 in the </w:t>
      </w:r>
      <w:hyperlink r:id="rId12" w:history="1">
        <w:r w:rsidRPr="00AB0A9E">
          <w:rPr>
            <w:rStyle w:val="Hyperlink"/>
            <w:rFonts w:cstheme="minorHAnsi"/>
            <w:i/>
            <w:iCs/>
            <w:sz w:val="24"/>
            <w:szCs w:val="24"/>
          </w:rPr>
          <w:t>Draft RHNA Plan</w:t>
        </w:r>
      </w:hyperlink>
      <w:r w:rsidRPr="00AB0A9E">
        <w:rPr>
          <w:rFonts w:cstheme="minorHAnsi"/>
          <w:i/>
          <w:iCs/>
          <w:sz w:val="24"/>
          <w:szCs w:val="24"/>
        </w:rPr>
        <w:t xml:space="preserve"> for your jurisdiction’s </w:t>
      </w:r>
      <w:r w:rsidR="006D472C">
        <w:rPr>
          <w:rFonts w:cstheme="minorHAnsi"/>
          <w:i/>
          <w:iCs/>
          <w:sz w:val="24"/>
          <w:szCs w:val="24"/>
        </w:rPr>
        <w:t>RHNA allocation</w:t>
      </w:r>
      <w:r w:rsidRPr="00AB0A9E">
        <w:rPr>
          <w:rFonts w:cstheme="minorHAnsi"/>
          <w:i/>
          <w:iCs/>
          <w:sz w:val="24"/>
          <w:szCs w:val="24"/>
        </w:rPr>
        <w:t>.)</w:t>
      </w:r>
    </w:p>
    <w:tbl>
      <w:tblPr>
        <w:tblStyle w:val="TableGrid"/>
        <w:tblW w:w="10144" w:type="dxa"/>
        <w:tblLook w:val="04A0" w:firstRow="1" w:lastRow="0" w:firstColumn="1" w:lastColumn="0" w:noHBand="0" w:noVBand="1"/>
      </w:tblPr>
      <w:tblGrid>
        <w:gridCol w:w="8299"/>
        <w:gridCol w:w="1812"/>
        <w:gridCol w:w="33"/>
      </w:tblGrid>
      <w:tr w:rsidR="005A704F" w:rsidRPr="00AB0A9E" w14:paraId="0F2FA983" w14:textId="77777777" w:rsidTr="006D3399">
        <w:trPr>
          <w:trHeight w:val="265"/>
        </w:trPr>
        <w:tc>
          <w:tcPr>
            <w:tcW w:w="10144" w:type="dxa"/>
            <w:gridSpan w:val="3"/>
            <w:shd w:val="clear" w:color="auto" w:fill="BDD6EE" w:themeFill="accent5" w:themeFillTint="66"/>
          </w:tcPr>
          <w:p w14:paraId="5E376BCE" w14:textId="5E369B98" w:rsidR="00E76EB2" w:rsidRPr="00AB0A9E" w:rsidRDefault="00FF7EAE" w:rsidP="00A94249">
            <w:pPr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City of _____ </w:t>
            </w:r>
            <w:r w:rsidR="00E76EB2" w:rsidRPr="00AB0A9E">
              <w:rPr>
                <w:rFonts w:cstheme="minorHAnsi"/>
                <w:b/>
                <w:bCs/>
                <w:sz w:val="24"/>
                <w:szCs w:val="24"/>
              </w:rPr>
              <w:t xml:space="preserve">2023-2031 </w:t>
            </w:r>
            <w:r w:rsidR="00183E5F" w:rsidRPr="00AB0A9E">
              <w:rPr>
                <w:rFonts w:cstheme="minorHAnsi"/>
                <w:b/>
                <w:bCs/>
                <w:sz w:val="24"/>
                <w:szCs w:val="24"/>
              </w:rPr>
              <w:t xml:space="preserve">Draft </w:t>
            </w:r>
            <w:r w:rsidR="00E76EB2" w:rsidRPr="00AB0A9E">
              <w:rPr>
                <w:rFonts w:cstheme="minorHAnsi"/>
                <w:b/>
                <w:bCs/>
                <w:sz w:val="24"/>
                <w:szCs w:val="24"/>
              </w:rPr>
              <w:t>RHNA Allocation</w:t>
            </w:r>
          </w:p>
        </w:tc>
      </w:tr>
      <w:tr w:rsidR="005A704F" w:rsidRPr="00AB0A9E" w14:paraId="0123EA3E" w14:textId="77777777" w:rsidTr="006D3399">
        <w:trPr>
          <w:gridAfter w:val="1"/>
          <w:wAfter w:w="33" w:type="dxa"/>
          <w:trHeight w:val="395"/>
        </w:trPr>
        <w:tc>
          <w:tcPr>
            <w:tcW w:w="8299" w:type="dxa"/>
          </w:tcPr>
          <w:p w14:paraId="3286BABE" w14:textId="539AAD56" w:rsidR="00E76EB2" w:rsidRPr="00AB0A9E" w:rsidRDefault="005A704F">
            <w:pPr>
              <w:pStyle w:val="NormalWeb"/>
              <w:spacing w:before="0" w:beforeAutospacing="0" w:after="120" w:afterAutospacing="0"/>
              <w:contextualSpacing/>
              <w:rPr>
                <w:rFonts w:asciiTheme="minorHAnsi" w:hAnsiTheme="minorHAnsi" w:cstheme="minorHAnsi"/>
              </w:rPr>
            </w:pPr>
            <w:r w:rsidRPr="00AB0A9E">
              <w:rPr>
                <w:rFonts w:asciiTheme="minorHAnsi" w:hAnsiTheme="minorHAnsi" w:cstheme="minorHAnsi"/>
              </w:rPr>
              <w:t xml:space="preserve">VERY LOW INCOME (&lt;50% of Area Median Income) </w:t>
            </w:r>
          </w:p>
        </w:tc>
        <w:tc>
          <w:tcPr>
            <w:tcW w:w="1812" w:type="dxa"/>
          </w:tcPr>
          <w:p w14:paraId="75B6CEAE" w14:textId="77777777" w:rsidR="00E76EB2" w:rsidRPr="00AB0A9E" w:rsidRDefault="00E76EB2" w:rsidP="00A94249">
            <w:pPr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A704F" w:rsidRPr="00AB0A9E" w14:paraId="456DEC25" w14:textId="77777777" w:rsidTr="006D3399">
        <w:trPr>
          <w:gridAfter w:val="1"/>
          <w:wAfter w:w="33" w:type="dxa"/>
          <w:trHeight w:val="332"/>
        </w:trPr>
        <w:tc>
          <w:tcPr>
            <w:tcW w:w="8299" w:type="dxa"/>
          </w:tcPr>
          <w:p w14:paraId="59DDF7E8" w14:textId="6FF8988D" w:rsidR="00E76EB2" w:rsidRPr="00AB0A9E" w:rsidRDefault="005A704F">
            <w:pPr>
              <w:pStyle w:val="NormalWeb"/>
              <w:spacing w:before="0" w:beforeAutospacing="0" w:after="120" w:afterAutospacing="0"/>
              <w:contextualSpacing/>
              <w:rPr>
                <w:rFonts w:asciiTheme="minorHAnsi" w:hAnsiTheme="minorHAnsi" w:cstheme="minorHAnsi"/>
              </w:rPr>
            </w:pPr>
            <w:r w:rsidRPr="00AB0A9E">
              <w:rPr>
                <w:rFonts w:asciiTheme="minorHAnsi" w:hAnsiTheme="minorHAnsi" w:cstheme="minorHAnsi"/>
              </w:rPr>
              <w:t>LOW INCOME</w:t>
            </w:r>
            <w:r w:rsidR="00FF7EAE">
              <w:rPr>
                <w:rFonts w:asciiTheme="minorHAnsi" w:hAnsiTheme="minorHAnsi" w:cstheme="minorHAnsi"/>
              </w:rPr>
              <w:t xml:space="preserve"> </w:t>
            </w:r>
            <w:r w:rsidRPr="00AB0A9E">
              <w:rPr>
                <w:rFonts w:asciiTheme="minorHAnsi" w:hAnsiTheme="minorHAnsi" w:cstheme="minorHAnsi"/>
              </w:rPr>
              <w:t xml:space="preserve">(50-80% of Area Median Income) </w:t>
            </w:r>
          </w:p>
        </w:tc>
        <w:tc>
          <w:tcPr>
            <w:tcW w:w="1812" w:type="dxa"/>
          </w:tcPr>
          <w:p w14:paraId="337C5FA4" w14:textId="77777777" w:rsidR="00E76EB2" w:rsidRPr="00AB0A9E" w:rsidRDefault="00E76EB2" w:rsidP="00A94249">
            <w:pPr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A704F" w:rsidRPr="00AB0A9E" w14:paraId="0559AA23" w14:textId="77777777" w:rsidTr="006D3399">
        <w:trPr>
          <w:gridAfter w:val="1"/>
          <w:wAfter w:w="33" w:type="dxa"/>
          <w:trHeight w:val="89"/>
        </w:trPr>
        <w:tc>
          <w:tcPr>
            <w:tcW w:w="8299" w:type="dxa"/>
          </w:tcPr>
          <w:p w14:paraId="250931EB" w14:textId="2F015109" w:rsidR="00E76EB2" w:rsidRPr="00AB0A9E" w:rsidRDefault="005A704F">
            <w:pPr>
              <w:pStyle w:val="NormalWeb"/>
              <w:spacing w:before="0" w:beforeAutospacing="0" w:after="120" w:afterAutospacing="0"/>
              <w:contextualSpacing/>
              <w:rPr>
                <w:rFonts w:asciiTheme="minorHAnsi" w:hAnsiTheme="minorHAnsi" w:cstheme="minorHAnsi"/>
              </w:rPr>
            </w:pPr>
            <w:r w:rsidRPr="00AB0A9E">
              <w:rPr>
                <w:rFonts w:asciiTheme="minorHAnsi" w:hAnsiTheme="minorHAnsi" w:cstheme="minorHAnsi"/>
              </w:rPr>
              <w:t xml:space="preserve">MODERATE INCOME (80-120% of Area Median Income) </w:t>
            </w:r>
          </w:p>
        </w:tc>
        <w:tc>
          <w:tcPr>
            <w:tcW w:w="1812" w:type="dxa"/>
          </w:tcPr>
          <w:p w14:paraId="6CCCBC1E" w14:textId="77777777" w:rsidR="00E76EB2" w:rsidRPr="00AB0A9E" w:rsidRDefault="00E76EB2" w:rsidP="00A94249">
            <w:pPr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A704F" w:rsidRPr="00AB0A9E" w14:paraId="2741B511" w14:textId="77777777" w:rsidTr="006D3399">
        <w:trPr>
          <w:gridAfter w:val="1"/>
          <w:wAfter w:w="33" w:type="dxa"/>
          <w:trHeight w:val="125"/>
        </w:trPr>
        <w:tc>
          <w:tcPr>
            <w:tcW w:w="8299" w:type="dxa"/>
          </w:tcPr>
          <w:p w14:paraId="67E65A9C" w14:textId="608E8AD4" w:rsidR="00E76EB2" w:rsidRPr="00AB0A9E" w:rsidRDefault="005A704F">
            <w:pPr>
              <w:pStyle w:val="NormalWeb"/>
              <w:spacing w:before="0" w:beforeAutospacing="0" w:after="120" w:afterAutospacing="0"/>
              <w:contextualSpacing/>
              <w:rPr>
                <w:rFonts w:asciiTheme="minorHAnsi" w:hAnsiTheme="minorHAnsi" w:cstheme="minorHAnsi"/>
              </w:rPr>
            </w:pPr>
            <w:r w:rsidRPr="00AB0A9E">
              <w:rPr>
                <w:rFonts w:asciiTheme="minorHAnsi" w:hAnsiTheme="minorHAnsi" w:cstheme="minorHAnsi"/>
              </w:rPr>
              <w:t>ABOVE MODERATE INCOME</w:t>
            </w:r>
            <w:r w:rsidRPr="00AB0A9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B0A9E">
              <w:rPr>
                <w:rFonts w:asciiTheme="minorHAnsi" w:hAnsiTheme="minorHAnsi" w:cstheme="minorHAnsi"/>
              </w:rPr>
              <w:t xml:space="preserve">(&gt;120% of Area Median Income </w:t>
            </w:r>
          </w:p>
        </w:tc>
        <w:tc>
          <w:tcPr>
            <w:tcW w:w="1812" w:type="dxa"/>
          </w:tcPr>
          <w:p w14:paraId="0B2F0E3B" w14:textId="77777777" w:rsidR="00E76EB2" w:rsidRPr="00AB0A9E" w:rsidRDefault="00E76EB2" w:rsidP="00A94249">
            <w:pPr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A704F" w:rsidRPr="00AB0A9E" w14:paraId="021B568C" w14:textId="77777777" w:rsidTr="006D3399">
        <w:trPr>
          <w:gridAfter w:val="1"/>
          <w:wAfter w:w="33" w:type="dxa"/>
          <w:trHeight w:val="265"/>
        </w:trPr>
        <w:tc>
          <w:tcPr>
            <w:tcW w:w="8299" w:type="dxa"/>
          </w:tcPr>
          <w:p w14:paraId="6366AEB1" w14:textId="0DF00E1C" w:rsidR="00E76EB2" w:rsidRPr="00AB0A9E" w:rsidRDefault="005A704F" w:rsidP="00A94249">
            <w:pPr>
              <w:spacing w:after="120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AB0A9E">
              <w:rPr>
                <w:rFonts w:cstheme="minorHAnsi"/>
                <w:b/>
                <w:bCs/>
                <w:sz w:val="24"/>
                <w:szCs w:val="24"/>
              </w:rPr>
              <w:t>TOTAL ALLOCATION</w:t>
            </w:r>
          </w:p>
        </w:tc>
        <w:tc>
          <w:tcPr>
            <w:tcW w:w="1812" w:type="dxa"/>
          </w:tcPr>
          <w:p w14:paraId="7548BA2D" w14:textId="77777777" w:rsidR="00E76EB2" w:rsidRPr="00AB0A9E" w:rsidRDefault="00E76EB2" w:rsidP="00A94249">
            <w:pPr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F67AB03" w14:textId="725406E6" w:rsidR="005A704F" w:rsidRPr="005A704F" w:rsidRDefault="005A704F" w:rsidP="00AB0A9E">
      <w:pPr>
        <w:spacing w:after="200" w:line="240" w:lineRule="auto"/>
        <w:rPr>
          <w:rFonts w:eastAsia="Times New Roman" w:cstheme="minorHAnsi"/>
          <w:sz w:val="24"/>
          <w:szCs w:val="24"/>
        </w:rPr>
      </w:pPr>
    </w:p>
    <w:p w14:paraId="5E623A5A" w14:textId="3B1B0BC4" w:rsidR="000819F2" w:rsidRPr="00AB0A9E" w:rsidRDefault="000819F2" w:rsidP="00AB0A9E">
      <w:pPr>
        <w:spacing w:after="200" w:line="240" w:lineRule="auto"/>
        <w:rPr>
          <w:rFonts w:cstheme="minorHAnsi"/>
          <w:b/>
          <w:sz w:val="24"/>
          <w:szCs w:val="24"/>
        </w:rPr>
      </w:pPr>
      <w:r w:rsidRPr="00AB0A9E">
        <w:rPr>
          <w:rFonts w:cstheme="minorHAnsi"/>
          <w:b/>
          <w:sz w:val="24"/>
          <w:szCs w:val="24"/>
        </w:rPr>
        <w:t>Can th</w:t>
      </w:r>
      <w:r w:rsidR="00672F7A" w:rsidRPr="00AB0A9E">
        <w:rPr>
          <w:rFonts w:cstheme="minorHAnsi"/>
          <w:b/>
          <w:sz w:val="24"/>
          <w:szCs w:val="24"/>
        </w:rPr>
        <w:t>e RHNA</w:t>
      </w:r>
      <w:r w:rsidRPr="00AB0A9E">
        <w:rPr>
          <w:rFonts w:cstheme="minorHAnsi"/>
          <w:b/>
          <w:sz w:val="24"/>
          <w:szCs w:val="24"/>
        </w:rPr>
        <w:t xml:space="preserve"> </w:t>
      </w:r>
      <w:r w:rsidR="00F509A8" w:rsidRPr="00AB0A9E">
        <w:rPr>
          <w:rFonts w:cstheme="minorHAnsi"/>
          <w:b/>
          <w:sz w:val="24"/>
          <w:szCs w:val="24"/>
        </w:rPr>
        <w:t xml:space="preserve">allocation </w:t>
      </w:r>
      <w:r w:rsidRPr="00AB0A9E">
        <w:rPr>
          <w:rFonts w:cstheme="minorHAnsi"/>
          <w:b/>
          <w:sz w:val="24"/>
          <w:szCs w:val="24"/>
        </w:rPr>
        <w:t>be challenged?</w:t>
      </w:r>
    </w:p>
    <w:p w14:paraId="749B9F3F" w14:textId="420CC501" w:rsidR="00BE227F" w:rsidRPr="00AB0A9E" w:rsidRDefault="00873097" w:rsidP="00AB0A9E">
      <w:pPr>
        <w:spacing w:after="200" w:line="240" w:lineRule="auto"/>
        <w:rPr>
          <w:rFonts w:eastAsia="Times New Roman" w:cstheme="minorHAnsi"/>
          <w:sz w:val="24"/>
          <w:szCs w:val="24"/>
        </w:rPr>
      </w:pPr>
      <w:r w:rsidRPr="00AB0A9E">
        <w:rPr>
          <w:rFonts w:eastAsia="Times New Roman" w:cstheme="minorHAnsi"/>
          <w:color w:val="333333"/>
          <w:sz w:val="24"/>
          <w:szCs w:val="24"/>
        </w:rPr>
        <w:t xml:space="preserve">At this point, the appeals period is closed. </w:t>
      </w:r>
      <w:r w:rsidR="005A704F" w:rsidRPr="00AB0A9E">
        <w:rPr>
          <w:rFonts w:cstheme="minorHAnsi"/>
          <w:sz w:val="24"/>
          <w:szCs w:val="24"/>
        </w:rPr>
        <w:t xml:space="preserve">ABAG is currently considering appeals which were filed by the deadline and will issue the final allocations by the end of 2021. </w:t>
      </w:r>
    </w:p>
    <w:p w14:paraId="3034B07F" w14:textId="35932FCF" w:rsidR="001A2867" w:rsidRPr="00AB0A9E" w:rsidRDefault="001A2867" w:rsidP="00AB0A9E">
      <w:pPr>
        <w:spacing w:after="200" w:line="240" w:lineRule="auto"/>
        <w:rPr>
          <w:rFonts w:cstheme="minorHAnsi"/>
          <w:b/>
          <w:bCs/>
          <w:sz w:val="24"/>
          <w:szCs w:val="24"/>
        </w:rPr>
      </w:pPr>
      <w:r w:rsidRPr="00AB0A9E">
        <w:rPr>
          <w:rFonts w:cstheme="minorHAnsi"/>
          <w:b/>
          <w:bCs/>
          <w:sz w:val="24"/>
          <w:szCs w:val="24"/>
        </w:rPr>
        <w:t>Has anyone ever successfully challenged their RHNA</w:t>
      </w:r>
      <w:r w:rsidR="00F509A8" w:rsidRPr="00AB0A9E">
        <w:rPr>
          <w:rFonts w:cstheme="minorHAnsi"/>
          <w:b/>
          <w:bCs/>
          <w:sz w:val="24"/>
          <w:szCs w:val="24"/>
        </w:rPr>
        <w:t xml:space="preserve"> allocation</w:t>
      </w:r>
      <w:r w:rsidRPr="00AB0A9E">
        <w:rPr>
          <w:rFonts w:cstheme="minorHAnsi"/>
          <w:b/>
          <w:bCs/>
          <w:sz w:val="24"/>
          <w:szCs w:val="24"/>
        </w:rPr>
        <w:t>?</w:t>
      </w:r>
    </w:p>
    <w:p w14:paraId="217C9E5A" w14:textId="4930B10E" w:rsidR="001A2867" w:rsidRPr="00AB0A9E" w:rsidRDefault="005F7463" w:rsidP="00AB0A9E">
      <w:pPr>
        <w:spacing w:after="200" w:line="240" w:lineRule="auto"/>
        <w:rPr>
          <w:rFonts w:cstheme="minorHAnsi"/>
          <w:sz w:val="24"/>
          <w:szCs w:val="24"/>
        </w:rPr>
      </w:pPr>
      <w:r w:rsidRPr="00AB0A9E">
        <w:rPr>
          <w:rFonts w:cstheme="minorHAnsi"/>
          <w:sz w:val="24"/>
          <w:szCs w:val="24"/>
        </w:rPr>
        <w:t>Cities have already had several opportunities to offer comments and make corrections to the data and assumptions affecting their RHNA.</w:t>
      </w:r>
      <w:r w:rsidR="00FF0758" w:rsidRPr="00AB0A9E">
        <w:rPr>
          <w:rFonts w:cstheme="minorHAnsi"/>
          <w:sz w:val="24"/>
          <w:szCs w:val="24"/>
        </w:rPr>
        <w:t xml:space="preserve"> Now that the methodology has been adopted, appeals can only be granted based on </w:t>
      </w:r>
      <w:r w:rsidR="00A20BE0" w:rsidRPr="00AB0A9E">
        <w:rPr>
          <w:rFonts w:cstheme="minorHAnsi"/>
          <w:sz w:val="24"/>
          <w:szCs w:val="24"/>
        </w:rPr>
        <w:t xml:space="preserve">limited criteria, </w:t>
      </w:r>
      <w:r w:rsidR="007047B1" w:rsidRPr="00AB0A9E">
        <w:rPr>
          <w:rFonts w:cstheme="minorHAnsi"/>
          <w:sz w:val="24"/>
          <w:szCs w:val="24"/>
        </w:rPr>
        <w:t>e.g.,</w:t>
      </w:r>
      <w:r w:rsidR="00A20BE0" w:rsidRPr="00AB0A9E">
        <w:rPr>
          <w:rFonts w:cstheme="minorHAnsi"/>
          <w:sz w:val="24"/>
          <w:szCs w:val="24"/>
        </w:rPr>
        <w:t xml:space="preserve"> </w:t>
      </w:r>
      <w:r w:rsidR="00FF0758" w:rsidRPr="00AB0A9E">
        <w:rPr>
          <w:rFonts w:cstheme="minorHAnsi"/>
          <w:sz w:val="24"/>
          <w:szCs w:val="24"/>
        </w:rPr>
        <w:t xml:space="preserve">findings that the methodology does not meet the State guidelines outlined in the </w:t>
      </w:r>
      <w:r w:rsidR="00C641D1" w:rsidRPr="00AB0A9E">
        <w:rPr>
          <w:rFonts w:cstheme="minorHAnsi"/>
          <w:sz w:val="24"/>
          <w:szCs w:val="24"/>
        </w:rPr>
        <w:t>Government</w:t>
      </w:r>
      <w:r w:rsidR="00FF0758" w:rsidRPr="00AB0A9E">
        <w:rPr>
          <w:rFonts w:cstheme="minorHAnsi"/>
          <w:sz w:val="24"/>
          <w:szCs w:val="24"/>
        </w:rPr>
        <w:t xml:space="preserve"> Code referenced above. Recently</w:t>
      </w:r>
      <w:r w:rsidR="00C72E61" w:rsidRPr="00AB0A9E">
        <w:rPr>
          <w:rFonts w:cstheme="minorHAnsi"/>
          <w:sz w:val="24"/>
          <w:szCs w:val="24"/>
        </w:rPr>
        <w:t>,</w:t>
      </w:r>
      <w:r w:rsidR="00FF0758" w:rsidRPr="00AB0A9E">
        <w:rPr>
          <w:rFonts w:cstheme="minorHAnsi"/>
          <w:sz w:val="24"/>
          <w:szCs w:val="24"/>
        </w:rPr>
        <w:t xml:space="preserve"> </w:t>
      </w:r>
      <w:r w:rsidR="00A20BE0" w:rsidRPr="00AB0A9E">
        <w:rPr>
          <w:rFonts w:cstheme="minorHAnsi"/>
          <w:sz w:val="24"/>
          <w:szCs w:val="24"/>
        </w:rPr>
        <w:t xml:space="preserve">95% of </w:t>
      </w:r>
      <w:r w:rsidR="00FF0758" w:rsidRPr="00AB0A9E">
        <w:rPr>
          <w:rFonts w:cstheme="minorHAnsi"/>
          <w:sz w:val="24"/>
          <w:szCs w:val="24"/>
        </w:rPr>
        <w:t xml:space="preserve">appeals from Southern California </w:t>
      </w:r>
      <w:r w:rsidR="00C641D1" w:rsidRPr="00AB0A9E">
        <w:rPr>
          <w:rFonts w:cstheme="minorHAnsi"/>
          <w:sz w:val="24"/>
          <w:szCs w:val="24"/>
        </w:rPr>
        <w:t xml:space="preserve">jurisdictions </w:t>
      </w:r>
      <w:r w:rsidR="00FF0758" w:rsidRPr="00AB0A9E">
        <w:rPr>
          <w:rFonts w:cstheme="minorHAnsi"/>
          <w:sz w:val="24"/>
          <w:szCs w:val="24"/>
        </w:rPr>
        <w:t>were denied based on these guidelines</w:t>
      </w:r>
      <w:bookmarkStart w:id="0" w:name="_Hlk78279197"/>
      <w:r w:rsidR="00FF0758" w:rsidRPr="00AB0A9E">
        <w:rPr>
          <w:rFonts w:cstheme="minorHAnsi"/>
          <w:sz w:val="24"/>
          <w:szCs w:val="24"/>
        </w:rPr>
        <w:t>.</w:t>
      </w:r>
      <w:r w:rsidR="004871B2">
        <w:rPr>
          <w:rFonts w:cstheme="minorHAnsi"/>
          <w:sz w:val="24"/>
          <w:szCs w:val="24"/>
        </w:rPr>
        <w:t xml:space="preserve"> In the prior housing element cycle in 2013, ABAG upheld 3 </w:t>
      </w:r>
      <w:r w:rsidR="006D3399">
        <w:rPr>
          <w:rFonts w:cstheme="minorHAnsi"/>
          <w:sz w:val="24"/>
          <w:szCs w:val="24"/>
        </w:rPr>
        <w:t xml:space="preserve">RHNA appeals </w:t>
      </w:r>
      <w:r w:rsidR="004871B2">
        <w:rPr>
          <w:rFonts w:cstheme="minorHAnsi"/>
          <w:sz w:val="24"/>
          <w:szCs w:val="24"/>
        </w:rPr>
        <w:t xml:space="preserve">affecting only 674 units. </w:t>
      </w:r>
    </w:p>
    <w:bookmarkEnd w:id="0"/>
    <w:p w14:paraId="68A91833" w14:textId="7450297A" w:rsidR="00BB2B7B" w:rsidRPr="00AB0A9E" w:rsidRDefault="00873097" w:rsidP="00AB0A9E">
      <w:pPr>
        <w:spacing w:after="200" w:line="240" w:lineRule="auto"/>
        <w:rPr>
          <w:rFonts w:cstheme="minorHAnsi"/>
          <w:b/>
          <w:bCs/>
          <w:sz w:val="24"/>
          <w:szCs w:val="24"/>
        </w:rPr>
      </w:pPr>
      <w:r w:rsidRPr="00AB0A9E">
        <w:rPr>
          <w:rFonts w:cstheme="minorHAnsi"/>
          <w:b/>
          <w:bCs/>
          <w:sz w:val="24"/>
          <w:szCs w:val="24"/>
        </w:rPr>
        <w:t xml:space="preserve">What does </w:t>
      </w:r>
      <w:r w:rsidR="00D11156" w:rsidRPr="00ED4147">
        <w:rPr>
          <w:rFonts w:cstheme="minorHAnsi"/>
          <w:b/>
          <w:bCs/>
          <w:sz w:val="24"/>
          <w:szCs w:val="24"/>
          <w:highlight w:val="yellow"/>
        </w:rPr>
        <w:t>C</w:t>
      </w:r>
      <w:r w:rsidR="004E4281" w:rsidRPr="00ED4147">
        <w:rPr>
          <w:rFonts w:cstheme="minorHAnsi"/>
          <w:b/>
          <w:bCs/>
          <w:sz w:val="24"/>
          <w:szCs w:val="24"/>
          <w:highlight w:val="yellow"/>
        </w:rPr>
        <w:t xml:space="preserve">ity of </w:t>
      </w:r>
      <w:r w:rsidRPr="00ED4147">
        <w:rPr>
          <w:rFonts w:cstheme="minorHAnsi"/>
          <w:b/>
          <w:bCs/>
          <w:sz w:val="24"/>
          <w:szCs w:val="24"/>
          <w:highlight w:val="yellow"/>
        </w:rPr>
        <w:t>___</w:t>
      </w:r>
      <w:r w:rsidRPr="00AB0A9E">
        <w:rPr>
          <w:rFonts w:cstheme="minorHAnsi"/>
          <w:b/>
          <w:bCs/>
          <w:sz w:val="24"/>
          <w:szCs w:val="24"/>
        </w:rPr>
        <w:t xml:space="preserve"> control in the process? </w:t>
      </w:r>
    </w:p>
    <w:p w14:paraId="72C0B1AE" w14:textId="4EF9CE5C" w:rsidR="00BB2B7B" w:rsidRPr="00AB0A9E" w:rsidRDefault="00873097" w:rsidP="00AB0A9E">
      <w:pPr>
        <w:spacing w:after="200" w:line="240" w:lineRule="auto"/>
        <w:rPr>
          <w:rFonts w:cstheme="minorHAnsi"/>
          <w:sz w:val="24"/>
          <w:szCs w:val="24"/>
        </w:rPr>
      </w:pPr>
      <w:r w:rsidRPr="00AB0A9E">
        <w:rPr>
          <w:rFonts w:cstheme="minorHAnsi"/>
          <w:sz w:val="24"/>
          <w:szCs w:val="24"/>
        </w:rPr>
        <w:lastRenderedPageBreak/>
        <w:t xml:space="preserve">A lot! While the minimum target number of units is final, except for appeals, our community </w:t>
      </w:r>
      <w:r w:rsidR="004871B2">
        <w:rPr>
          <w:rFonts w:cstheme="minorHAnsi"/>
          <w:sz w:val="24"/>
          <w:szCs w:val="24"/>
        </w:rPr>
        <w:t xml:space="preserve">has broad discretion </w:t>
      </w:r>
      <w:r w:rsidRPr="00AB0A9E">
        <w:rPr>
          <w:rFonts w:cstheme="minorHAnsi"/>
          <w:sz w:val="24"/>
          <w:szCs w:val="24"/>
        </w:rPr>
        <w:t xml:space="preserve">where they go and what they look like. Equally importantly </w:t>
      </w:r>
      <w:r w:rsidR="00D80970" w:rsidRPr="00AB0A9E">
        <w:rPr>
          <w:rFonts w:cstheme="minorHAnsi"/>
          <w:sz w:val="24"/>
          <w:szCs w:val="24"/>
        </w:rPr>
        <w:t>the city</w:t>
      </w:r>
      <w:r w:rsidR="004871B2">
        <w:rPr>
          <w:rFonts w:cstheme="minorHAnsi"/>
          <w:sz w:val="24"/>
          <w:szCs w:val="24"/>
        </w:rPr>
        <w:t>/town</w:t>
      </w:r>
      <w:r w:rsidRPr="00AB0A9E">
        <w:rPr>
          <w:rFonts w:cstheme="minorHAnsi"/>
          <w:sz w:val="24"/>
          <w:szCs w:val="24"/>
        </w:rPr>
        <w:t xml:space="preserve"> define</w:t>
      </w:r>
      <w:r w:rsidR="00D80970" w:rsidRPr="00AB0A9E">
        <w:rPr>
          <w:rFonts w:cstheme="minorHAnsi"/>
          <w:sz w:val="24"/>
          <w:szCs w:val="24"/>
        </w:rPr>
        <w:t>s</w:t>
      </w:r>
      <w:r w:rsidRPr="00AB0A9E">
        <w:rPr>
          <w:rFonts w:cstheme="minorHAnsi"/>
          <w:sz w:val="24"/>
          <w:szCs w:val="24"/>
        </w:rPr>
        <w:t xml:space="preserve"> </w:t>
      </w:r>
      <w:r w:rsidR="00D80970" w:rsidRPr="00AB0A9E">
        <w:rPr>
          <w:rFonts w:cstheme="minorHAnsi"/>
          <w:sz w:val="24"/>
          <w:szCs w:val="24"/>
        </w:rPr>
        <w:t>its</w:t>
      </w:r>
      <w:r w:rsidRPr="00AB0A9E">
        <w:rPr>
          <w:rFonts w:cstheme="minorHAnsi"/>
          <w:sz w:val="24"/>
          <w:szCs w:val="24"/>
        </w:rPr>
        <w:t xml:space="preserve"> own housing goals and priorities</w:t>
      </w:r>
      <w:r w:rsidR="004871B2">
        <w:rPr>
          <w:rFonts w:cstheme="minorHAnsi"/>
          <w:sz w:val="24"/>
          <w:szCs w:val="24"/>
        </w:rPr>
        <w:t xml:space="preserve"> as long as they don’t violate any laws</w:t>
      </w:r>
      <w:r w:rsidR="00D80970" w:rsidRPr="00AB0A9E">
        <w:rPr>
          <w:rFonts w:cstheme="minorHAnsi"/>
          <w:sz w:val="24"/>
          <w:szCs w:val="24"/>
        </w:rPr>
        <w:t>.</w:t>
      </w:r>
      <w:r w:rsidRPr="00AB0A9E">
        <w:rPr>
          <w:rFonts w:cstheme="minorHAnsi"/>
          <w:sz w:val="24"/>
          <w:szCs w:val="24"/>
        </w:rPr>
        <w:t xml:space="preserve">  </w:t>
      </w:r>
    </w:p>
    <w:p w14:paraId="3F02E880" w14:textId="77777777" w:rsidR="00AB0A9E" w:rsidRPr="00AB0A9E" w:rsidRDefault="00AB0A9E" w:rsidP="00AB0A9E">
      <w:pPr>
        <w:spacing w:after="200" w:line="240" w:lineRule="auto"/>
        <w:rPr>
          <w:rFonts w:cstheme="minorHAnsi"/>
          <w:b/>
          <w:sz w:val="24"/>
          <w:szCs w:val="24"/>
        </w:rPr>
      </w:pPr>
      <w:r w:rsidRPr="00AB0A9E">
        <w:rPr>
          <w:rFonts w:cstheme="minorHAnsi"/>
          <w:b/>
          <w:sz w:val="24"/>
          <w:szCs w:val="24"/>
        </w:rPr>
        <w:t>When will the housing be built?</w:t>
      </w:r>
    </w:p>
    <w:p w14:paraId="6D9E44CC" w14:textId="77777777" w:rsidR="00AB0A9E" w:rsidRPr="00AB0A9E" w:rsidRDefault="00AB0A9E" w:rsidP="00AB0A9E">
      <w:pPr>
        <w:spacing w:after="200" w:line="240" w:lineRule="auto"/>
        <w:rPr>
          <w:rFonts w:eastAsia="Times New Roman" w:cstheme="minorHAnsi"/>
          <w:sz w:val="24"/>
          <w:szCs w:val="24"/>
        </w:rPr>
      </w:pPr>
      <w:r w:rsidRPr="00AB0A9E">
        <w:rPr>
          <w:rFonts w:eastAsia="Times New Roman" w:cstheme="minorHAnsi"/>
          <w:sz w:val="24"/>
          <w:szCs w:val="24"/>
        </w:rPr>
        <w:t xml:space="preserve">That is up to property owners and the market. </w:t>
      </w:r>
    </w:p>
    <w:p w14:paraId="6BC23F31" w14:textId="58A3600C" w:rsidR="00AB0A9E" w:rsidRPr="00AB0A9E" w:rsidRDefault="00AB0A9E" w:rsidP="00AB0A9E">
      <w:pPr>
        <w:spacing w:after="200" w:line="240" w:lineRule="auto"/>
        <w:rPr>
          <w:rFonts w:cstheme="minorHAnsi"/>
          <w:sz w:val="24"/>
          <w:szCs w:val="24"/>
        </w:rPr>
      </w:pPr>
      <w:r w:rsidRPr="00AB0A9E">
        <w:rPr>
          <w:rFonts w:cstheme="minorHAnsi"/>
          <w:sz w:val="24"/>
          <w:szCs w:val="24"/>
        </w:rPr>
        <w:t xml:space="preserve">A city must ensure that the appropriate zoning is in place to accommodate its RHNA </w:t>
      </w:r>
      <w:r w:rsidR="00D00B98">
        <w:rPr>
          <w:rFonts w:cstheme="minorHAnsi"/>
          <w:sz w:val="24"/>
          <w:szCs w:val="24"/>
        </w:rPr>
        <w:t>allocation</w:t>
      </w:r>
      <w:r w:rsidR="00742C76">
        <w:rPr>
          <w:rFonts w:cstheme="minorHAnsi"/>
          <w:sz w:val="24"/>
          <w:szCs w:val="24"/>
        </w:rPr>
        <w:t>,</w:t>
      </w:r>
      <w:r w:rsidR="00D00B98">
        <w:rPr>
          <w:rFonts w:cstheme="minorHAnsi"/>
          <w:sz w:val="24"/>
          <w:szCs w:val="24"/>
        </w:rPr>
        <w:t xml:space="preserve"> </w:t>
      </w:r>
      <w:r w:rsidRPr="00AB0A9E">
        <w:rPr>
          <w:rFonts w:cstheme="minorHAnsi"/>
          <w:sz w:val="24"/>
          <w:szCs w:val="24"/>
        </w:rPr>
        <w:t xml:space="preserve">but does not control when or how much housing is actually built. New housing construction is based on a variety of socio-economic factors, such as demand, available financing, land and construction costs, etc., and is ultimately driven by private property owners.  </w:t>
      </w:r>
    </w:p>
    <w:p w14:paraId="7C0958FF" w14:textId="0DA82913" w:rsidR="008877A0" w:rsidRPr="00AB0A9E" w:rsidRDefault="008877A0" w:rsidP="00AB0A9E">
      <w:pPr>
        <w:spacing w:after="200" w:line="240" w:lineRule="auto"/>
        <w:rPr>
          <w:rFonts w:cstheme="minorHAnsi"/>
          <w:b/>
          <w:sz w:val="24"/>
          <w:szCs w:val="24"/>
        </w:rPr>
      </w:pPr>
      <w:r w:rsidRPr="00AB0A9E">
        <w:rPr>
          <w:rFonts w:cstheme="minorHAnsi"/>
          <w:b/>
          <w:sz w:val="24"/>
          <w:szCs w:val="24"/>
        </w:rPr>
        <w:t>What does affordable housing mean?</w:t>
      </w:r>
    </w:p>
    <w:p w14:paraId="7316123B" w14:textId="606E7331" w:rsidR="00BB628F" w:rsidRPr="00AB0A9E" w:rsidRDefault="00BB628F" w:rsidP="00AB0A9E">
      <w:pPr>
        <w:spacing w:after="200" w:line="240" w:lineRule="auto"/>
        <w:rPr>
          <w:rFonts w:cstheme="minorHAnsi"/>
          <w:color w:val="323232"/>
          <w:sz w:val="24"/>
          <w:szCs w:val="24"/>
        </w:rPr>
      </w:pPr>
      <w:r w:rsidRPr="00AB0A9E">
        <w:rPr>
          <w:rFonts w:cstheme="minorHAnsi"/>
          <w:sz w:val="24"/>
          <w:szCs w:val="24"/>
        </w:rPr>
        <w:t>Providing opportunities for more affordable housing is important</w:t>
      </w:r>
      <w:r w:rsidR="00130E7E" w:rsidRPr="00AB0A9E">
        <w:rPr>
          <w:rFonts w:cstheme="minorHAnsi"/>
          <w:sz w:val="24"/>
          <w:szCs w:val="24"/>
        </w:rPr>
        <w:t xml:space="preserve">. </w:t>
      </w:r>
      <w:r w:rsidR="00130E7E" w:rsidRPr="00AB0A9E">
        <w:rPr>
          <w:rFonts w:cstheme="minorHAnsi"/>
          <w:color w:val="323232"/>
          <w:sz w:val="24"/>
          <w:szCs w:val="24"/>
        </w:rPr>
        <w:t>P</w:t>
      </w:r>
      <w:r w:rsidRPr="00AB0A9E">
        <w:rPr>
          <w:rFonts w:cstheme="minorHAnsi"/>
          <w:color w:val="323232"/>
          <w:sz w:val="24"/>
          <w:szCs w:val="24"/>
        </w:rPr>
        <w:t xml:space="preserve">urchasing or renting a home is becoming more and more out of reach for too many people. </w:t>
      </w:r>
      <w:r w:rsidR="00796D2D" w:rsidRPr="00AB0A9E">
        <w:rPr>
          <w:rFonts w:cstheme="minorHAnsi"/>
          <w:color w:val="323232"/>
          <w:sz w:val="24"/>
          <w:szCs w:val="24"/>
        </w:rPr>
        <w:t xml:space="preserve">A </w:t>
      </w:r>
      <w:r w:rsidRPr="00AB0A9E">
        <w:rPr>
          <w:rFonts w:cstheme="minorHAnsi"/>
          <w:color w:val="323232"/>
          <w:sz w:val="24"/>
          <w:szCs w:val="24"/>
        </w:rPr>
        <w:t xml:space="preserve">variety of housing </w:t>
      </w:r>
      <w:r w:rsidR="00796D2D" w:rsidRPr="00AB0A9E">
        <w:rPr>
          <w:rFonts w:cstheme="minorHAnsi"/>
          <w:color w:val="323232"/>
          <w:sz w:val="24"/>
          <w:szCs w:val="24"/>
        </w:rPr>
        <w:t>types is essential to</w:t>
      </w:r>
      <w:r w:rsidRPr="00AB0A9E">
        <w:rPr>
          <w:rFonts w:cstheme="minorHAnsi"/>
          <w:color w:val="323232"/>
          <w:sz w:val="24"/>
          <w:szCs w:val="24"/>
        </w:rPr>
        <w:t xml:space="preserve"> provide </w:t>
      </w:r>
      <w:r w:rsidR="00796D2D" w:rsidRPr="00AB0A9E">
        <w:rPr>
          <w:rFonts w:cstheme="minorHAnsi"/>
          <w:color w:val="323232"/>
          <w:sz w:val="24"/>
          <w:szCs w:val="24"/>
        </w:rPr>
        <w:t xml:space="preserve">housing </w:t>
      </w:r>
      <w:r w:rsidRPr="00AB0A9E">
        <w:rPr>
          <w:rFonts w:cstheme="minorHAnsi"/>
          <w:color w:val="323232"/>
          <w:sz w:val="24"/>
          <w:szCs w:val="24"/>
        </w:rPr>
        <w:t xml:space="preserve">options </w:t>
      </w:r>
      <w:r w:rsidR="00796D2D" w:rsidRPr="00AB0A9E">
        <w:rPr>
          <w:rFonts w:cstheme="minorHAnsi"/>
          <w:color w:val="323232"/>
          <w:sz w:val="24"/>
          <w:szCs w:val="24"/>
        </w:rPr>
        <w:t xml:space="preserve">for those young and old, for families with lower and higher incomes, as well as to meet the needs of large and small families and </w:t>
      </w:r>
      <w:r w:rsidR="005453F3" w:rsidRPr="00AB0A9E">
        <w:rPr>
          <w:rFonts w:cstheme="minorHAnsi"/>
          <w:color w:val="323232"/>
          <w:sz w:val="24"/>
          <w:szCs w:val="24"/>
        </w:rPr>
        <w:t>persons</w:t>
      </w:r>
      <w:r w:rsidR="00796D2D" w:rsidRPr="00AB0A9E">
        <w:rPr>
          <w:rFonts w:cstheme="minorHAnsi"/>
          <w:color w:val="323232"/>
          <w:sz w:val="24"/>
          <w:szCs w:val="24"/>
        </w:rPr>
        <w:t xml:space="preserve"> with disabilities. </w:t>
      </w:r>
      <w:r w:rsidR="005453F3" w:rsidRPr="00AB0A9E">
        <w:rPr>
          <w:rFonts w:cstheme="minorHAnsi"/>
          <w:color w:val="323232"/>
          <w:sz w:val="24"/>
          <w:szCs w:val="24"/>
        </w:rPr>
        <w:t>A mix of housing opportunities means</w:t>
      </w:r>
      <w:r w:rsidR="00742C76">
        <w:rPr>
          <w:rFonts w:cstheme="minorHAnsi"/>
          <w:color w:val="323232"/>
          <w:sz w:val="24"/>
          <w:szCs w:val="24"/>
        </w:rPr>
        <w:t>, among other things,</w:t>
      </w:r>
      <w:r w:rsidR="005453F3" w:rsidRPr="00AB0A9E">
        <w:rPr>
          <w:rFonts w:cstheme="minorHAnsi"/>
          <w:color w:val="323232"/>
          <w:sz w:val="24"/>
          <w:szCs w:val="24"/>
        </w:rPr>
        <w:t xml:space="preserve"> that </w:t>
      </w:r>
      <w:r w:rsidR="005453F3" w:rsidRPr="00AB0A9E">
        <w:rPr>
          <w:rStyle w:val="Strong"/>
          <w:rFonts w:cstheme="minorHAnsi"/>
          <w:b w:val="0"/>
          <w:bCs w:val="0"/>
          <w:color w:val="222222"/>
          <w:sz w:val="24"/>
          <w:szCs w:val="24"/>
        </w:rPr>
        <w:t>young adults</w:t>
      </w:r>
      <w:r w:rsidR="00960474" w:rsidRPr="00AB0A9E">
        <w:rPr>
          <w:rStyle w:val="apple-converted-space"/>
          <w:rFonts w:cstheme="minorHAnsi"/>
          <w:color w:val="222222"/>
          <w:sz w:val="24"/>
          <w:szCs w:val="24"/>
        </w:rPr>
        <w:t xml:space="preserve"> </w:t>
      </w:r>
      <w:r w:rsidR="005453F3" w:rsidRPr="00AB0A9E">
        <w:rPr>
          <w:rFonts w:cstheme="minorHAnsi"/>
          <w:color w:val="222222"/>
          <w:sz w:val="24"/>
          <w:szCs w:val="24"/>
        </w:rPr>
        <w:t xml:space="preserve">moving into the housing market can stay in the cities they grew up in; </w:t>
      </w:r>
      <w:r w:rsidR="005453F3" w:rsidRPr="00AB0A9E">
        <w:rPr>
          <w:rStyle w:val="Strong"/>
          <w:rFonts w:cstheme="minorHAnsi"/>
          <w:b w:val="0"/>
          <w:bCs w:val="0"/>
          <w:color w:val="222222"/>
          <w:sz w:val="24"/>
          <w:szCs w:val="24"/>
        </w:rPr>
        <w:t>workers</w:t>
      </w:r>
      <w:r w:rsidR="00960474" w:rsidRPr="00AB0A9E">
        <w:rPr>
          <w:rStyle w:val="apple-converted-space"/>
          <w:rFonts w:cstheme="minorHAnsi"/>
          <w:color w:val="222222"/>
          <w:sz w:val="24"/>
          <w:szCs w:val="24"/>
        </w:rPr>
        <w:t xml:space="preserve"> </w:t>
      </w:r>
      <w:r w:rsidR="005453F3" w:rsidRPr="00AB0A9E">
        <w:rPr>
          <w:rFonts w:cstheme="minorHAnsi"/>
          <w:color w:val="222222"/>
          <w:sz w:val="24"/>
          <w:szCs w:val="24"/>
        </w:rPr>
        <w:t xml:space="preserve">like teachers, firefighters, health care workers and essential workers can find homes near their jobs; </w:t>
      </w:r>
      <w:r w:rsidR="00487CFD" w:rsidRPr="00AB0A9E">
        <w:rPr>
          <w:rFonts w:cstheme="minorHAnsi"/>
          <w:color w:val="222222"/>
          <w:sz w:val="24"/>
          <w:szCs w:val="24"/>
        </w:rPr>
        <w:t xml:space="preserve">and older adults have more options for retirement and can stay in the communities they know. </w:t>
      </w:r>
    </w:p>
    <w:p w14:paraId="7BD5B979" w14:textId="433332E3" w:rsidR="00D80970" w:rsidRPr="00AB0A9E" w:rsidRDefault="006D472C" w:rsidP="00AB0A9E">
      <w:pPr>
        <w:pStyle w:val="NormalWeb"/>
        <w:spacing w:before="0" w:beforeAutospacing="0" w:after="2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tables below define a</w:t>
      </w:r>
      <w:r w:rsidRPr="0036712F">
        <w:rPr>
          <w:rFonts w:asciiTheme="minorHAnsi" w:hAnsiTheme="minorHAnsi" w:cstheme="minorHAnsi"/>
        </w:rPr>
        <w:t xml:space="preserve">ffordability levels by county; these are the State Income Limits for 2021 by county as calculated by the state. </w:t>
      </w:r>
      <w:r w:rsidR="00D80970" w:rsidRPr="00AB0A9E">
        <w:rPr>
          <w:rFonts w:asciiTheme="minorHAnsi" w:hAnsiTheme="minorHAnsi" w:cstheme="minorHAnsi"/>
        </w:rPr>
        <w:t xml:space="preserve"> </w:t>
      </w:r>
    </w:p>
    <w:p w14:paraId="3575E9EA" w14:textId="34475103" w:rsidR="00CE7D46" w:rsidRPr="00AB0A9E" w:rsidRDefault="002964A1" w:rsidP="00D00B9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0A9E">
        <w:rPr>
          <w:rFonts w:cstheme="minorHAnsi"/>
          <w:b/>
          <w:bCs/>
          <w:sz w:val="24"/>
          <w:szCs w:val="24"/>
        </w:rPr>
        <w:t xml:space="preserve">Income Limits: Alameda County </w:t>
      </w:r>
      <w:r w:rsidR="00AA4D56" w:rsidRPr="00AB0A9E">
        <w:rPr>
          <w:rFonts w:cstheme="minorHAnsi"/>
          <w:b/>
          <w:bCs/>
          <w:sz w:val="24"/>
          <w:szCs w:val="24"/>
        </w:rPr>
        <w:t>and Contra</w:t>
      </w:r>
      <w:r w:rsidRPr="00AB0A9E">
        <w:rPr>
          <w:rFonts w:cstheme="minorHAnsi"/>
          <w:b/>
          <w:bCs/>
          <w:sz w:val="24"/>
          <w:szCs w:val="24"/>
        </w:rPr>
        <w:t xml:space="preserve"> Costa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1396"/>
        <w:gridCol w:w="1890"/>
        <w:gridCol w:w="1980"/>
        <w:gridCol w:w="1890"/>
      </w:tblGrid>
      <w:tr w:rsidR="002964A1" w:rsidRPr="00AB0A9E" w14:paraId="5F0CC6B5" w14:textId="77777777" w:rsidTr="002964A1">
        <w:tc>
          <w:tcPr>
            <w:tcW w:w="2469" w:type="dxa"/>
          </w:tcPr>
          <w:p w14:paraId="7C038689" w14:textId="04C35E30" w:rsidR="002964A1" w:rsidRPr="006D472C" w:rsidRDefault="002964A1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>Income Category</w:t>
            </w:r>
          </w:p>
        </w:tc>
        <w:tc>
          <w:tcPr>
            <w:tcW w:w="1396" w:type="dxa"/>
          </w:tcPr>
          <w:p w14:paraId="2E4D3A2B" w14:textId="574DBC7C" w:rsidR="002964A1" w:rsidRPr="006D472C" w:rsidRDefault="002964A1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>Percent of median income</w:t>
            </w:r>
          </w:p>
        </w:tc>
        <w:tc>
          <w:tcPr>
            <w:tcW w:w="1890" w:type="dxa"/>
          </w:tcPr>
          <w:p w14:paraId="76763FE0" w14:textId="04B2278A" w:rsidR="002964A1" w:rsidRPr="006D472C" w:rsidRDefault="002964A1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(1-person household)</w:t>
            </w:r>
          </w:p>
        </w:tc>
        <w:tc>
          <w:tcPr>
            <w:tcW w:w="1980" w:type="dxa"/>
          </w:tcPr>
          <w:p w14:paraId="63BD5BF6" w14:textId="04922A87" w:rsidR="002964A1" w:rsidRPr="006D472C" w:rsidRDefault="002964A1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(3-person household)</w:t>
            </w:r>
          </w:p>
        </w:tc>
        <w:tc>
          <w:tcPr>
            <w:tcW w:w="1890" w:type="dxa"/>
          </w:tcPr>
          <w:p w14:paraId="727DCC1F" w14:textId="6BCD6167" w:rsidR="002964A1" w:rsidRPr="006D472C" w:rsidRDefault="002964A1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(4-person household)</w:t>
            </w:r>
          </w:p>
        </w:tc>
      </w:tr>
      <w:tr w:rsidR="00AA4D56" w:rsidRPr="00AB0A9E" w14:paraId="42B796FE" w14:textId="77777777" w:rsidTr="00240653">
        <w:tc>
          <w:tcPr>
            <w:tcW w:w="2469" w:type="dxa"/>
            <w:vAlign w:val="center"/>
          </w:tcPr>
          <w:p w14:paraId="082FFAEE" w14:textId="030D9F7A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Extremely low-income</w:t>
            </w:r>
          </w:p>
        </w:tc>
        <w:tc>
          <w:tcPr>
            <w:tcW w:w="1396" w:type="dxa"/>
            <w:vAlign w:val="center"/>
          </w:tcPr>
          <w:p w14:paraId="33BA2287" w14:textId="3CABB162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30%</w:t>
            </w:r>
          </w:p>
        </w:tc>
        <w:tc>
          <w:tcPr>
            <w:tcW w:w="1890" w:type="dxa"/>
            <w:vAlign w:val="bottom"/>
          </w:tcPr>
          <w:p w14:paraId="3510A1F6" w14:textId="66E5B507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28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800</w:t>
            </w:r>
          </w:p>
        </w:tc>
        <w:tc>
          <w:tcPr>
            <w:tcW w:w="1980" w:type="dxa"/>
            <w:vAlign w:val="bottom"/>
          </w:tcPr>
          <w:p w14:paraId="06CB5303" w14:textId="1B4E8806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37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000</w:t>
            </w:r>
          </w:p>
        </w:tc>
        <w:tc>
          <w:tcPr>
            <w:tcW w:w="1890" w:type="dxa"/>
            <w:vAlign w:val="bottom"/>
          </w:tcPr>
          <w:p w14:paraId="413C55E2" w14:textId="2EC50B79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41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100</w:t>
            </w:r>
          </w:p>
        </w:tc>
      </w:tr>
      <w:tr w:rsidR="00AA4D56" w:rsidRPr="00AB0A9E" w14:paraId="4010BC8D" w14:textId="77777777" w:rsidTr="00240653">
        <w:tc>
          <w:tcPr>
            <w:tcW w:w="2469" w:type="dxa"/>
            <w:vAlign w:val="center"/>
          </w:tcPr>
          <w:p w14:paraId="18286A96" w14:textId="7824CDDB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Very low-income</w:t>
            </w:r>
          </w:p>
        </w:tc>
        <w:tc>
          <w:tcPr>
            <w:tcW w:w="1396" w:type="dxa"/>
            <w:vAlign w:val="center"/>
          </w:tcPr>
          <w:p w14:paraId="618DCDF0" w14:textId="36FA54CD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50%</w:t>
            </w:r>
          </w:p>
        </w:tc>
        <w:tc>
          <w:tcPr>
            <w:tcW w:w="1890" w:type="dxa"/>
            <w:vAlign w:val="bottom"/>
          </w:tcPr>
          <w:p w14:paraId="6C8A4ED0" w14:textId="72D612F2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47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950</w:t>
            </w:r>
          </w:p>
        </w:tc>
        <w:tc>
          <w:tcPr>
            <w:tcW w:w="1980" w:type="dxa"/>
            <w:vAlign w:val="bottom"/>
          </w:tcPr>
          <w:p w14:paraId="18225B0A" w14:textId="69F94810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61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650</w:t>
            </w:r>
          </w:p>
        </w:tc>
        <w:tc>
          <w:tcPr>
            <w:tcW w:w="1890" w:type="dxa"/>
            <w:vAlign w:val="bottom"/>
          </w:tcPr>
          <w:p w14:paraId="790B42DB" w14:textId="5855EAC3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68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500</w:t>
            </w:r>
          </w:p>
        </w:tc>
      </w:tr>
      <w:tr w:rsidR="00AA4D56" w:rsidRPr="00AB0A9E" w14:paraId="1B019E66" w14:textId="77777777" w:rsidTr="00240653">
        <w:tc>
          <w:tcPr>
            <w:tcW w:w="2469" w:type="dxa"/>
            <w:vAlign w:val="center"/>
          </w:tcPr>
          <w:p w14:paraId="5D1E43C3" w14:textId="51AC3C5D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Low income</w:t>
            </w:r>
          </w:p>
        </w:tc>
        <w:tc>
          <w:tcPr>
            <w:tcW w:w="1396" w:type="dxa"/>
            <w:vAlign w:val="center"/>
          </w:tcPr>
          <w:p w14:paraId="6D1A882C" w14:textId="57949CE4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80%</w:t>
            </w:r>
          </w:p>
        </w:tc>
        <w:tc>
          <w:tcPr>
            <w:tcW w:w="1890" w:type="dxa"/>
            <w:vAlign w:val="bottom"/>
          </w:tcPr>
          <w:p w14:paraId="0C218C45" w14:textId="19A1CC2C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76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750</w:t>
            </w:r>
          </w:p>
        </w:tc>
        <w:tc>
          <w:tcPr>
            <w:tcW w:w="1980" w:type="dxa"/>
            <w:vAlign w:val="bottom"/>
          </w:tcPr>
          <w:p w14:paraId="2DE6F540" w14:textId="4E27DA94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98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650</w:t>
            </w:r>
          </w:p>
        </w:tc>
        <w:tc>
          <w:tcPr>
            <w:tcW w:w="1890" w:type="dxa"/>
            <w:vAlign w:val="bottom"/>
          </w:tcPr>
          <w:p w14:paraId="105B5612" w14:textId="731C1174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109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600</w:t>
            </w:r>
          </w:p>
        </w:tc>
      </w:tr>
      <w:tr w:rsidR="00AA4D56" w:rsidRPr="00AB0A9E" w14:paraId="5B1622B9" w14:textId="77777777" w:rsidTr="00240653">
        <w:tc>
          <w:tcPr>
            <w:tcW w:w="2469" w:type="dxa"/>
            <w:vAlign w:val="center"/>
          </w:tcPr>
          <w:p w14:paraId="282668D4" w14:textId="2DD827D6" w:rsidR="00AA4D56" w:rsidRPr="006D472C" w:rsidRDefault="00AA4D56" w:rsidP="00AB0A9E">
            <w:pPr>
              <w:spacing w:after="120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  <w:color w:val="000000"/>
              </w:rPr>
              <w:t>Median income</w:t>
            </w:r>
          </w:p>
        </w:tc>
        <w:tc>
          <w:tcPr>
            <w:tcW w:w="1396" w:type="dxa"/>
            <w:vAlign w:val="center"/>
          </w:tcPr>
          <w:p w14:paraId="64904236" w14:textId="587D1455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  <w:color w:val="000000"/>
              </w:rPr>
              <w:t>100%</w:t>
            </w:r>
          </w:p>
        </w:tc>
        <w:tc>
          <w:tcPr>
            <w:tcW w:w="1890" w:type="dxa"/>
            <w:vAlign w:val="bottom"/>
          </w:tcPr>
          <w:p w14:paraId="1E0544C8" w14:textId="6F226A01" w:rsidR="00AA4D56" w:rsidRPr="006D472C" w:rsidRDefault="007026E9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87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900</w:t>
            </w:r>
          </w:p>
        </w:tc>
        <w:tc>
          <w:tcPr>
            <w:tcW w:w="1980" w:type="dxa"/>
            <w:vAlign w:val="bottom"/>
          </w:tcPr>
          <w:p w14:paraId="0D491079" w14:textId="211217CD" w:rsidR="00AA4D56" w:rsidRPr="006D472C" w:rsidRDefault="007026E9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113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050</w:t>
            </w:r>
          </w:p>
        </w:tc>
        <w:tc>
          <w:tcPr>
            <w:tcW w:w="1890" w:type="dxa"/>
            <w:vAlign w:val="bottom"/>
          </w:tcPr>
          <w:p w14:paraId="4709B94A" w14:textId="16D68E72" w:rsidR="00AA4D56" w:rsidRPr="006D472C" w:rsidRDefault="007026E9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125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600</w:t>
            </w:r>
          </w:p>
        </w:tc>
      </w:tr>
      <w:tr w:rsidR="00AA4D56" w:rsidRPr="00AB0A9E" w14:paraId="2F9AB2E9" w14:textId="77777777" w:rsidTr="00240653">
        <w:tc>
          <w:tcPr>
            <w:tcW w:w="2469" w:type="dxa"/>
            <w:vAlign w:val="center"/>
          </w:tcPr>
          <w:p w14:paraId="7B3F010C" w14:textId="580F317F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Moderate income</w:t>
            </w:r>
          </w:p>
        </w:tc>
        <w:tc>
          <w:tcPr>
            <w:tcW w:w="1396" w:type="dxa"/>
            <w:vAlign w:val="center"/>
          </w:tcPr>
          <w:p w14:paraId="3B183480" w14:textId="59EAAA51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120%</w:t>
            </w:r>
          </w:p>
        </w:tc>
        <w:tc>
          <w:tcPr>
            <w:tcW w:w="1890" w:type="dxa"/>
            <w:vAlign w:val="bottom"/>
          </w:tcPr>
          <w:p w14:paraId="01A17C52" w14:textId="1649A725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105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500</w:t>
            </w:r>
          </w:p>
        </w:tc>
        <w:tc>
          <w:tcPr>
            <w:tcW w:w="1980" w:type="dxa"/>
            <w:vAlign w:val="bottom"/>
          </w:tcPr>
          <w:p w14:paraId="2AA2F82E" w14:textId="229DF6CF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135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650</w:t>
            </w:r>
          </w:p>
        </w:tc>
        <w:tc>
          <w:tcPr>
            <w:tcW w:w="1890" w:type="dxa"/>
            <w:vAlign w:val="bottom"/>
          </w:tcPr>
          <w:p w14:paraId="4917C2D8" w14:textId="40237645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150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700</w:t>
            </w:r>
          </w:p>
        </w:tc>
      </w:tr>
    </w:tbl>
    <w:p w14:paraId="533327A5" w14:textId="77777777" w:rsidR="006D472C" w:rsidRPr="006D472C" w:rsidRDefault="006D472C" w:rsidP="006D472C">
      <w:pPr>
        <w:spacing w:after="200" w:line="240" w:lineRule="auto"/>
        <w:rPr>
          <w:rFonts w:cstheme="minorHAnsi"/>
          <w:sz w:val="20"/>
          <w:szCs w:val="20"/>
        </w:rPr>
      </w:pPr>
      <w:r w:rsidRPr="006D472C">
        <w:rPr>
          <w:rFonts w:cstheme="minorHAnsi"/>
          <w:sz w:val="20"/>
          <w:szCs w:val="20"/>
        </w:rPr>
        <w:t>Source</w:t>
      </w:r>
      <w:hyperlink r:id="rId13" w:history="1">
        <w:r w:rsidRPr="006D472C">
          <w:rPr>
            <w:rStyle w:val="Hyperlink"/>
            <w:rFonts w:cstheme="minorHAnsi"/>
            <w:sz w:val="20"/>
            <w:szCs w:val="20"/>
          </w:rPr>
          <w:t>: https://www.hcd.ca.gov/grants-funding/income-limits/state-and-federal-income-limits/docs/income-limits-2021.pdf</w:t>
        </w:r>
      </w:hyperlink>
    </w:p>
    <w:p w14:paraId="786F60D0" w14:textId="7EF17A09" w:rsidR="002964A1" w:rsidRDefault="002964A1" w:rsidP="00AB0A9E">
      <w:pPr>
        <w:spacing w:after="200" w:line="240" w:lineRule="auto"/>
        <w:rPr>
          <w:rFonts w:cstheme="minorHAnsi"/>
          <w:sz w:val="24"/>
          <w:szCs w:val="24"/>
        </w:rPr>
      </w:pPr>
    </w:p>
    <w:p w14:paraId="2AB7D003" w14:textId="59F16F61" w:rsidR="00AA4D56" w:rsidRPr="00AB0A9E" w:rsidRDefault="00AA4D56" w:rsidP="00D00B9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0A9E">
        <w:rPr>
          <w:rFonts w:cstheme="minorHAnsi"/>
          <w:b/>
          <w:bCs/>
          <w:sz w:val="24"/>
          <w:szCs w:val="24"/>
        </w:rPr>
        <w:t>Income Limits: Marin, San Francisco and San Mateo Counties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1396"/>
        <w:gridCol w:w="1890"/>
        <w:gridCol w:w="1980"/>
        <w:gridCol w:w="1890"/>
      </w:tblGrid>
      <w:tr w:rsidR="00AA4D56" w:rsidRPr="00AB0A9E" w14:paraId="48ACB6C0" w14:textId="77777777" w:rsidTr="0047218F">
        <w:tc>
          <w:tcPr>
            <w:tcW w:w="2469" w:type="dxa"/>
          </w:tcPr>
          <w:p w14:paraId="68B3DE33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>Income Category</w:t>
            </w:r>
          </w:p>
        </w:tc>
        <w:tc>
          <w:tcPr>
            <w:tcW w:w="1396" w:type="dxa"/>
          </w:tcPr>
          <w:p w14:paraId="576045EF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>Percent of median income</w:t>
            </w:r>
          </w:p>
        </w:tc>
        <w:tc>
          <w:tcPr>
            <w:tcW w:w="1890" w:type="dxa"/>
          </w:tcPr>
          <w:p w14:paraId="2367C1E2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(1-person household)</w:t>
            </w:r>
          </w:p>
        </w:tc>
        <w:tc>
          <w:tcPr>
            <w:tcW w:w="1980" w:type="dxa"/>
          </w:tcPr>
          <w:p w14:paraId="5E85CFB2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(3-person household)</w:t>
            </w:r>
          </w:p>
        </w:tc>
        <w:tc>
          <w:tcPr>
            <w:tcW w:w="1890" w:type="dxa"/>
          </w:tcPr>
          <w:p w14:paraId="4E7DBC46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(4-person household)</w:t>
            </w:r>
          </w:p>
        </w:tc>
      </w:tr>
      <w:tr w:rsidR="00AB0A9E" w:rsidRPr="00AB0A9E" w14:paraId="5CB5AA70" w14:textId="77777777" w:rsidTr="0047218F">
        <w:tc>
          <w:tcPr>
            <w:tcW w:w="2469" w:type="dxa"/>
            <w:vAlign w:val="center"/>
          </w:tcPr>
          <w:p w14:paraId="24EBBE1E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Extremely low-income</w:t>
            </w:r>
          </w:p>
        </w:tc>
        <w:tc>
          <w:tcPr>
            <w:tcW w:w="1396" w:type="dxa"/>
            <w:vAlign w:val="center"/>
          </w:tcPr>
          <w:p w14:paraId="02E93AA0" w14:textId="0A1F8E9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30%</w:t>
            </w:r>
          </w:p>
        </w:tc>
        <w:tc>
          <w:tcPr>
            <w:tcW w:w="1890" w:type="dxa"/>
            <w:vAlign w:val="bottom"/>
          </w:tcPr>
          <w:p w14:paraId="487AC8AB" w14:textId="2B7CFA27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38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400</w:t>
            </w:r>
          </w:p>
        </w:tc>
        <w:tc>
          <w:tcPr>
            <w:tcW w:w="1980" w:type="dxa"/>
            <w:vAlign w:val="bottom"/>
          </w:tcPr>
          <w:p w14:paraId="297118F9" w14:textId="6570AAE0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49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350</w:t>
            </w:r>
          </w:p>
        </w:tc>
        <w:tc>
          <w:tcPr>
            <w:tcW w:w="1890" w:type="dxa"/>
            <w:vAlign w:val="bottom"/>
          </w:tcPr>
          <w:p w14:paraId="72D7D28F" w14:textId="2E5840FF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54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800</w:t>
            </w:r>
          </w:p>
        </w:tc>
      </w:tr>
      <w:tr w:rsidR="00AB0A9E" w:rsidRPr="00AB0A9E" w14:paraId="239F57DE" w14:textId="77777777" w:rsidTr="0047218F">
        <w:tc>
          <w:tcPr>
            <w:tcW w:w="2469" w:type="dxa"/>
            <w:vAlign w:val="center"/>
          </w:tcPr>
          <w:p w14:paraId="40587982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Very low-income</w:t>
            </w:r>
          </w:p>
        </w:tc>
        <w:tc>
          <w:tcPr>
            <w:tcW w:w="1396" w:type="dxa"/>
            <w:vAlign w:val="center"/>
          </w:tcPr>
          <w:p w14:paraId="1D3A3C82" w14:textId="7A21E75C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50%</w:t>
            </w:r>
          </w:p>
        </w:tc>
        <w:tc>
          <w:tcPr>
            <w:tcW w:w="1890" w:type="dxa"/>
            <w:vAlign w:val="bottom"/>
          </w:tcPr>
          <w:p w14:paraId="5E2FF741" w14:textId="74956FC6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63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950</w:t>
            </w:r>
          </w:p>
        </w:tc>
        <w:tc>
          <w:tcPr>
            <w:tcW w:w="1980" w:type="dxa"/>
            <w:vAlign w:val="bottom"/>
          </w:tcPr>
          <w:p w14:paraId="712D6302" w14:textId="3D00DED0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250</w:t>
            </w:r>
          </w:p>
        </w:tc>
        <w:tc>
          <w:tcPr>
            <w:tcW w:w="1890" w:type="dxa"/>
            <w:vAlign w:val="bottom"/>
          </w:tcPr>
          <w:p w14:paraId="753C413B" w14:textId="0AC24684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350</w:t>
            </w:r>
          </w:p>
        </w:tc>
      </w:tr>
      <w:tr w:rsidR="00AB0A9E" w:rsidRPr="00AB0A9E" w14:paraId="5B1EE3C2" w14:textId="77777777" w:rsidTr="0047218F">
        <w:tc>
          <w:tcPr>
            <w:tcW w:w="2469" w:type="dxa"/>
            <w:vAlign w:val="center"/>
          </w:tcPr>
          <w:p w14:paraId="32FA94A0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Low income</w:t>
            </w:r>
          </w:p>
        </w:tc>
        <w:tc>
          <w:tcPr>
            <w:tcW w:w="1396" w:type="dxa"/>
            <w:vAlign w:val="center"/>
          </w:tcPr>
          <w:p w14:paraId="522481B6" w14:textId="4D5314F8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80%</w:t>
            </w:r>
          </w:p>
        </w:tc>
        <w:tc>
          <w:tcPr>
            <w:tcW w:w="1890" w:type="dxa"/>
            <w:vAlign w:val="bottom"/>
          </w:tcPr>
          <w:p w14:paraId="5D90F6D0" w14:textId="23EDF552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102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450</w:t>
            </w:r>
          </w:p>
        </w:tc>
        <w:tc>
          <w:tcPr>
            <w:tcW w:w="1980" w:type="dxa"/>
            <w:vAlign w:val="bottom"/>
          </w:tcPr>
          <w:p w14:paraId="1D595F48" w14:textId="4362B685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131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750</w:t>
            </w:r>
          </w:p>
        </w:tc>
        <w:tc>
          <w:tcPr>
            <w:tcW w:w="1890" w:type="dxa"/>
            <w:vAlign w:val="bottom"/>
          </w:tcPr>
          <w:p w14:paraId="08A91F35" w14:textId="5A17DB31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146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350</w:t>
            </w:r>
          </w:p>
        </w:tc>
      </w:tr>
      <w:tr w:rsidR="00AB0A9E" w:rsidRPr="00AB0A9E" w14:paraId="1AFAD166" w14:textId="77777777" w:rsidTr="0047218F">
        <w:tc>
          <w:tcPr>
            <w:tcW w:w="2469" w:type="dxa"/>
            <w:vAlign w:val="center"/>
          </w:tcPr>
          <w:p w14:paraId="4B146976" w14:textId="77777777" w:rsidR="00AA4D56" w:rsidRPr="006D472C" w:rsidRDefault="00AA4D56" w:rsidP="00AB0A9E">
            <w:pPr>
              <w:spacing w:after="120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  <w:color w:val="000000"/>
              </w:rPr>
              <w:lastRenderedPageBreak/>
              <w:t>Median income</w:t>
            </w:r>
          </w:p>
        </w:tc>
        <w:tc>
          <w:tcPr>
            <w:tcW w:w="1396" w:type="dxa"/>
            <w:vAlign w:val="center"/>
          </w:tcPr>
          <w:p w14:paraId="691EA17E" w14:textId="68F5CC65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  <w:color w:val="000000"/>
              </w:rPr>
              <w:t>100%</w:t>
            </w:r>
          </w:p>
        </w:tc>
        <w:tc>
          <w:tcPr>
            <w:tcW w:w="1890" w:type="dxa"/>
            <w:vAlign w:val="bottom"/>
          </w:tcPr>
          <w:p w14:paraId="57263F81" w14:textId="7AE8FDF6" w:rsidR="00AA4D56" w:rsidRPr="006D472C" w:rsidRDefault="007026E9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104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700</w:t>
            </w:r>
          </w:p>
        </w:tc>
        <w:tc>
          <w:tcPr>
            <w:tcW w:w="1980" w:type="dxa"/>
            <w:vAlign w:val="bottom"/>
          </w:tcPr>
          <w:p w14:paraId="715F24CE" w14:textId="783FD1DB" w:rsidR="00AA4D56" w:rsidRPr="006D472C" w:rsidRDefault="007026E9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134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650</w:t>
            </w:r>
          </w:p>
        </w:tc>
        <w:tc>
          <w:tcPr>
            <w:tcW w:w="1890" w:type="dxa"/>
            <w:vAlign w:val="bottom"/>
          </w:tcPr>
          <w:p w14:paraId="6A13F715" w14:textId="6040CB34" w:rsidR="00AA4D56" w:rsidRPr="006D472C" w:rsidRDefault="007026E9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149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600</w:t>
            </w:r>
          </w:p>
        </w:tc>
      </w:tr>
      <w:tr w:rsidR="00AB0A9E" w:rsidRPr="00AB0A9E" w14:paraId="24F678B2" w14:textId="77777777" w:rsidTr="0047218F">
        <w:tc>
          <w:tcPr>
            <w:tcW w:w="2469" w:type="dxa"/>
            <w:vAlign w:val="center"/>
          </w:tcPr>
          <w:p w14:paraId="233FF7B2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Moderate income</w:t>
            </w:r>
          </w:p>
        </w:tc>
        <w:tc>
          <w:tcPr>
            <w:tcW w:w="1396" w:type="dxa"/>
            <w:vAlign w:val="center"/>
          </w:tcPr>
          <w:p w14:paraId="680E1FA2" w14:textId="7BB7140D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120%</w:t>
            </w:r>
          </w:p>
        </w:tc>
        <w:tc>
          <w:tcPr>
            <w:tcW w:w="1890" w:type="dxa"/>
            <w:vAlign w:val="bottom"/>
          </w:tcPr>
          <w:p w14:paraId="00E07DFF" w14:textId="5763C8E4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125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650</w:t>
            </w:r>
          </w:p>
        </w:tc>
        <w:tc>
          <w:tcPr>
            <w:tcW w:w="1980" w:type="dxa"/>
            <w:vAlign w:val="bottom"/>
          </w:tcPr>
          <w:p w14:paraId="3F4E4194" w14:textId="2A1EBCDA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161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550</w:t>
            </w:r>
          </w:p>
        </w:tc>
        <w:tc>
          <w:tcPr>
            <w:tcW w:w="1890" w:type="dxa"/>
            <w:vAlign w:val="bottom"/>
          </w:tcPr>
          <w:p w14:paraId="3836AF79" w14:textId="30C07304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179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500</w:t>
            </w:r>
          </w:p>
        </w:tc>
      </w:tr>
    </w:tbl>
    <w:p w14:paraId="5EF0B3EB" w14:textId="77777777" w:rsidR="006D472C" w:rsidRPr="006D472C" w:rsidRDefault="006D472C" w:rsidP="006D472C">
      <w:pPr>
        <w:spacing w:after="200" w:line="240" w:lineRule="auto"/>
        <w:rPr>
          <w:rFonts w:cstheme="minorHAnsi"/>
          <w:sz w:val="20"/>
          <w:szCs w:val="20"/>
        </w:rPr>
      </w:pPr>
      <w:r w:rsidRPr="006D472C">
        <w:rPr>
          <w:rFonts w:cstheme="minorHAnsi"/>
          <w:sz w:val="20"/>
          <w:szCs w:val="20"/>
        </w:rPr>
        <w:t>Source</w:t>
      </w:r>
      <w:hyperlink r:id="rId14" w:history="1">
        <w:r w:rsidRPr="006D472C">
          <w:rPr>
            <w:rStyle w:val="Hyperlink"/>
            <w:rFonts w:cstheme="minorHAnsi"/>
            <w:sz w:val="20"/>
            <w:szCs w:val="20"/>
          </w:rPr>
          <w:t>: https://www.hcd.ca.gov/grants-funding/income-limits/state-and-federal-income-limits/docs/income-limits-2021.pdf</w:t>
        </w:r>
      </w:hyperlink>
    </w:p>
    <w:p w14:paraId="1EBB3F77" w14:textId="107E6AE3" w:rsidR="00AA4D56" w:rsidRPr="00AB0A9E" w:rsidRDefault="00AA4D56" w:rsidP="00AB0A9E">
      <w:pPr>
        <w:spacing w:after="200" w:line="240" w:lineRule="auto"/>
        <w:rPr>
          <w:rFonts w:cstheme="minorHAnsi"/>
          <w:sz w:val="24"/>
          <w:szCs w:val="24"/>
        </w:rPr>
      </w:pPr>
    </w:p>
    <w:p w14:paraId="2EA5B75E" w14:textId="454D7D25" w:rsidR="00AA4D56" w:rsidRPr="00AB0A9E" w:rsidRDefault="00AA4D56" w:rsidP="00D00B9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0A9E">
        <w:rPr>
          <w:rFonts w:cstheme="minorHAnsi"/>
          <w:b/>
          <w:bCs/>
          <w:sz w:val="24"/>
          <w:szCs w:val="24"/>
        </w:rPr>
        <w:t>Income Limits: Napa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1396"/>
        <w:gridCol w:w="1890"/>
        <w:gridCol w:w="1980"/>
        <w:gridCol w:w="1890"/>
      </w:tblGrid>
      <w:tr w:rsidR="00AA4D56" w:rsidRPr="00AB0A9E" w14:paraId="11EAC1F9" w14:textId="77777777" w:rsidTr="0047218F">
        <w:tc>
          <w:tcPr>
            <w:tcW w:w="2469" w:type="dxa"/>
          </w:tcPr>
          <w:p w14:paraId="26784FCA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>Income Category</w:t>
            </w:r>
          </w:p>
        </w:tc>
        <w:tc>
          <w:tcPr>
            <w:tcW w:w="1396" w:type="dxa"/>
          </w:tcPr>
          <w:p w14:paraId="7099CC86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>Percent of median income</w:t>
            </w:r>
          </w:p>
        </w:tc>
        <w:tc>
          <w:tcPr>
            <w:tcW w:w="1890" w:type="dxa"/>
          </w:tcPr>
          <w:p w14:paraId="57483035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(1-person household)</w:t>
            </w:r>
          </w:p>
        </w:tc>
        <w:tc>
          <w:tcPr>
            <w:tcW w:w="1980" w:type="dxa"/>
          </w:tcPr>
          <w:p w14:paraId="076E4117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(3-person household)</w:t>
            </w:r>
          </w:p>
        </w:tc>
        <w:tc>
          <w:tcPr>
            <w:tcW w:w="1890" w:type="dxa"/>
          </w:tcPr>
          <w:p w14:paraId="2BC3CF0C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(4-person household)</w:t>
            </w:r>
          </w:p>
        </w:tc>
      </w:tr>
      <w:tr w:rsidR="00AB0A9E" w:rsidRPr="00AB0A9E" w14:paraId="2FE64E8C" w14:textId="77777777" w:rsidTr="0047218F">
        <w:tc>
          <w:tcPr>
            <w:tcW w:w="2469" w:type="dxa"/>
            <w:vAlign w:val="center"/>
          </w:tcPr>
          <w:p w14:paraId="7620334A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Extremely low-income</w:t>
            </w:r>
          </w:p>
        </w:tc>
        <w:tc>
          <w:tcPr>
            <w:tcW w:w="1396" w:type="dxa"/>
            <w:vAlign w:val="center"/>
          </w:tcPr>
          <w:p w14:paraId="4C5C82D0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30%</w:t>
            </w:r>
          </w:p>
        </w:tc>
        <w:tc>
          <w:tcPr>
            <w:tcW w:w="1890" w:type="dxa"/>
            <w:vAlign w:val="bottom"/>
          </w:tcPr>
          <w:p w14:paraId="141332D1" w14:textId="62093439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23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900</w:t>
            </w:r>
          </w:p>
        </w:tc>
        <w:tc>
          <w:tcPr>
            <w:tcW w:w="1980" w:type="dxa"/>
            <w:vAlign w:val="bottom"/>
          </w:tcPr>
          <w:p w14:paraId="3F9139D1" w14:textId="286B4F88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30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700</w:t>
            </w:r>
          </w:p>
        </w:tc>
        <w:tc>
          <w:tcPr>
            <w:tcW w:w="1890" w:type="dxa"/>
            <w:vAlign w:val="bottom"/>
          </w:tcPr>
          <w:p w14:paraId="4163E21D" w14:textId="37D6D7E8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100</w:t>
            </w:r>
          </w:p>
        </w:tc>
      </w:tr>
      <w:tr w:rsidR="00AB0A9E" w:rsidRPr="00AB0A9E" w14:paraId="1698421A" w14:textId="77777777" w:rsidTr="0047218F">
        <w:tc>
          <w:tcPr>
            <w:tcW w:w="2469" w:type="dxa"/>
            <w:vAlign w:val="center"/>
          </w:tcPr>
          <w:p w14:paraId="31602CCC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Very low-income</w:t>
            </w:r>
          </w:p>
        </w:tc>
        <w:tc>
          <w:tcPr>
            <w:tcW w:w="1396" w:type="dxa"/>
            <w:vAlign w:val="center"/>
          </w:tcPr>
          <w:p w14:paraId="51A36314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50%</w:t>
            </w:r>
          </w:p>
        </w:tc>
        <w:tc>
          <w:tcPr>
            <w:tcW w:w="1890" w:type="dxa"/>
            <w:vAlign w:val="bottom"/>
          </w:tcPr>
          <w:p w14:paraId="041CCF5C" w14:textId="16254B65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39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800</w:t>
            </w:r>
          </w:p>
        </w:tc>
        <w:tc>
          <w:tcPr>
            <w:tcW w:w="1980" w:type="dxa"/>
            <w:vAlign w:val="bottom"/>
          </w:tcPr>
          <w:p w14:paraId="604BAEC6" w14:textId="094EA061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51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890" w:type="dxa"/>
            <w:vAlign w:val="bottom"/>
          </w:tcPr>
          <w:p w14:paraId="527CBE2A" w14:textId="4825C31F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56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850</w:t>
            </w:r>
          </w:p>
        </w:tc>
      </w:tr>
      <w:tr w:rsidR="00AB0A9E" w:rsidRPr="00AB0A9E" w14:paraId="6D92FD1A" w14:textId="77777777" w:rsidTr="0047218F">
        <w:tc>
          <w:tcPr>
            <w:tcW w:w="2469" w:type="dxa"/>
            <w:vAlign w:val="center"/>
          </w:tcPr>
          <w:p w14:paraId="6A2CA80C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Low income</w:t>
            </w:r>
          </w:p>
        </w:tc>
        <w:tc>
          <w:tcPr>
            <w:tcW w:w="1396" w:type="dxa"/>
            <w:vAlign w:val="center"/>
          </w:tcPr>
          <w:p w14:paraId="4E37D4F0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80%</w:t>
            </w:r>
          </w:p>
        </w:tc>
        <w:tc>
          <w:tcPr>
            <w:tcW w:w="1890" w:type="dxa"/>
            <w:vAlign w:val="bottom"/>
          </w:tcPr>
          <w:p w14:paraId="4EF0C956" w14:textId="2FCA2F9E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63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050</w:t>
            </w:r>
          </w:p>
        </w:tc>
        <w:tc>
          <w:tcPr>
            <w:tcW w:w="1980" w:type="dxa"/>
            <w:vAlign w:val="bottom"/>
          </w:tcPr>
          <w:p w14:paraId="0668D365" w14:textId="02C63792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81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050</w:t>
            </w:r>
          </w:p>
        </w:tc>
        <w:tc>
          <w:tcPr>
            <w:tcW w:w="1890" w:type="dxa"/>
            <w:vAlign w:val="bottom"/>
          </w:tcPr>
          <w:p w14:paraId="7E82736C" w14:textId="6BBB6AB4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90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050</w:t>
            </w:r>
          </w:p>
        </w:tc>
      </w:tr>
      <w:tr w:rsidR="00AB0A9E" w:rsidRPr="00AB0A9E" w14:paraId="606FBE4C" w14:textId="77777777" w:rsidTr="0047218F">
        <w:tc>
          <w:tcPr>
            <w:tcW w:w="2469" w:type="dxa"/>
            <w:vAlign w:val="center"/>
          </w:tcPr>
          <w:p w14:paraId="3B04CCDA" w14:textId="77777777" w:rsidR="00AA4D56" w:rsidRPr="006D472C" w:rsidRDefault="00AA4D56" w:rsidP="00AB0A9E">
            <w:pPr>
              <w:spacing w:after="120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  <w:color w:val="000000"/>
              </w:rPr>
              <w:t>Median income</w:t>
            </w:r>
          </w:p>
        </w:tc>
        <w:tc>
          <w:tcPr>
            <w:tcW w:w="1396" w:type="dxa"/>
            <w:vAlign w:val="center"/>
          </w:tcPr>
          <w:p w14:paraId="42338B28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  <w:color w:val="000000"/>
              </w:rPr>
              <w:t>100%</w:t>
            </w:r>
          </w:p>
        </w:tc>
        <w:tc>
          <w:tcPr>
            <w:tcW w:w="1890" w:type="dxa"/>
            <w:vAlign w:val="bottom"/>
          </w:tcPr>
          <w:p w14:paraId="4E6E4DB4" w14:textId="7A9196A3" w:rsidR="00AA4D56" w:rsidRPr="006D472C" w:rsidRDefault="007026E9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76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450</w:t>
            </w:r>
          </w:p>
        </w:tc>
        <w:tc>
          <w:tcPr>
            <w:tcW w:w="1980" w:type="dxa"/>
            <w:vAlign w:val="bottom"/>
          </w:tcPr>
          <w:p w14:paraId="78A7D9DD" w14:textId="59829CCD" w:rsidR="00AA4D56" w:rsidRPr="006D472C" w:rsidRDefault="007026E9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98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300</w:t>
            </w:r>
          </w:p>
        </w:tc>
        <w:tc>
          <w:tcPr>
            <w:tcW w:w="1890" w:type="dxa"/>
            <w:vAlign w:val="bottom"/>
          </w:tcPr>
          <w:p w14:paraId="5A5DED91" w14:textId="0FF9718E" w:rsidR="00AA4D56" w:rsidRPr="006D472C" w:rsidRDefault="007026E9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109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200</w:t>
            </w:r>
          </w:p>
        </w:tc>
      </w:tr>
      <w:tr w:rsidR="00AB0A9E" w:rsidRPr="00AB0A9E" w14:paraId="5B725CBC" w14:textId="77777777" w:rsidTr="0047218F">
        <w:tc>
          <w:tcPr>
            <w:tcW w:w="2469" w:type="dxa"/>
            <w:vAlign w:val="center"/>
          </w:tcPr>
          <w:p w14:paraId="39E455A8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Moderate income</w:t>
            </w:r>
          </w:p>
        </w:tc>
        <w:tc>
          <w:tcPr>
            <w:tcW w:w="1396" w:type="dxa"/>
            <w:vAlign w:val="center"/>
          </w:tcPr>
          <w:p w14:paraId="07B6E507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120%</w:t>
            </w:r>
          </w:p>
        </w:tc>
        <w:tc>
          <w:tcPr>
            <w:tcW w:w="1890" w:type="dxa"/>
            <w:vAlign w:val="bottom"/>
          </w:tcPr>
          <w:p w14:paraId="0E7CEC9A" w14:textId="3E4CEE0A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750</w:t>
            </w:r>
          </w:p>
        </w:tc>
        <w:tc>
          <w:tcPr>
            <w:tcW w:w="1980" w:type="dxa"/>
            <w:vAlign w:val="bottom"/>
          </w:tcPr>
          <w:p w14:paraId="698D861E" w14:textId="2854D52B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117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950</w:t>
            </w:r>
          </w:p>
        </w:tc>
        <w:tc>
          <w:tcPr>
            <w:tcW w:w="1890" w:type="dxa"/>
            <w:vAlign w:val="bottom"/>
          </w:tcPr>
          <w:p w14:paraId="755F133F" w14:textId="6F86194B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131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050</w:t>
            </w:r>
          </w:p>
        </w:tc>
      </w:tr>
    </w:tbl>
    <w:p w14:paraId="6F3F9588" w14:textId="77777777" w:rsidR="006D472C" w:rsidRPr="006D472C" w:rsidRDefault="006D472C" w:rsidP="006D472C">
      <w:pPr>
        <w:spacing w:after="200" w:line="240" w:lineRule="auto"/>
        <w:rPr>
          <w:rFonts w:cstheme="minorHAnsi"/>
          <w:sz w:val="20"/>
          <w:szCs w:val="20"/>
        </w:rPr>
      </w:pPr>
      <w:r w:rsidRPr="006D472C">
        <w:rPr>
          <w:rFonts w:cstheme="minorHAnsi"/>
          <w:sz w:val="20"/>
          <w:szCs w:val="20"/>
        </w:rPr>
        <w:t>Source</w:t>
      </w:r>
      <w:hyperlink r:id="rId15" w:history="1">
        <w:r w:rsidRPr="006D472C">
          <w:rPr>
            <w:rStyle w:val="Hyperlink"/>
            <w:rFonts w:cstheme="minorHAnsi"/>
            <w:sz w:val="20"/>
            <w:szCs w:val="20"/>
          </w:rPr>
          <w:t>: https://www.hcd.ca.gov/grants-funding/income-limits/state-and-federal-income-limits/docs/income-limits-2021.pdf</w:t>
        </w:r>
      </w:hyperlink>
    </w:p>
    <w:p w14:paraId="5CD731D9" w14:textId="46A03231" w:rsidR="00AA4D56" w:rsidRPr="00AB0A9E" w:rsidRDefault="00AA4D56" w:rsidP="00AB0A9E">
      <w:pPr>
        <w:spacing w:after="200" w:line="240" w:lineRule="auto"/>
        <w:rPr>
          <w:rFonts w:cstheme="minorHAnsi"/>
          <w:sz w:val="24"/>
          <w:szCs w:val="24"/>
        </w:rPr>
      </w:pPr>
    </w:p>
    <w:p w14:paraId="59CC43D7" w14:textId="0C6A4A13" w:rsidR="00AA4D56" w:rsidRPr="00AB0A9E" w:rsidRDefault="00AA4D56" w:rsidP="00D00B9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0A9E">
        <w:rPr>
          <w:rFonts w:cstheme="minorHAnsi"/>
          <w:b/>
          <w:bCs/>
          <w:sz w:val="24"/>
          <w:szCs w:val="24"/>
        </w:rPr>
        <w:t>Income Limits: Santa Clara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1396"/>
        <w:gridCol w:w="1890"/>
        <w:gridCol w:w="1980"/>
        <w:gridCol w:w="1890"/>
      </w:tblGrid>
      <w:tr w:rsidR="00AA4D56" w:rsidRPr="00AB0A9E" w14:paraId="3A083963" w14:textId="77777777" w:rsidTr="0047218F">
        <w:tc>
          <w:tcPr>
            <w:tcW w:w="2469" w:type="dxa"/>
          </w:tcPr>
          <w:p w14:paraId="0C536580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>Income Category</w:t>
            </w:r>
          </w:p>
        </w:tc>
        <w:tc>
          <w:tcPr>
            <w:tcW w:w="1396" w:type="dxa"/>
          </w:tcPr>
          <w:p w14:paraId="7669A388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>Percent of median income</w:t>
            </w:r>
          </w:p>
        </w:tc>
        <w:tc>
          <w:tcPr>
            <w:tcW w:w="1890" w:type="dxa"/>
          </w:tcPr>
          <w:p w14:paraId="4DB395E9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(1-person household)</w:t>
            </w:r>
          </w:p>
        </w:tc>
        <w:tc>
          <w:tcPr>
            <w:tcW w:w="1980" w:type="dxa"/>
          </w:tcPr>
          <w:p w14:paraId="7D8AEF12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(3-person household)</w:t>
            </w:r>
          </w:p>
        </w:tc>
        <w:tc>
          <w:tcPr>
            <w:tcW w:w="1890" w:type="dxa"/>
          </w:tcPr>
          <w:p w14:paraId="5602872A" w14:textId="77777777" w:rsidR="00AA4D56" w:rsidRPr="00AB0A9E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B0A9E">
              <w:rPr>
                <w:rFonts w:cstheme="minorHAnsi"/>
                <w:b/>
                <w:bCs/>
                <w:sz w:val="24"/>
                <w:szCs w:val="24"/>
              </w:rPr>
              <w:t xml:space="preserve">Annual income </w:t>
            </w:r>
            <w:r w:rsidRPr="00AB0A9E">
              <w:rPr>
                <w:rFonts w:cstheme="minorHAnsi"/>
                <w:b/>
                <w:bCs/>
                <w:sz w:val="24"/>
                <w:szCs w:val="24"/>
              </w:rPr>
              <w:br/>
              <w:t>(4-person household)</w:t>
            </w:r>
          </w:p>
        </w:tc>
      </w:tr>
      <w:tr w:rsidR="00AB0A9E" w:rsidRPr="00AB0A9E" w14:paraId="04BE1DD8" w14:textId="77777777" w:rsidTr="0047218F">
        <w:tc>
          <w:tcPr>
            <w:tcW w:w="2469" w:type="dxa"/>
            <w:vAlign w:val="center"/>
          </w:tcPr>
          <w:p w14:paraId="688E70B7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Extremely low-income</w:t>
            </w:r>
          </w:p>
        </w:tc>
        <w:tc>
          <w:tcPr>
            <w:tcW w:w="1396" w:type="dxa"/>
            <w:vAlign w:val="center"/>
          </w:tcPr>
          <w:p w14:paraId="3B870FF2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30%</w:t>
            </w:r>
          </w:p>
        </w:tc>
        <w:tc>
          <w:tcPr>
            <w:tcW w:w="1890" w:type="dxa"/>
            <w:vAlign w:val="bottom"/>
          </w:tcPr>
          <w:p w14:paraId="477B8D3B" w14:textId="20BB5D0B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800</w:t>
            </w:r>
          </w:p>
        </w:tc>
        <w:tc>
          <w:tcPr>
            <w:tcW w:w="1980" w:type="dxa"/>
            <w:vAlign w:val="bottom"/>
          </w:tcPr>
          <w:p w14:paraId="69E5F3DC" w14:textId="22729498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44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750</w:t>
            </w:r>
          </w:p>
        </w:tc>
        <w:tc>
          <w:tcPr>
            <w:tcW w:w="1890" w:type="dxa"/>
            <w:vAlign w:val="bottom"/>
          </w:tcPr>
          <w:p w14:paraId="35C9408C" w14:textId="068541BE" w:rsidR="00AA4D56" w:rsidRPr="00AB0A9E" w:rsidRDefault="007026E9" w:rsidP="00AB0A9E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$</w:t>
            </w:r>
            <w:r w:rsidR="00AA4D56" w:rsidRPr="00AB0A9E">
              <w:rPr>
                <w:rFonts w:cstheme="minorHAnsi"/>
                <w:color w:val="000000"/>
                <w:sz w:val="24"/>
                <w:szCs w:val="24"/>
              </w:rPr>
              <w:t>49</w:t>
            </w:r>
            <w:r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="00AA4D56" w:rsidRPr="00AB0A9E">
              <w:rPr>
                <w:rFonts w:cstheme="minorHAnsi"/>
                <w:color w:val="000000"/>
                <w:sz w:val="24"/>
                <w:szCs w:val="24"/>
              </w:rPr>
              <w:t>700</w:t>
            </w:r>
          </w:p>
        </w:tc>
      </w:tr>
      <w:tr w:rsidR="00AB0A9E" w:rsidRPr="00AB0A9E" w14:paraId="2019F071" w14:textId="77777777" w:rsidTr="0047218F">
        <w:tc>
          <w:tcPr>
            <w:tcW w:w="2469" w:type="dxa"/>
            <w:vAlign w:val="center"/>
          </w:tcPr>
          <w:p w14:paraId="0C8B98ED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Very low-income</w:t>
            </w:r>
          </w:p>
        </w:tc>
        <w:tc>
          <w:tcPr>
            <w:tcW w:w="1396" w:type="dxa"/>
            <w:vAlign w:val="center"/>
          </w:tcPr>
          <w:p w14:paraId="62766B13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50%</w:t>
            </w:r>
          </w:p>
        </w:tc>
        <w:tc>
          <w:tcPr>
            <w:tcW w:w="1890" w:type="dxa"/>
            <w:vAlign w:val="bottom"/>
          </w:tcPr>
          <w:p w14:paraId="73F6B3D5" w14:textId="4EED2FF5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58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000</w:t>
            </w:r>
          </w:p>
        </w:tc>
        <w:tc>
          <w:tcPr>
            <w:tcW w:w="1980" w:type="dxa"/>
            <w:vAlign w:val="bottom"/>
          </w:tcPr>
          <w:p w14:paraId="5A5DDCDA" w14:textId="63893992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74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600</w:t>
            </w:r>
          </w:p>
        </w:tc>
        <w:tc>
          <w:tcPr>
            <w:tcW w:w="1890" w:type="dxa"/>
            <w:vAlign w:val="bottom"/>
          </w:tcPr>
          <w:p w14:paraId="5DEE7561" w14:textId="4137D44A" w:rsidR="00AA4D56" w:rsidRPr="00AB0A9E" w:rsidRDefault="007026E9" w:rsidP="00AB0A9E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$</w:t>
            </w:r>
            <w:r w:rsidR="00AA4D56" w:rsidRPr="00AB0A9E">
              <w:rPr>
                <w:rFonts w:cstheme="minorHAnsi"/>
                <w:color w:val="000000"/>
                <w:sz w:val="24"/>
                <w:szCs w:val="24"/>
              </w:rPr>
              <w:t>82</w:t>
            </w:r>
            <w:r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="00AA4D56" w:rsidRPr="00AB0A9E">
              <w:rPr>
                <w:rFonts w:cstheme="minorHAnsi"/>
                <w:color w:val="000000"/>
                <w:sz w:val="24"/>
                <w:szCs w:val="24"/>
              </w:rPr>
              <w:t>850</w:t>
            </w:r>
          </w:p>
        </w:tc>
      </w:tr>
      <w:tr w:rsidR="00AB0A9E" w:rsidRPr="00AB0A9E" w14:paraId="1A6E67C3" w14:textId="77777777" w:rsidTr="0047218F">
        <w:tc>
          <w:tcPr>
            <w:tcW w:w="2469" w:type="dxa"/>
            <w:vAlign w:val="center"/>
          </w:tcPr>
          <w:p w14:paraId="1E29EF9A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Low income</w:t>
            </w:r>
          </w:p>
        </w:tc>
        <w:tc>
          <w:tcPr>
            <w:tcW w:w="1396" w:type="dxa"/>
            <w:vAlign w:val="center"/>
          </w:tcPr>
          <w:p w14:paraId="49D9A489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80%</w:t>
            </w:r>
          </w:p>
        </w:tc>
        <w:tc>
          <w:tcPr>
            <w:tcW w:w="1890" w:type="dxa"/>
            <w:vAlign w:val="bottom"/>
          </w:tcPr>
          <w:p w14:paraId="3D8A0173" w14:textId="7C55B659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450</w:t>
            </w:r>
          </w:p>
        </w:tc>
        <w:tc>
          <w:tcPr>
            <w:tcW w:w="1980" w:type="dxa"/>
            <w:vAlign w:val="bottom"/>
          </w:tcPr>
          <w:p w14:paraId="72665EE8" w14:textId="4929CC23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106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000</w:t>
            </w:r>
          </w:p>
        </w:tc>
        <w:tc>
          <w:tcPr>
            <w:tcW w:w="1890" w:type="dxa"/>
            <w:vAlign w:val="bottom"/>
          </w:tcPr>
          <w:p w14:paraId="5C53EB15" w14:textId="15D7F28D" w:rsidR="00AA4D56" w:rsidRPr="00AB0A9E" w:rsidRDefault="007026E9" w:rsidP="00AB0A9E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$</w:t>
            </w:r>
            <w:r w:rsidR="00AA4D56" w:rsidRPr="00AB0A9E">
              <w:rPr>
                <w:rFonts w:cstheme="minorHAnsi"/>
                <w:color w:val="000000"/>
                <w:sz w:val="24"/>
                <w:szCs w:val="24"/>
              </w:rPr>
              <w:t>117</w:t>
            </w:r>
            <w:r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="00AA4D56" w:rsidRPr="00AB0A9E">
              <w:rPr>
                <w:rFonts w:cstheme="minorHAnsi"/>
                <w:color w:val="000000"/>
                <w:sz w:val="24"/>
                <w:szCs w:val="24"/>
              </w:rPr>
              <w:t>750</w:t>
            </w:r>
          </w:p>
        </w:tc>
      </w:tr>
      <w:tr w:rsidR="00AB0A9E" w:rsidRPr="00AB0A9E" w14:paraId="3FC0D51E" w14:textId="77777777" w:rsidTr="0047218F">
        <w:tc>
          <w:tcPr>
            <w:tcW w:w="2469" w:type="dxa"/>
            <w:vAlign w:val="center"/>
          </w:tcPr>
          <w:p w14:paraId="188F633B" w14:textId="77777777" w:rsidR="00AA4D56" w:rsidRPr="006D472C" w:rsidRDefault="00AA4D56" w:rsidP="00AB0A9E">
            <w:pPr>
              <w:spacing w:after="120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  <w:color w:val="000000"/>
              </w:rPr>
              <w:t>Median income</w:t>
            </w:r>
          </w:p>
        </w:tc>
        <w:tc>
          <w:tcPr>
            <w:tcW w:w="1396" w:type="dxa"/>
            <w:vAlign w:val="center"/>
          </w:tcPr>
          <w:p w14:paraId="4FDE9B89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  <w:color w:val="000000"/>
              </w:rPr>
              <w:t>100%</w:t>
            </w:r>
          </w:p>
        </w:tc>
        <w:tc>
          <w:tcPr>
            <w:tcW w:w="1890" w:type="dxa"/>
            <w:vAlign w:val="bottom"/>
          </w:tcPr>
          <w:p w14:paraId="2A01AD17" w14:textId="7F416732" w:rsidR="00AA4D56" w:rsidRPr="006D472C" w:rsidRDefault="007026E9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105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900</w:t>
            </w:r>
          </w:p>
        </w:tc>
        <w:tc>
          <w:tcPr>
            <w:tcW w:w="1980" w:type="dxa"/>
            <w:vAlign w:val="bottom"/>
          </w:tcPr>
          <w:p w14:paraId="1D5A086D" w14:textId="64812308" w:rsidR="00AA4D56" w:rsidRPr="006D472C" w:rsidRDefault="007026E9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136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150</w:t>
            </w:r>
          </w:p>
        </w:tc>
        <w:tc>
          <w:tcPr>
            <w:tcW w:w="1890" w:type="dxa"/>
            <w:vAlign w:val="bottom"/>
          </w:tcPr>
          <w:p w14:paraId="2201F280" w14:textId="1880D2A2" w:rsidR="00AA4D56" w:rsidRPr="00AB0A9E" w:rsidRDefault="007026E9" w:rsidP="00AB0A9E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$</w:t>
            </w:r>
            <w:r w:rsidR="00AA4D56" w:rsidRPr="00AB0A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151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</w:t>
            </w:r>
            <w:r w:rsidR="00AA4D56" w:rsidRPr="00AB0A9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AB0A9E" w:rsidRPr="00AB0A9E" w14:paraId="6427A680" w14:textId="77777777" w:rsidTr="0047218F">
        <w:tc>
          <w:tcPr>
            <w:tcW w:w="2469" w:type="dxa"/>
            <w:vAlign w:val="center"/>
          </w:tcPr>
          <w:p w14:paraId="63BCB7B6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Moderate income</w:t>
            </w:r>
          </w:p>
        </w:tc>
        <w:tc>
          <w:tcPr>
            <w:tcW w:w="1396" w:type="dxa"/>
            <w:vAlign w:val="center"/>
          </w:tcPr>
          <w:p w14:paraId="59E0BCD3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120%</w:t>
            </w:r>
          </w:p>
        </w:tc>
        <w:tc>
          <w:tcPr>
            <w:tcW w:w="1890" w:type="dxa"/>
            <w:vAlign w:val="bottom"/>
          </w:tcPr>
          <w:p w14:paraId="1DB8C039" w14:textId="0B20D48A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127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980" w:type="dxa"/>
            <w:vAlign w:val="bottom"/>
          </w:tcPr>
          <w:p w14:paraId="53B30ED1" w14:textId="7B6B7554" w:rsidR="00AA4D56" w:rsidRPr="006D472C" w:rsidRDefault="007026E9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163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400</w:t>
            </w:r>
          </w:p>
        </w:tc>
        <w:tc>
          <w:tcPr>
            <w:tcW w:w="1890" w:type="dxa"/>
            <w:vAlign w:val="bottom"/>
          </w:tcPr>
          <w:p w14:paraId="174C460A" w14:textId="211D484D" w:rsidR="00AA4D56" w:rsidRPr="00AB0A9E" w:rsidRDefault="007026E9" w:rsidP="00AB0A9E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$</w:t>
            </w:r>
            <w:r w:rsidR="00AA4D56" w:rsidRPr="00AB0A9E">
              <w:rPr>
                <w:rFonts w:cstheme="minorHAnsi"/>
                <w:color w:val="000000"/>
                <w:sz w:val="24"/>
                <w:szCs w:val="24"/>
              </w:rPr>
              <w:t>181</w:t>
            </w:r>
            <w:r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="00AA4D56" w:rsidRPr="00AB0A9E">
              <w:rPr>
                <w:rFonts w:cstheme="minorHAnsi"/>
                <w:color w:val="000000"/>
                <w:sz w:val="24"/>
                <w:szCs w:val="24"/>
              </w:rPr>
              <w:t>550</w:t>
            </w:r>
          </w:p>
        </w:tc>
      </w:tr>
    </w:tbl>
    <w:p w14:paraId="6C395A06" w14:textId="77777777" w:rsidR="006D472C" w:rsidRPr="006D472C" w:rsidRDefault="006D472C" w:rsidP="006D472C">
      <w:pPr>
        <w:spacing w:after="200" w:line="240" w:lineRule="auto"/>
        <w:rPr>
          <w:rFonts w:cstheme="minorHAnsi"/>
          <w:sz w:val="20"/>
          <w:szCs w:val="20"/>
        </w:rPr>
      </w:pPr>
      <w:r w:rsidRPr="006D472C">
        <w:rPr>
          <w:rFonts w:cstheme="minorHAnsi"/>
          <w:sz w:val="20"/>
          <w:szCs w:val="20"/>
        </w:rPr>
        <w:t>Source</w:t>
      </w:r>
      <w:hyperlink r:id="rId16" w:history="1">
        <w:r w:rsidRPr="006D472C">
          <w:rPr>
            <w:rStyle w:val="Hyperlink"/>
            <w:rFonts w:cstheme="minorHAnsi"/>
            <w:sz w:val="20"/>
            <w:szCs w:val="20"/>
          </w:rPr>
          <w:t>: https://www.hcd.ca.gov/grants-funding/income-limits/state-and-federal-income-limits/docs/income-limits-2021.pdf</w:t>
        </w:r>
      </w:hyperlink>
    </w:p>
    <w:p w14:paraId="0AB24BE9" w14:textId="0B74F8D8" w:rsidR="00AA4D56" w:rsidRDefault="00AA4D56" w:rsidP="00AB0A9E">
      <w:pPr>
        <w:spacing w:after="200" w:line="240" w:lineRule="auto"/>
        <w:rPr>
          <w:rFonts w:cstheme="minorHAnsi"/>
          <w:sz w:val="24"/>
          <w:szCs w:val="24"/>
        </w:rPr>
      </w:pPr>
    </w:p>
    <w:p w14:paraId="27E05CB8" w14:textId="38F98495" w:rsidR="00AA4D56" w:rsidRPr="00AB0A9E" w:rsidRDefault="00AA4D56" w:rsidP="00D00B9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0A9E">
        <w:rPr>
          <w:rFonts w:cstheme="minorHAnsi"/>
          <w:b/>
          <w:bCs/>
          <w:sz w:val="24"/>
          <w:szCs w:val="24"/>
        </w:rPr>
        <w:t>Income Limits: Solano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1396"/>
        <w:gridCol w:w="1890"/>
        <w:gridCol w:w="1980"/>
        <w:gridCol w:w="1890"/>
      </w:tblGrid>
      <w:tr w:rsidR="00AA4D56" w:rsidRPr="00AB0A9E" w14:paraId="3F37E66A" w14:textId="77777777" w:rsidTr="0047218F">
        <w:tc>
          <w:tcPr>
            <w:tcW w:w="2469" w:type="dxa"/>
          </w:tcPr>
          <w:p w14:paraId="6551B9F6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>Income Category</w:t>
            </w:r>
          </w:p>
        </w:tc>
        <w:tc>
          <w:tcPr>
            <w:tcW w:w="1396" w:type="dxa"/>
          </w:tcPr>
          <w:p w14:paraId="0B5803C6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>Percent of median income</w:t>
            </w:r>
          </w:p>
        </w:tc>
        <w:tc>
          <w:tcPr>
            <w:tcW w:w="1890" w:type="dxa"/>
          </w:tcPr>
          <w:p w14:paraId="4A958637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(1-person household)</w:t>
            </w:r>
          </w:p>
        </w:tc>
        <w:tc>
          <w:tcPr>
            <w:tcW w:w="1980" w:type="dxa"/>
          </w:tcPr>
          <w:p w14:paraId="654ACA2A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(3-person household)</w:t>
            </w:r>
          </w:p>
        </w:tc>
        <w:tc>
          <w:tcPr>
            <w:tcW w:w="1890" w:type="dxa"/>
          </w:tcPr>
          <w:p w14:paraId="013A9377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(4-person household)</w:t>
            </w:r>
          </w:p>
        </w:tc>
      </w:tr>
      <w:tr w:rsidR="00AB0A9E" w:rsidRPr="00AB0A9E" w14:paraId="68292539" w14:textId="77777777" w:rsidTr="0047218F">
        <w:tc>
          <w:tcPr>
            <w:tcW w:w="2469" w:type="dxa"/>
            <w:vAlign w:val="center"/>
          </w:tcPr>
          <w:p w14:paraId="5E8F5476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Extremely low-income</w:t>
            </w:r>
          </w:p>
        </w:tc>
        <w:tc>
          <w:tcPr>
            <w:tcW w:w="1396" w:type="dxa"/>
            <w:vAlign w:val="center"/>
          </w:tcPr>
          <w:p w14:paraId="3BA82402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30%</w:t>
            </w:r>
          </w:p>
        </w:tc>
        <w:tc>
          <w:tcPr>
            <w:tcW w:w="1890" w:type="dxa"/>
            <w:vAlign w:val="bottom"/>
          </w:tcPr>
          <w:p w14:paraId="3C7A4535" w14:textId="508F843C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20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450</w:t>
            </w:r>
          </w:p>
        </w:tc>
        <w:tc>
          <w:tcPr>
            <w:tcW w:w="1980" w:type="dxa"/>
            <w:vAlign w:val="bottom"/>
          </w:tcPr>
          <w:p w14:paraId="39BDCBFC" w14:textId="6971F73E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26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250</w:t>
            </w:r>
          </w:p>
        </w:tc>
        <w:tc>
          <w:tcPr>
            <w:tcW w:w="1890" w:type="dxa"/>
            <w:vAlign w:val="bottom"/>
          </w:tcPr>
          <w:p w14:paraId="41475232" w14:textId="5426E3DB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29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150</w:t>
            </w:r>
          </w:p>
        </w:tc>
      </w:tr>
      <w:tr w:rsidR="00AB0A9E" w:rsidRPr="00AB0A9E" w14:paraId="667970FC" w14:textId="77777777" w:rsidTr="0047218F">
        <w:tc>
          <w:tcPr>
            <w:tcW w:w="2469" w:type="dxa"/>
            <w:vAlign w:val="center"/>
          </w:tcPr>
          <w:p w14:paraId="0D85EC7A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Very low-income</w:t>
            </w:r>
          </w:p>
        </w:tc>
        <w:tc>
          <w:tcPr>
            <w:tcW w:w="1396" w:type="dxa"/>
            <w:vAlign w:val="center"/>
          </w:tcPr>
          <w:p w14:paraId="65CDC5F5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50%</w:t>
            </w:r>
          </w:p>
        </w:tc>
        <w:tc>
          <w:tcPr>
            <w:tcW w:w="1890" w:type="dxa"/>
            <w:vAlign w:val="bottom"/>
          </w:tcPr>
          <w:p w14:paraId="22302657" w14:textId="2CD0CEDC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000</w:t>
            </w:r>
          </w:p>
        </w:tc>
        <w:tc>
          <w:tcPr>
            <w:tcW w:w="1980" w:type="dxa"/>
            <w:vAlign w:val="bottom"/>
          </w:tcPr>
          <w:p w14:paraId="2C3BA562" w14:textId="7E0A3A78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43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700</w:t>
            </w:r>
          </w:p>
        </w:tc>
        <w:tc>
          <w:tcPr>
            <w:tcW w:w="1890" w:type="dxa"/>
            <w:vAlign w:val="bottom"/>
          </w:tcPr>
          <w:p w14:paraId="074468E9" w14:textId="73003CB2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48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550</w:t>
            </w:r>
          </w:p>
        </w:tc>
      </w:tr>
      <w:tr w:rsidR="00AB0A9E" w:rsidRPr="00AB0A9E" w14:paraId="498307AB" w14:textId="77777777" w:rsidTr="0047218F">
        <w:tc>
          <w:tcPr>
            <w:tcW w:w="2469" w:type="dxa"/>
            <w:vAlign w:val="center"/>
          </w:tcPr>
          <w:p w14:paraId="5BF0522E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Low income</w:t>
            </w:r>
          </w:p>
        </w:tc>
        <w:tc>
          <w:tcPr>
            <w:tcW w:w="1396" w:type="dxa"/>
            <w:vAlign w:val="center"/>
          </w:tcPr>
          <w:p w14:paraId="2D8D985C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80%</w:t>
            </w:r>
          </w:p>
        </w:tc>
        <w:tc>
          <w:tcPr>
            <w:tcW w:w="1890" w:type="dxa"/>
            <w:vAlign w:val="bottom"/>
          </w:tcPr>
          <w:p w14:paraId="2C1ADF9C" w14:textId="619C9853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54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350</w:t>
            </w:r>
          </w:p>
        </w:tc>
        <w:tc>
          <w:tcPr>
            <w:tcW w:w="1980" w:type="dxa"/>
            <w:vAlign w:val="bottom"/>
          </w:tcPr>
          <w:p w14:paraId="1E012383" w14:textId="0DD6A1CF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69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850</w:t>
            </w:r>
          </w:p>
        </w:tc>
        <w:tc>
          <w:tcPr>
            <w:tcW w:w="1890" w:type="dxa"/>
            <w:vAlign w:val="bottom"/>
          </w:tcPr>
          <w:p w14:paraId="2CBC2924" w14:textId="6B256755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77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600</w:t>
            </w:r>
          </w:p>
        </w:tc>
      </w:tr>
      <w:tr w:rsidR="00AB0A9E" w:rsidRPr="00AB0A9E" w14:paraId="125E3FB5" w14:textId="77777777" w:rsidTr="0047218F">
        <w:tc>
          <w:tcPr>
            <w:tcW w:w="2469" w:type="dxa"/>
            <w:vAlign w:val="center"/>
          </w:tcPr>
          <w:p w14:paraId="42CA10CD" w14:textId="77777777" w:rsidR="00AA4D56" w:rsidRPr="006D472C" w:rsidRDefault="00AA4D56" w:rsidP="00AB0A9E">
            <w:pPr>
              <w:spacing w:after="120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  <w:color w:val="000000"/>
              </w:rPr>
              <w:t>Median income</w:t>
            </w:r>
          </w:p>
        </w:tc>
        <w:tc>
          <w:tcPr>
            <w:tcW w:w="1396" w:type="dxa"/>
            <w:vAlign w:val="center"/>
          </w:tcPr>
          <w:p w14:paraId="5CF34E9B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  <w:color w:val="000000"/>
              </w:rPr>
              <w:t>100%</w:t>
            </w:r>
          </w:p>
        </w:tc>
        <w:tc>
          <w:tcPr>
            <w:tcW w:w="1890" w:type="dxa"/>
            <w:vAlign w:val="bottom"/>
          </w:tcPr>
          <w:p w14:paraId="7D1B6ABE" w14:textId="4F8C9027" w:rsidR="00AA4D56" w:rsidRPr="006D472C" w:rsidRDefault="009A6651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69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500</w:t>
            </w:r>
          </w:p>
        </w:tc>
        <w:tc>
          <w:tcPr>
            <w:tcW w:w="1980" w:type="dxa"/>
            <w:vAlign w:val="bottom"/>
          </w:tcPr>
          <w:p w14:paraId="1FDB0472" w14:textId="252B6BE3" w:rsidR="00AA4D56" w:rsidRPr="006D472C" w:rsidRDefault="009A6651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89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350</w:t>
            </w:r>
          </w:p>
        </w:tc>
        <w:tc>
          <w:tcPr>
            <w:tcW w:w="1890" w:type="dxa"/>
            <w:vAlign w:val="bottom"/>
          </w:tcPr>
          <w:p w14:paraId="304641FC" w14:textId="14FA0CA9" w:rsidR="00AA4D56" w:rsidRPr="006D472C" w:rsidRDefault="009A6651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99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300</w:t>
            </w:r>
          </w:p>
        </w:tc>
      </w:tr>
      <w:tr w:rsidR="00AB0A9E" w:rsidRPr="00AB0A9E" w14:paraId="62AD369F" w14:textId="77777777" w:rsidTr="0047218F">
        <w:tc>
          <w:tcPr>
            <w:tcW w:w="2469" w:type="dxa"/>
            <w:vAlign w:val="center"/>
          </w:tcPr>
          <w:p w14:paraId="44BED074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Moderate income</w:t>
            </w:r>
          </w:p>
        </w:tc>
        <w:tc>
          <w:tcPr>
            <w:tcW w:w="1396" w:type="dxa"/>
            <w:vAlign w:val="center"/>
          </w:tcPr>
          <w:p w14:paraId="674FD9D7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120%</w:t>
            </w:r>
          </w:p>
        </w:tc>
        <w:tc>
          <w:tcPr>
            <w:tcW w:w="1890" w:type="dxa"/>
            <w:vAlign w:val="bottom"/>
          </w:tcPr>
          <w:p w14:paraId="7D64F5ED" w14:textId="5E830680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400</w:t>
            </w:r>
          </w:p>
        </w:tc>
        <w:tc>
          <w:tcPr>
            <w:tcW w:w="1980" w:type="dxa"/>
            <w:vAlign w:val="bottom"/>
          </w:tcPr>
          <w:p w14:paraId="253B89B9" w14:textId="639D50A3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107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250</w:t>
            </w:r>
          </w:p>
        </w:tc>
        <w:tc>
          <w:tcPr>
            <w:tcW w:w="1890" w:type="dxa"/>
            <w:vAlign w:val="bottom"/>
          </w:tcPr>
          <w:p w14:paraId="781F4529" w14:textId="57C46EB5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119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150</w:t>
            </w:r>
          </w:p>
        </w:tc>
      </w:tr>
    </w:tbl>
    <w:p w14:paraId="1511F038" w14:textId="77777777" w:rsidR="006D472C" w:rsidRPr="006D472C" w:rsidRDefault="006D472C" w:rsidP="006D472C">
      <w:pPr>
        <w:spacing w:after="200" w:line="240" w:lineRule="auto"/>
        <w:rPr>
          <w:rFonts w:cstheme="minorHAnsi"/>
          <w:sz w:val="20"/>
          <w:szCs w:val="20"/>
        </w:rPr>
      </w:pPr>
      <w:r w:rsidRPr="006D472C">
        <w:rPr>
          <w:rFonts w:cstheme="minorHAnsi"/>
          <w:sz w:val="20"/>
          <w:szCs w:val="20"/>
        </w:rPr>
        <w:lastRenderedPageBreak/>
        <w:t>Source</w:t>
      </w:r>
      <w:hyperlink r:id="rId17" w:history="1">
        <w:r w:rsidRPr="006D472C">
          <w:rPr>
            <w:rStyle w:val="Hyperlink"/>
            <w:rFonts w:cstheme="minorHAnsi"/>
            <w:sz w:val="20"/>
            <w:szCs w:val="20"/>
          </w:rPr>
          <w:t>: https://www.hcd.ca.gov/grants-funding/income-limits/state-and-federal-income-limits/docs/income-limits-2021.pdf</w:t>
        </w:r>
      </w:hyperlink>
    </w:p>
    <w:p w14:paraId="071FB79B" w14:textId="66D35B4C" w:rsidR="00AA4D56" w:rsidRPr="00AB0A9E" w:rsidRDefault="00AA4D56" w:rsidP="00AB0A9E">
      <w:pPr>
        <w:spacing w:after="200" w:line="240" w:lineRule="auto"/>
        <w:rPr>
          <w:rFonts w:cstheme="minorHAnsi"/>
          <w:sz w:val="24"/>
          <w:szCs w:val="24"/>
        </w:rPr>
      </w:pPr>
    </w:p>
    <w:p w14:paraId="1A10264A" w14:textId="6F6C380E" w:rsidR="00AA4D56" w:rsidRPr="00AB0A9E" w:rsidRDefault="00AA4D56" w:rsidP="00D00B9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0A9E">
        <w:rPr>
          <w:rFonts w:cstheme="minorHAnsi"/>
          <w:b/>
          <w:bCs/>
          <w:sz w:val="24"/>
          <w:szCs w:val="24"/>
        </w:rPr>
        <w:t>Income Limits: Sonoma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1396"/>
        <w:gridCol w:w="1890"/>
        <w:gridCol w:w="1980"/>
        <w:gridCol w:w="1890"/>
      </w:tblGrid>
      <w:tr w:rsidR="00AA4D56" w:rsidRPr="00AB0A9E" w14:paraId="2DC0C548" w14:textId="77777777" w:rsidTr="0047218F">
        <w:tc>
          <w:tcPr>
            <w:tcW w:w="2469" w:type="dxa"/>
          </w:tcPr>
          <w:p w14:paraId="7899B713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>Income Category</w:t>
            </w:r>
          </w:p>
        </w:tc>
        <w:tc>
          <w:tcPr>
            <w:tcW w:w="1396" w:type="dxa"/>
          </w:tcPr>
          <w:p w14:paraId="3C115E12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>Percent of median income</w:t>
            </w:r>
          </w:p>
        </w:tc>
        <w:tc>
          <w:tcPr>
            <w:tcW w:w="1890" w:type="dxa"/>
          </w:tcPr>
          <w:p w14:paraId="0152B049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(1-person household)</w:t>
            </w:r>
          </w:p>
        </w:tc>
        <w:tc>
          <w:tcPr>
            <w:tcW w:w="1980" w:type="dxa"/>
          </w:tcPr>
          <w:p w14:paraId="5C418888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(3-person household)</w:t>
            </w:r>
          </w:p>
        </w:tc>
        <w:tc>
          <w:tcPr>
            <w:tcW w:w="1890" w:type="dxa"/>
          </w:tcPr>
          <w:p w14:paraId="591FA318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</w:rPr>
              <w:t xml:space="preserve">Annual income </w:t>
            </w:r>
            <w:r w:rsidRPr="006D472C">
              <w:rPr>
                <w:rFonts w:cstheme="minorHAnsi"/>
                <w:b/>
                <w:bCs/>
              </w:rPr>
              <w:br/>
              <w:t>(4-person household)</w:t>
            </w:r>
          </w:p>
        </w:tc>
      </w:tr>
      <w:tr w:rsidR="00AB0A9E" w:rsidRPr="00AB0A9E" w14:paraId="1CB3604F" w14:textId="77777777" w:rsidTr="0047218F">
        <w:tc>
          <w:tcPr>
            <w:tcW w:w="2469" w:type="dxa"/>
            <w:vAlign w:val="center"/>
          </w:tcPr>
          <w:p w14:paraId="575D34C5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Extremely low-income</w:t>
            </w:r>
          </w:p>
        </w:tc>
        <w:tc>
          <w:tcPr>
            <w:tcW w:w="1396" w:type="dxa"/>
            <w:vAlign w:val="center"/>
          </w:tcPr>
          <w:p w14:paraId="2DBE4CB3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30%</w:t>
            </w:r>
          </w:p>
        </w:tc>
        <w:tc>
          <w:tcPr>
            <w:tcW w:w="1890" w:type="dxa"/>
            <w:vAlign w:val="bottom"/>
          </w:tcPr>
          <w:p w14:paraId="78912E6A" w14:textId="7CF21648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24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450</w:t>
            </w:r>
          </w:p>
        </w:tc>
        <w:tc>
          <w:tcPr>
            <w:tcW w:w="1980" w:type="dxa"/>
            <w:vAlign w:val="bottom"/>
          </w:tcPr>
          <w:p w14:paraId="74AE8BF8" w14:textId="448F9ABA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31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450</w:t>
            </w:r>
          </w:p>
        </w:tc>
        <w:tc>
          <w:tcPr>
            <w:tcW w:w="1890" w:type="dxa"/>
            <w:vAlign w:val="bottom"/>
          </w:tcPr>
          <w:p w14:paraId="673CA5D9" w14:textId="542FA830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900</w:t>
            </w:r>
          </w:p>
        </w:tc>
      </w:tr>
      <w:tr w:rsidR="00AB0A9E" w:rsidRPr="00AB0A9E" w14:paraId="5A6C3255" w14:textId="77777777" w:rsidTr="0047218F">
        <w:tc>
          <w:tcPr>
            <w:tcW w:w="2469" w:type="dxa"/>
            <w:vAlign w:val="center"/>
          </w:tcPr>
          <w:p w14:paraId="28826E73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Very low-income</w:t>
            </w:r>
          </w:p>
        </w:tc>
        <w:tc>
          <w:tcPr>
            <w:tcW w:w="1396" w:type="dxa"/>
            <w:vAlign w:val="center"/>
          </w:tcPr>
          <w:p w14:paraId="2ED3EAA6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50%</w:t>
            </w:r>
          </w:p>
        </w:tc>
        <w:tc>
          <w:tcPr>
            <w:tcW w:w="1890" w:type="dxa"/>
            <w:vAlign w:val="bottom"/>
          </w:tcPr>
          <w:p w14:paraId="12DDB6FA" w14:textId="6E4DC2A9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40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750</w:t>
            </w:r>
          </w:p>
        </w:tc>
        <w:tc>
          <w:tcPr>
            <w:tcW w:w="1980" w:type="dxa"/>
            <w:vAlign w:val="bottom"/>
          </w:tcPr>
          <w:p w14:paraId="5EC15209" w14:textId="4BF9ADDB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52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350</w:t>
            </w:r>
          </w:p>
        </w:tc>
        <w:tc>
          <w:tcPr>
            <w:tcW w:w="1890" w:type="dxa"/>
            <w:vAlign w:val="bottom"/>
          </w:tcPr>
          <w:p w14:paraId="39750C78" w14:textId="43541261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58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150</w:t>
            </w:r>
          </w:p>
        </w:tc>
      </w:tr>
      <w:tr w:rsidR="00AB0A9E" w:rsidRPr="00AB0A9E" w14:paraId="50320DF0" w14:textId="77777777" w:rsidTr="0047218F">
        <w:tc>
          <w:tcPr>
            <w:tcW w:w="2469" w:type="dxa"/>
            <w:vAlign w:val="center"/>
          </w:tcPr>
          <w:p w14:paraId="03D3BF73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Low income</w:t>
            </w:r>
          </w:p>
        </w:tc>
        <w:tc>
          <w:tcPr>
            <w:tcW w:w="1396" w:type="dxa"/>
            <w:vAlign w:val="center"/>
          </w:tcPr>
          <w:p w14:paraId="6D6446B6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80%</w:t>
            </w:r>
          </w:p>
        </w:tc>
        <w:tc>
          <w:tcPr>
            <w:tcW w:w="1890" w:type="dxa"/>
            <w:vAlign w:val="bottom"/>
          </w:tcPr>
          <w:p w14:paraId="3AF9AD34" w14:textId="3831CD00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65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150</w:t>
            </w:r>
          </w:p>
        </w:tc>
        <w:tc>
          <w:tcPr>
            <w:tcW w:w="1980" w:type="dxa"/>
            <w:vAlign w:val="bottom"/>
          </w:tcPr>
          <w:p w14:paraId="17766BC0" w14:textId="50E067C4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750</w:t>
            </w:r>
          </w:p>
        </w:tc>
        <w:tc>
          <w:tcPr>
            <w:tcW w:w="1890" w:type="dxa"/>
            <w:vAlign w:val="bottom"/>
          </w:tcPr>
          <w:p w14:paraId="35105FA5" w14:textId="0B51DE05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93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050</w:t>
            </w:r>
          </w:p>
        </w:tc>
      </w:tr>
      <w:tr w:rsidR="00AB0A9E" w:rsidRPr="00AB0A9E" w14:paraId="2D912F8D" w14:textId="77777777" w:rsidTr="0047218F">
        <w:tc>
          <w:tcPr>
            <w:tcW w:w="2469" w:type="dxa"/>
            <w:vAlign w:val="center"/>
          </w:tcPr>
          <w:p w14:paraId="2B4D9797" w14:textId="77777777" w:rsidR="00AA4D56" w:rsidRPr="006D472C" w:rsidRDefault="00AA4D56" w:rsidP="00AB0A9E">
            <w:pPr>
              <w:spacing w:after="120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  <w:color w:val="000000"/>
              </w:rPr>
              <w:t>Median income</w:t>
            </w:r>
          </w:p>
        </w:tc>
        <w:tc>
          <w:tcPr>
            <w:tcW w:w="1396" w:type="dxa"/>
            <w:vAlign w:val="center"/>
          </w:tcPr>
          <w:p w14:paraId="5ABD48CE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6D472C">
              <w:rPr>
                <w:rFonts w:cstheme="minorHAnsi"/>
                <w:b/>
                <w:bCs/>
                <w:color w:val="000000"/>
              </w:rPr>
              <w:t>100%</w:t>
            </w:r>
          </w:p>
        </w:tc>
        <w:tc>
          <w:tcPr>
            <w:tcW w:w="1890" w:type="dxa"/>
            <w:vAlign w:val="bottom"/>
          </w:tcPr>
          <w:p w14:paraId="2A9EF595" w14:textId="6992395C" w:rsidR="00AA4D56" w:rsidRPr="006D472C" w:rsidRDefault="009A6651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72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300</w:t>
            </w:r>
          </w:p>
        </w:tc>
        <w:tc>
          <w:tcPr>
            <w:tcW w:w="1980" w:type="dxa"/>
            <w:vAlign w:val="bottom"/>
          </w:tcPr>
          <w:p w14:paraId="2F401A70" w14:textId="309B4CDC" w:rsidR="00AA4D56" w:rsidRPr="006D472C" w:rsidRDefault="009A6651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92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950</w:t>
            </w:r>
          </w:p>
        </w:tc>
        <w:tc>
          <w:tcPr>
            <w:tcW w:w="1890" w:type="dxa"/>
            <w:vAlign w:val="bottom"/>
          </w:tcPr>
          <w:p w14:paraId="49431533" w14:textId="5EBF23EE" w:rsidR="00AA4D56" w:rsidRPr="006D472C" w:rsidRDefault="009A6651" w:rsidP="00AB0A9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$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103</w:t>
            </w:r>
            <w:r>
              <w:rPr>
                <w:rFonts w:cstheme="minorHAnsi"/>
                <w:b/>
                <w:bCs/>
                <w:color w:val="000000"/>
              </w:rPr>
              <w:t>,</w:t>
            </w:r>
            <w:r w:rsidR="00AA4D56" w:rsidRPr="006D472C">
              <w:rPr>
                <w:rFonts w:cstheme="minorHAnsi"/>
                <w:b/>
                <w:bCs/>
                <w:color w:val="000000"/>
              </w:rPr>
              <w:t>300</w:t>
            </w:r>
          </w:p>
        </w:tc>
      </w:tr>
      <w:tr w:rsidR="00AB0A9E" w:rsidRPr="00AB0A9E" w14:paraId="15D399CA" w14:textId="77777777" w:rsidTr="0047218F">
        <w:tc>
          <w:tcPr>
            <w:tcW w:w="2469" w:type="dxa"/>
            <w:vAlign w:val="center"/>
          </w:tcPr>
          <w:p w14:paraId="35DA0EE3" w14:textId="77777777" w:rsidR="00AA4D56" w:rsidRPr="006D472C" w:rsidRDefault="00AA4D56" w:rsidP="00AB0A9E">
            <w:pPr>
              <w:spacing w:after="120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Moderate income</w:t>
            </w:r>
          </w:p>
        </w:tc>
        <w:tc>
          <w:tcPr>
            <w:tcW w:w="1396" w:type="dxa"/>
            <w:vAlign w:val="center"/>
          </w:tcPr>
          <w:p w14:paraId="0979EC11" w14:textId="77777777" w:rsidR="00AA4D56" w:rsidRPr="006D472C" w:rsidRDefault="00AA4D56" w:rsidP="00AB0A9E">
            <w:pPr>
              <w:spacing w:after="120"/>
              <w:jc w:val="center"/>
              <w:rPr>
                <w:rFonts w:cstheme="minorHAnsi"/>
              </w:rPr>
            </w:pPr>
            <w:r w:rsidRPr="006D472C">
              <w:rPr>
                <w:rFonts w:cstheme="minorHAnsi"/>
                <w:color w:val="000000"/>
              </w:rPr>
              <w:t>120%</w:t>
            </w:r>
          </w:p>
        </w:tc>
        <w:tc>
          <w:tcPr>
            <w:tcW w:w="1890" w:type="dxa"/>
            <w:vAlign w:val="bottom"/>
          </w:tcPr>
          <w:p w14:paraId="2561F43C" w14:textId="29AF7FC0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86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750</w:t>
            </w:r>
          </w:p>
        </w:tc>
        <w:tc>
          <w:tcPr>
            <w:tcW w:w="1980" w:type="dxa"/>
            <w:vAlign w:val="bottom"/>
          </w:tcPr>
          <w:p w14:paraId="39E37425" w14:textId="4CC4AFDB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111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550</w:t>
            </w:r>
          </w:p>
        </w:tc>
        <w:tc>
          <w:tcPr>
            <w:tcW w:w="1890" w:type="dxa"/>
            <w:vAlign w:val="bottom"/>
          </w:tcPr>
          <w:p w14:paraId="65EB7AD1" w14:textId="65D2518D" w:rsidR="00AA4D56" w:rsidRPr="006D472C" w:rsidRDefault="009A6651" w:rsidP="00AB0A9E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AA4D56" w:rsidRPr="006D472C">
              <w:rPr>
                <w:rFonts w:cstheme="minorHAnsi"/>
                <w:color w:val="000000"/>
              </w:rPr>
              <w:t>123</w:t>
            </w:r>
            <w:r>
              <w:rPr>
                <w:rFonts w:cstheme="minorHAnsi"/>
                <w:color w:val="000000"/>
              </w:rPr>
              <w:t>,</w:t>
            </w:r>
            <w:r w:rsidR="00AA4D56" w:rsidRPr="006D472C">
              <w:rPr>
                <w:rFonts w:cstheme="minorHAnsi"/>
                <w:color w:val="000000"/>
              </w:rPr>
              <w:t>950</w:t>
            </w:r>
          </w:p>
        </w:tc>
      </w:tr>
    </w:tbl>
    <w:p w14:paraId="71BFA981" w14:textId="77777777" w:rsidR="00AA4D56" w:rsidRPr="006D472C" w:rsidRDefault="00AA4D56" w:rsidP="00AB0A9E">
      <w:pPr>
        <w:spacing w:after="200" w:line="240" w:lineRule="auto"/>
        <w:rPr>
          <w:rFonts w:cstheme="minorHAnsi"/>
          <w:sz w:val="20"/>
          <w:szCs w:val="20"/>
        </w:rPr>
      </w:pPr>
      <w:r w:rsidRPr="006D472C">
        <w:rPr>
          <w:rFonts w:cstheme="minorHAnsi"/>
          <w:sz w:val="20"/>
          <w:szCs w:val="20"/>
        </w:rPr>
        <w:t>Source</w:t>
      </w:r>
      <w:hyperlink r:id="rId18" w:history="1">
        <w:r w:rsidRPr="006D472C">
          <w:rPr>
            <w:rStyle w:val="Hyperlink"/>
            <w:rFonts w:cstheme="minorHAnsi"/>
            <w:sz w:val="20"/>
            <w:szCs w:val="20"/>
          </w:rPr>
          <w:t>: https://www.hcd.ca.gov/grants-funding/income-limits/state-and-federal-income-limits/docs/income-limits-2021.pdf</w:t>
        </w:r>
      </w:hyperlink>
    </w:p>
    <w:p w14:paraId="55624FF8" w14:textId="37A2C35F" w:rsidR="00AA4D56" w:rsidRPr="00AB0A9E" w:rsidRDefault="00AA4D56" w:rsidP="00AB0A9E">
      <w:pPr>
        <w:spacing w:after="200" w:line="240" w:lineRule="auto"/>
        <w:rPr>
          <w:rFonts w:cstheme="minorHAnsi"/>
          <w:sz w:val="24"/>
          <w:szCs w:val="24"/>
        </w:rPr>
      </w:pPr>
    </w:p>
    <w:p w14:paraId="604FAB3F" w14:textId="7F0413DB" w:rsidR="0DC68AB9" w:rsidRPr="00AB0A9E" w:rsidRDefault="0DC68AB9" w:rsidP="00AB0A9E">
      <w:pPr>
        <w:spacing w:after="200" w:line="240" w:lineRule="auto"/>
        <w:rPr>
          <w:rFonts w:cstheme="minorHAnsi"/>
          <w:sz w:val="24"/>
          <w:szCs w:val="24"/>
        </w:rPr>
      </w:pPr>
    </w:p>
    <w:p w14:paraId="0EBF9C36" w14:textId="77777777" w:rsidR="008B5DC8" w:rsidRPr="00AB0A9E" w:rsidRDefault="008B5DC8" w:rsidP="00AB0A9E">
      <w:pPr>
        <w:pStyle w:val="NormalWeb"/>
        <w:spacing w:before="0" w:beforeAutospacing="0" w:after="200" w:afterAutospacing="0"/>
        <w:rPr>
          <w:rFonts w:asciiTheme="minorHAnsi" w:hAnsiTheme="minorHAnsi" w:cstheme="minorHAnsi"/>
          <w:color w:val="211E1E"/>
        </w:rPr>
      </w:pPr>
    </w:p>
    <w:sectPr w:rsidR="008B5DC8" w:rsidRPr="00AB0A9E" w:rsidSect="002E1AD1"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C78"/>
    <w:multiLevelType w:val="hybridMultilevel"/>
    <w:tmpl w:val="2AD20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25EB"/>
    <w:multiLevelType w:val="hybridMultilevel"/>
    <w:tmpl w:val="DD48B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1E19"/>
    <w:multiLevelType w:val="multilevel"/>
    <w:tmpl w:val="DB90A4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0294266"/>
    <w:multiLevelType w:val="multilevel"/>
    <w:tmpl w:val="11E4D7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43813EF"/>
    <w:multiLevelType w:val="multilevel"/>
    <w:tmpl w:val="C0AA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D10111"/>
    <w:multiLevelType w:val="hybridMultilevel"/>
    <w:tmpl w:val="4BA0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B7810"/>
    <w:multiLevelType w:val="multilevel"/>
    <w:tmpl w:val="C196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14522B"/>
    <w:multiLevelType w:val="hybridMultilevel"/>
    <w:tmpl w:val="260AA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76D34"/>
    <w:multiLevelType w:val="hybridMultilevel"/>
    <w:tmpl w:val="0AC8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F4F17"/>
    <w:multiLevelType w:val="hybridMultilevel"/>
    <w:tmpl w:val="FA1E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F2"/>
    <w:rsid w:val="00000281"/>
    <w:rsid w:val="00017CE3"/>
    <w:rsid w:val="00031D66"/>
    <w:rsid w:val="0004157D"/>
    <w:rsid w:val="000474AB"/>
    <w:rsid w:val="000727AB"/>
    <w:rsid w:val="000819F2"/>
    <w:rsid w:val="00130E7E"/>
    <w:rsid w:val="00131820"/>
    <w:rsid w:val="00137140"/>
    <w:rsid w:val="00162E9A"/>
    <w:rsid w:val="00183E5F"/>
    <w:rsid w:val="00185E8A"/>
    <w:rsid w:val="00195BC0"/>
    <w:rsid w:val="001A2867"/>
    <w:rsid w:val="001B67D7"/>
    <w:rsid w:val="001D2465"/>
    <w:rsid w:val="0024681D"/>
    <w:rsid w:val="00292BBF"/>
    <w:rsid w:val="002964A1"/>
    <w:rsid w:val="002A69CF"/>
    <w:rsid w:val="002B2E0B"/>
    <w:rsid w:val="002B58FC"/>
    <w:rsid w:val="002D293C"/>
    <w:rsid w:val="002E1AD1"/>
    <w:rsid w:val="002F1D89"/>
    <w:rsid w:val="002F7FE0"/>
    <w:rsid w:val="00321809"/>
    <w:rsid w:val="003412BA"/>
    <w:rsid w:val="00383E1D"/>
    <w:rsid w:val="003962A7"/>
    <w:rsid w:val="003D597E"/>
    <w:rsid w:val="003D7DE6"/>
    <w:rsid w:val="003E0584"/>
    <w:rsid w:val="0043505D"/>
    <w:rsid w:val="00445F65"/>
    <w:rsid w:val="00457A28"/>
    <w:rsid w:val="004871B2"/>
    <w:rsid w:val="00487CFD"/>
    <w:rsid w:val="004968B4"/>
    <w:rsid w:val="004A436E"/>
    <w:rsid w:val="004B3925"/>
    <w:rsid w:val="004D7810"/>
    <w:rsid w:val="004E4281"/>
    <w:rsid w:val="005058FB"/>
    <w:rsid w:val="005360D6"/>
    <w:rsid w:val="0053648A"/>
    <w:rsid w:val="005453F3"/>
    <w:rsid w:val="00591CBA"/>
    <w:rsid w:val="005A06C2"/>
    <w:rsid w:val="005A704F"/>
    <w:rsid w:val="005B63F6"/>
    <w:rsid w:val="005F7463"/>
    <w:rsid w:val="00613EE6"/>
    <w:rsid w:val="0062664D"/>
    <w:rsid w:val="0064353F"/>
    <w:rsid w:val="00672F7A"/>
    <w:rsid w:val="00683EC2"/>
    <w:rsid w:val="00691DFF"/>
    <w:rsid w:val="00693B10"/>
    <w:rsid w:val="006A4DAF"/>
    <w:rsid w:val="006B56CC"/>
    <w:rsid w:val="006D1BC1"/>
    <w:rsid w:val="006D3399"/>
    <w:rsid w:val="006D472C"/>
    <w:rsid w:val="007026E9"/>
    <w:rsid w:val="00703C79"/>
    <w:rsid w:val="007047B1"/>
    <w:rsid w:val="00720F50"/>
    <w:rsid w:val="00742C76"/>
    <w:rsid w:val="00743F4B"/>
    <w:rsid w:val="00745F79"/>
    <w:rsid w:val="007772F0"/>
    <w:rsid w:val="0078478C"/>
    <w:rsid w:val="007939AC"/>
    <w:rsid w:val="00796D2D"/>
    <w:rsid w:val="007A76E2"/>
    <w:rsid w:val="007F5BBD"/>
    <w:rsid w:val="00873097"/>
    <w:rsid w:val="008877A0"/>
    <w:rsid w:val="008B0494"/>
    <w:rsid w:val="008B5DC8"/>
    <w:rsid w:val="00920403"/>
    <w:rsid w:val="009251C2"/>
    <w:rsid w:val="00937B71"/>
    <w:rsid w:val="00956C97"/>
    <w:rsid w:val="00960474"/>
    <w:rsid w:val="009635E9"/>
    <w:rsid w:val="009650EE"/>
    <w:rsid w:val="00974602"/>
    <w:rsid w:val="00986E3B"/>
    <w:rsid w:val="009971DE"/>
    <w:rsid w:val="009A6651"/>
    <w:rsid w:val="009D5DF2"/>
    <w:rsid w:val="009F3F8B"/>
    <w:rsid w:val="00A02616"/>
    <w:rsid w:val="00A20BE0"/>
    <w:rsid w:val="00A52275"/>
    <w:rsid w:val="00A800DF"/>
    <w:rsid w:val="00A86385"/>
    <w:rsid w:val="00A904D0"/>
    <w:rsid w:val="00A904FC"/>
    <w:rsid w:val="00A94249"/>
    <w:rsid w:val="00AA4D56"/>
    <w:rsid w:val="00AB0A9E"/>
    <w:rsid w:val="00B21331"/>
    <w:rsid w:val="00B72B05"/>
    <w:rsid w:val="00B86843"/>
    <w:rsid w:val="00B977D1"/>
    <w:rsid w:val="00BB2B7B"/>
    <w:rsid w:val="00BB628F"/>
    <w:rsid w:val="00BE227F"/>
    <w:rsid w:val="00C00064"/>
    <w:rsid w:val="00C57964"/>
    <w:rsid w:val="00C63EA7"/>
    <w:rsid w:val="00C641D1"/>
    <w:rsid w:val="00C66054"/>
    <w:rsid w:val="00C70910"/>
    <w:rsid w:val="00C72E61"/>
    <w:rsid w:val="00CE2C3A"/>
    <w:rsid w:val="00CE7D46"/>
    <w:rsid w:val="00CF0A9C"/>
    <w:rsid w:val="00D00B98"/>
    <w:rsid w:val="00D11156"/>
    <w:rsid w:val="00D42696"/>
    <w:rsid w:val="00D624FC"/>
    <w:rsid w:val="00D80970"/>
    <w:rsid w:val="00D8336D"/>
    <w:rsid w:val="00DA78B2"/>
    <w:rsid w:val="00DA7C3F"/>
    <w:rsid w:val="00DF256A"/>
    <w:rsid w:val="00E13701"/>
    <w:rsid w:val="00E15686"/>
    <w:rsid w:val="00E4464A"/>
    <w:rsid w:val="00E730C8"/>
    <w:rsid w:val="00E7384E"/>
    <w:rsid w:val="00E76EB2"/>
    <w:rsid w:val="00E81BFF"/>
    <w:rsid w:val="00E9100C"/>
    <w:rsid w:val="00E944E6"/>
    <w:rsid w:val="00E96195"/>
    <w:rsid w:val="00EA35B1"/>
    <w:rsid w:val="00EB5407"/>
    <w:rsid w:val="00EB6614"/>
    <w:rsid w:val="00ED4147"/>
    <w:rsid w:val="00F4142F"/>
    <w:rsid w:val="00F509A8"/>
    <w:rsid w:val="00F7087D"/>
    <w:rsid w:val="00F72F79"/>
    <w:rsid w:val="00F850C7"/>
    <w:rsid w:val="00FC3F80"/>
    <w:rsid w:val="00FD2D14"/>
    <w:rsid w:val="00FE2BF4"/>
    <w:rsid w:val="00FF0758"/>
    <w:rsid w:val="00FF0C1F"/>
    <w:rsid w:val="00FF7EAE"/>
    <w:rsid w:val="0DC68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246C"/>
  <w15:chartTrackingRefBased/>
  <w15:docId w15:val="{B56C498D-5C6F-49BF-8D81-AED08F63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E96195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8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77D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7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6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7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56C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B63F6"/>
  </w:style>
  <w:style w:type="character" w:styleId="Strong">
    <w:name w:val="Strong"/>
    <w:basedOn w:val="DefaultParagraphFont"/>
    <w:uiPriority w:val="22"/>
    <w:qFormat/>
    <w:rsid w:val="005B63F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1D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8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0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ag.ca.gov/sites/default/files/rhna_methodology_report_2023-2031_finalposting.pdf" TargetMode="External"/><Relationship Id="rId13" Type="http://schemas.openxmlformats.org/officeDocument/2006/relationships/hyperlink" Target="https://www.hcd.ca.gov/grants-funding/income-limits/state-and-federal-income-limits/docs/income-limits-2021.pdf" TargetMode="External"/><Relationship Id="rId18" Type="http://schemas.openxmlformats.org/officeDocument/2006/relationships/hyperlink" Target="https://www.hcd.ca.gov/grants-funding/income-limits/state-and-federal-income-limits/docs/income-limits-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ag.ca.gov/our-work/housing/rhna-regional-housing-needs-allocation/housing-methodology-committee" TargetMode="External"/><Relationship Id="rId12" Type="http://schemas.openxmlformats.org/officeDocument/2006/relationships/hyperlink" Target="https://abag.ca.gov/sites/default/files/documents/2021-05/ABAG_2023-2031_Draft_RHNA_Plan.pdf" TargetMode="External"/><Relationship Id="rId17" Type="http://schemas.openxmlformats.org/officeDocument/2006/relationships/hyperlink" Target="https://www.hcd.ca.gov/grants-funding/income-limits/state-and-federal-income-limits/docs/income-limits-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cd.ca.gov/grants-funding/income-limits/state-and-federal-income-limits/docs/income-limits-2021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abag.ca.gov/sites/default/files/documents/2021-05/ABAG_2023-2031_Draft_RHNA_Plan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hcd.ca.gov/grants-funding/income-limits/state-and-federal-income-limits/docs/income-limits-2021.pdf" TargetMode="External"/><Relationship Id="rId10" Type="http://schemas.openxmlformats.org/officeDocument/2006/relationships/hyperlink" Target="https://abag.ca.gov/sites/default/files/documents/2021-04/ABAG_RHNA_Methodology_HCDFindings_April_12_202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bag.ca.gov/our-work/housing/rhna-regional-housing-needs-allocation/public-comment" TargetMode="External"/><Relationship Id="rId14" Type="http://schemas.openxmlformats.org/officeDocument/2006/relationships/hyperlink" Target="https://www.hcd.ca.gov/grants-funding/income-limits/state-and-federal-income-limits/docs/income-limits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1719</Words>
  <Characters>9803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Council</dc:creator>
  <cp:keywords/>
  <dc:description/>
  <cp:lastModifiedBy>Leah Zippert</cp:lastModifiedBy>
  <cp:revision>2</cp:revision>
  <cp:lastPrinted>2021-02-13T01:33:00Z</cp:lastPrinted>
  <dcterms:created xsi:type="dcterms:W3CDTF">2021-07-28T16:44:00Z</dcterms:created>
  <dcterms:modified xsi:type="dcterms:W3CDTF">2021-07-28T16:44:00Z</dcterms:modified>
</cp:coreProperties>
</file>